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845C"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CONSEJO DE ESTADO</w:t>
      </w:r>
    </w:p>
    <w:p w14:paraId="48C18547"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SALA DE LO CONTENCIOSO ADMINISTRATIVO</w:t>
      </w:r>
    </w:p>
    <w:p w14:paraId="4322D60D"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SECCIÓN CUARTA</w:t>
      </w:r>
    </w:p>
    <w:p w14:paraId="2A7A81B9"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 </w:t>
      </w:r>
    </w:p>
    <w:p w14:paraId="38CF573F"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CONSEJERA PONENTE: STELLA JEANNETTE CARVAJAL BASTO</w:t>
      </w:r>
    </w:p>
    <w:p w14:paraId="0552D8D8"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Bogotá D.C., veintiocho (28) de octubre de dos mil veintiuno (2021)</w:t>
      </w:r>
    </w:p>
    <w:p w14:paraId="5655787C"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Referencia: NULIDAD SIMPLE</w:t>
      </w:r>
    </w:p>
    <w:p w14:paraId="27FC18B8"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Radicación: 11001-03-27-000-2018-00041-00 (24047)</w:t>
      </w:r>
    </w:p>
    <w:p w14:paraId="0D4D255C"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Demandante: JUAN RAFAEL BRAVO ARTEAGA</w:t>
      </w:r>
    </w:p>
    <w:p w14:paraId="639EFE15"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Demandado: MINISTERIO DE HACIENDA Y CRÉDITO PÚBLICO</w:t>
      </w:r>
    </w:p>
    <w:p w14:paraId="6586464A"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Tema: Nulidad del parágrafo 3 del artículo 1.2.4.1.6 del Decreto 1625 de 2016. Retención en la fuente en rentas laborales. Base. Límites UVT</w:t>
      </w:r>
    </w:p>
    <w:p w14:paraId="6B437CD7"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 </w:t>
      </w:r>
    </w:p>
    <w:p w14:paraId="17193CE5"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SENTENCIA DE ÚNICA INSTANCIA</w:t>
      </w:r>
    </w:p>
    <w:p w14:paraId="3E41C92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 </w:t>
      </w:r>
    </w:p>
    <w:p w14:paraId="7CCF8EB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FF"/>
          <w:szCs w:val="24"/>
          <w:lang w:eastAsia="es-CO"/>
        </w:rPr>
        <w:t> </w:t>
      </w:r>
    </w:p>
    <w:p w14:paraId="41A3451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ejercicio de la competencia atribuida por el numeral 1 del artículo 149 del CPACA, en concordancia con el numeral 1 del artículo 13 del Acuerdo 080 del 12 de marzo de 2019</w:t>
      </w:r>
      <w:bookmarkStart w:id="0" w:name="_ftnref1"/>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"_ftn1"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[1]</w:t>
      </w:r>
      <w:r w:rsidRPr="00847458">
        <w:rPr>
          <w:rFonts w:ascii="Century Gothic" w:eastAsia="Times New Roman" w:hAnsi="Century Gothic" w:cs="Segoe UI"/>
          <w:szCs w:val="24"/>
          <w:lang w:eastAsia="es-CO"/>
        </w:rPr>
        <w:fldChar w:fldCharType="end"/>
      </w:r>
      <w:bookmarkEnd w:id="0"/>
      <w:r w:rsidRPr="00847458">
        <w:rPr>
          <w:rFonts w:ascii="Century Gothic" w:eastAsia="Times New Roman" w:hAnsi="Century Gothic" w:cs="Segoe UI"/>
          <w:szCs w:val="24"/>
          <w:lang w:eastAsia="es-CO"/>
        </w:rPr>
        <w:t>, corresponde a la Sala decidir el medio de control de nulidad ejercido contra el parágrafo 3 del artículo 1.2.4.1.6 del Decreto 1625 de 2016</w:t>
      </w:r>
      <w:bookmarkStart w:id="1" w:name="_ftnref2"/>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w:t>
      </w:r>
      <w:r w:rsidRPr="00847458">
        <w:rPr>
          <w:rFonts w:ascii="Century Gothic" w:eastAsia="Times New Roman" w:hAnsi="Century Gothic" w:cs="Segoe UI"/>
          <w:szCs w:val="24"/>
          <w:lang w:eastAsia="es-CO"/>
        </w:rPr>
        <w:fldChar w:fldCharType="end"/>
      </w:r>
      <w:bookmarkEnd w:id="1"/>
      <w:r w:rsidRPr="00847458">
        <w:rPr>
          <w:rFonts w:ascii="Century Gothic" w:eastAsia="Times New Roman" w:hAnsi="Century Gothic" w:cs="Segoe UI"/>
          <w:szCs w:val="24"/>
          <w:lang w:eastAsia="es-CO"/>
        </w:rPr>
        <w:t>, expedido por el Ministro de Hacienda y Crédito Público, en cuanto dispuso:</w:t>
      </w:r>
    </w:p>
    <w:p w14:paraId="2F9D92BD" w14:textId="77777777" w:rsidR="00440D72" w:rsidRPr="00847458" w:rsidRDefault="00440D72" w:rsidP="00847458">
      <w:pPr>
        <w:spacing w:after="0" w:line="360" w:lineRule="auto"/>
        <w:ind w:left="180"/>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 </w:t>
      </w:r>
    </w:p>
    <w:p w14:paraId="4B133646" w14:textId="77777777" w:rsidR="00440D72" w:rsidRPr="00847458" w:rsidRDefault="00440D72" w:rsidP="00847458">
      <w:pPr>
        <w:spacing w:after="0" w:line="360" w:lineRule="auto"/>
        <w:ind w:left="180"/>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i/>
          <w:iCs/>
          <w:szCs w:val="24"/>
          <w:lang w:eastAsia="es-CO"/>
        </w:rPr>
        <w:t>“ARTÍCULO 1.2.4.1.6 Depuración de la base del cálculo de la retención en la fuente. </w:t>
      </w:r>
      <w:r w:rsidRPr="00847458">
        <w:rPr>
          <w:rFonts w:ascii="Century Gothic" w:eastAsia="Times New Roman" w:hAnsi="Century Gothic" w:cs="Segoe UI"/>
          <w:i/>
          <w:iCs/>
          <w:szCs w:val="24"/>
          <w:lang w:eastAsia="es-CO"/>
        </w:rPr>
        <w:t>Para obtener la base de retención en la fuente sobre los pagos o abonos en cuenta percibidos por las personas naturales por concepto de las rentas de trabajo de que trata el </w:t>
      </w:r>
      <w:hyperlink r:id="rId4" w:tooltip="Estatuto Tributario CETA" w:history="1">
        <w:r w:rsidRPr="00847458">
          <w:rPr>
            <w:rFonts w:ascii="Century Gothic" w:eastAsia="Times New Roman" w:hAnsi="Century Gothic" w:cs="Segoe UI"/>
            <w:i/>
            <w:iCs/>
            <w:color w:val="0089E1"/>
            <w:szCs w:val="24"/>
            <w:u w:val="single"/>
            <w:lang w:eastAsia="es-CO"/>
          </w:rPr>
          <w:t>artículo 103</w:t>
        </w:r>
      </w:hyperlink>
      <w:r w:rsidRPr="00847458">
        <w:rPr>
          <w:rFonts w:ascii="Century Gothic" w:eastAsia="Times New Roman" w:hAnsi="Century Gothic" w:cs="Segoe UI"/>
          <w:i/>
          <w:iCs/>
          <w:szCs w:val="24"/>
          <w:lang w:eastAsia="es-CO"/>
        </w:rPr>
        <w:t> del Estatuto Tributario tales como: (…), podrán detraerse los pagos efectivamente realizados por los siguientes conceptos:</w:t>
      </w:r>
    </w:p>
    <w:p w14:paraId="3B15FE8F" w14:textId="77777777" w:rsidR="00440D72" w:rsidRPr="00847458" w:rsidRDefault="00440D72" w:rsidP="00847458">
      <w:pPr>
        <w:spacing w:after="0" w:line="360" w:lineRule="auto"/>
        <w:ind w:left="180"/>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lastRenderedPageBreak/>
        <w:t>(…)</w:t>
      </w:r>
    </w:p>
    <w:p w14:paraId="55D399B3" w14:textId="77777777" w:rsidR="00440D72" w:rsidRPr="00847458" w:rsidRDefault="00440D72" w:rsidP="00847458">
      <w:pPr>
        <w:spacing w:after="0" w:line="360" w:lineRule="auto"/>
        <w:ind w:left="180"/>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i/>
          <w:iCs/>
          <w:szCs w:val="24"/>
          <w:lang w:eastAsia="es-CO"/>
        </w:rPr>
        <w:t>Parágrafo 3°.</w:t>
      </w:r>
      <w:r w:rsidRPr="00847458">
        <w:rPr>
          <w:rFonts w:ascii="Century Gothic" w:eastAsia="Times New Roman" w:hAnsi="Century Gothic" w:cs="Segoe UI"/>
          <w:i/>
          <w:iCs/>
          <w:szCs w:val="24"/>
          <w:lang w:eastAsia="es-CO"/>
        </w:rPr>
        <w:t> Para todos los fines previstos, las rentas exentas y deducciones no pueden superar los límites particulares que establezca cada uno de esos beneficios fiscales, ni el límite porcentual del cuarenta por ciento (40%) o el valor absoluto de cinco mil cuarenta (5.040) Unidades de Valor Tributario - UVT anuales, es decir cuatrocientos veinte (420) Unidades de Valor Tributario - UVT mensuales, de conformidad con lo previsto en el </w:t>
      </w:r>
      <w:hyperlink r:id="rId5" w:tooltip="Estatuto Tributario CETA" w:history="1">
        <w:r w:rsidRPr="00847458">
          <w:rPr>
            <w:rFonts w:ascii="Century Gothic" w:eastAsia="Times New Roman" w:hAnsi="Century Gothic" w:cs="Segoe UI"/>
            <w:i/>
            <w:iCs/>
            <w:color w:val="0089E1"/>
            <w:szCs w:val="24"/>
            <w:u w:val="single"/>
            <w:lang w:eastAsia="es-CO"/>
          </w:rPr>
          <w:t>artículo 336</w:t>
        </w:r>
      </w:hyperlink>
      <w:r w:rsidRPr="00847458">
        <w:rPr>
          <w:rFonts w:ascii="Century Gothic" w:eastAsia="Times New Roman" w:hAnsi="Century Gothic" w:cs="Segoe UI"/>
          <w:i/>
          <w:iCs/>
          <w:szCs w:val="24"/>
          <w:lang w:eastAsia="es-CO"/>
        </w:rPr>
        <w:t> del Estatuto Tributario.”</w:t>
      </w:r>
    </w:p>
    <w:p w14:paraId="31BC5B7E"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220EC718"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DEMANDA</w:t>
      </w:r>
    </w:p>
    <w:p w14:paraId="2BF8A0C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7C3D1A4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Juan Rafael Bravo Arteaga demandó la nulidad parcial del parágrafo 3 del artículo 1.2.4.1.6 del Decreto 1625 de 2016, emitido por el Ministerio de Hacienda y Crédito Público, por desconocimiento del principio de reserva de ley y exceso de la facultad reglamentaria, en cuanto dispuso un límite mensual de unidades de valor tributario para efecto de rentas exentas y deducciones anuales, no previsto en el </w:t>
      </w:r>
      <w:hyperlink r:id="rId6"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color w:val="000000"/>
          <w:szCs w:val="24"/>
          <w:lang w:eastAsia="es-CO"/>
        </w:rPr>
        <w:t> del ET.</w:t>
      </w:r>
    </w:p>
    <w:p w14:paraId="4F261F2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0485599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Invocó como normas violadas los artículos 189 [11] y 338 de la Constitución Política; </w:t>
      </w:r>
      <w:hyperlink r:id="rId7" w:tooltip="Estatuto Tributario CETA" w:history="1">
        <w:r w:rsidRPr="00847458">
          <w:rPr>
            <w:rFonts w:ascii="Century Gothic" w:eastAsia="Times New Roman" w:hAnsi="Century Gothic" w:cs="Segoe UI"/>
            <w:color w:val="0089E1"/>
            <w:szCs w:val="24"/>
            <w:u w:val="single"/>
            <w:lang w:eastAsia="es-CO"/>
          </w:rPr>
          <w:t>336</w:t>
        </w:r>
      </w:hyperlink>
      <w:r w:rsidRPr="00847458">
        <w:rPr>
          <w:rFonts w:ascii="Century Gothic" w:eastAsia="Times New Roman" w:hAnsi="Century Gothic" w:cs="Segoe UI"/>
          <w:szCs w:val="24"/>
          <w:lang w:eastAsia="es-CO"/>
        </w:rPr>
        <w:t> [inc. 1 y 2] del ET y 12 de la Ley 153 de 1887</w:t>
      </w:r>
      <w:bookmarkStart w:id="2" w:name="_ftnref3"/>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"_ftn3"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[3]</w:t>
      </w:r>
      <w:r w:rsidRPr="00847458">
        <w:rPr>
          <w:rFonts w:ascii="Century Gothic" w:eastAsia="Times New Roman" w:hAnsi="Century Gothic" w:cs="Segoe UI"/>
          <w:szCs w:val="24"/>
          <w:lang w:eastAsia="es-CO"/>
        </w:rPr>
        <w:fldChar w:fldCharType="end"/>
      </w:r>
      <w:bookmarkEnd w:id="2"/>
      <w:r w:rsidRPr="00847458">
        <w:rPr>
          <w:rFonts w:ascii="Century Gothic" w:eastAsia="Times New Roman" w:hAnsi="Century Gothic" w:cs="Segoe UI"/>
          <w:szCs w:val="24"/>
          <w:lang w:eastAsia="es-CO"/>
        </w:rPr>
        <w:t>. Sobre el concepto de violación expuso, en síntesis, lo siguiente:</w:t>
      </w:r>
    </w:p>
    <w:p w14:paraId="0ACB6BA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38EC843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límite de UVT mensual enunciado en la norma reglamentaria demandada no fue previsto por el legislador tributario quien, en ejercicio de su competencia restrictiva para disponer las minoraciones de la base gravable por rentas laborales, autorizó únicamente las anuales previstas en los artículos </w:t>
      </w:r>
      <w:hyperlink r:id="rId8" w:tooltip="Estatuto Tributario CETA" w:history="1">
        <w:r w:rsidRPr="00847458">
          <w:rPr>
            <w:rFonts w:ascii="Century Gothic" w:eastAsia="Times New Roman" w:hAnsi="Century Gothic" w:cs="Segoe UI"/>
            <w:color w:val="0089E1"/>
            <w:szCs w:val="24"/>
            <w:u w:val="single"/>
            <w:lang w:eastAsia="es-CO"/>
          </w:rPr>
          <w:t>126-1</w:t>
        </w:r>
      </w:hyperlink>
      <w:r w:rsidRPr="00847458">
        <w:rPr>
          <w:rFonts w:ascii="Century Gothic" w:eastAsia="Times New Roman" w:hAnsi="Century Gothic" w:cs="Segoe UI"/>
          <w:szCs w:val="24"/>
          <w:lang w:eastAsia="es-CO"/>
        </w:rPr>
        <w:t> y </w:t>
      </w:r>
      <w:hyperlink r:id="rId9" w:tooltip="Estatuto Tributario CETA" w:history="1">
        <w:r w:rsidRPr="00847458">
          <w:rPr>
            <w:rFonts w:ascii="Century Gothic" w:eastAsia="Times New Roman" w:hAnsi="Century Gothic" w:cs="Segoe UI"/>
            <w:color w:val="0089E1"/>
            <w:szCs w:val="24"/>
            <w:u w:val="single"/>
            <w:lang w:eastAsia="es-CO"/>
          </w:rPr>
          <w:t>126-4</w:t>
        </w:r>
      </w:hyperlink>
      <w:r w:rsidRPr="00847458">
        <w:rPr>
          <w:rFonts w:ascii="Century Gothic" w:eastAsia="Times New Roman" w:hAnsi="Century Gothic" w:cs="Segoe UI"/>
          <w:szCs w:val="24"/>
          <w:lang w:eastAsia="es-CO"/>
        </w:rPr>
        <w:t> de ET </w:t>
      </w:r>
      <w:r w:rsidRPr="00847458">
        <w:rPr>
          <w:rFonts w:ascii="Century Gothic" w:eastAsia="Times New Roman" w:hAnsi="Century Gothic" w:cs="Segoe UI"/>
          <w:i/>
          <w:iCs/>
          <w:szCs w:val="24"/>
          <w:lang w:eastAsia="es-CO"/>
        </w:rPr>
        <w:t>(aportes voluntarios a fondos de pensiones y cuentas AFC) </w:t>
      </w:r>
      <w:r w:rsidRPr="00847458">
        <w:rPr>
          <w:rFonts w:ascii="Century Gothic" w:eastAsia="Times New Roman" w:hAnsi="Century Gothic" w:cs="Segoe UI"/>
          <w:szCs w:val="24"/>
          <w:lang w:eastAsia="es-CO"/>
        </w:rPr>
        <w:t>y las mensuales de que tratan los numerales 4 y 6 del </w:t>
      </w:r>
      <w:hyperlink r:id="rId10" w:tooltip="Estatuto Tributario CETA" w:history="1">
        <w:r w:rsidRPr="00847458">
          <w:rPr>
            <w:rFonts w:ascii="Century Gothic" w:eastAsia="Times New Roman" w:hAnsi="Century Gothic" w:cs="Segoe UI"/>
            <w:color w:val="0089E1"/>
            <w:szCs w:val="24"/>
            <w:u w:val="single"/>
            <w:lang w:eastAsia="es-CO"/>
          </w:rPr>
          <w:t>artículo 206</w:t>
        </w:r>
      </w:hyperlink>
      <w:r w:rsidRPr="00847458">
        <w:rPr>
          <w:rFonts w:ascii="Century Gothic" w:eastAsia="Times New Roman" w:hAnsi="Century Gothic" w:cs="Segoe UI"/>
          <w:szCs w:val="24"/>
          <w:lang w:eastAsia="es-CO"/>
        </w:rPr>
        <w:t> ib. </w:t>
      </w:r>
      <w:r w:rsidRPr="00847458">
        <w:rPr>
          <w:rFonts w:ascii="Century Gothic" w:eastAsia="Times New Roman" w:hAnsi="Century Gothic" w:cs="Segoe UI"/>
          <w:i/>
          <w:iCs/>
          <w:szCs w:val="24"/>
          <w:lang w:eastAsia="es-CO"/>
        </w:rPr>
        <w:t xml:space="preserve">(cesantías e intereses sobre </w:t>
      </w:r>
      <w:r w:rsidRPr="00847458">
        <w:rPr>
          <w:rFonts w:ascii="Century Gothic" w:eastAsia="Times New Roman" w:hAnsi="Century Gothic" w:cs="Segoe UI"/>
          <w:i/>
          <w:iCs/>
          <w:szCs w:val="24"/>
          <w:lang w:eastAsia="es-CO"/>
        </w:rPr>
        <w:lastRenderedPageBreak/>
        <w:t>las mismas, seguro por muerte y compensaciones por muerte de los miembros de las Fuerzas Militares y de la Policía Nacional</w:t>
      </w:r>
      <w:bookmarkStart w:id="3" w:name="_ftnref4"/>
      <w:r w:rsidRPr="00847458">
        <w:rPr>
          <w:rFonts w:ascii="Century Gothic" w:eastAsia="Times New Roman" w:hAnsi="Century Gothic" w:cs="Segoe UI"/>
          <w:i/>
          <w:iCs/>
          <w:szCs w:val="24"/>
          <w:lang w:eastAsia="es-CO"/>
        </w:rPr>
        <w:fldChar w:fldCharType="begin"/>
      </w:r>
      <w:r w:rsidRPr="00847458">
        <w:rPr>
          <w:rFonts w:ascii="Century Gothic" w:eastAsia="Times New Roman" w:hAnsi="Century Gothic" w:cs="Segoe UI"/>
          <w:i/>
          <w:iCs/>
          <w:szCs w:val="24"/>
          <w:lang w:eastAsia="es-CO"/>
        </w:rPr>
        <w:instrText xml:space="preserve"> HYPERLINK "https://www.ceta.org.co/html/vista_de_un_documento.asp?DocumentoID=42749" \l "_ftn4" \o "" </w:instrText>
      </w:r>
      <w:r w:rsidRPr="00847458">
        <w:rPr>
          <w:rFonts w:ascii="Century Gothic" w:eastAsia="Times New Roman" w:hAnsi="Century Gothic" w:cs="Segoe UI"/>
          <w:i/>
          <w:iCs/>
          <w:szCs w:val="24"/>
          <w:lang w:eastAsia="es-CO"/>
        </w:rPr>
        <w:fldChar w:fldCharType="separate"/>
      </w:r>
      <w:r w:rsidRPr="00847458">
        <w:rPr>
          <w:rFonts w:ascii="Century Gothic" w:eastAsia="Times New Roman" w:hAnsi="Century Gothic" w:cs="Segoe UI"/>
          <w:b/>
          <w:bCs/>
          <w:i/>
          <w:iCs/>
          <w:color w:val="0089E1"/>
          <w:szCs w:val="24"/>
          <w:lang w:eastAsia="es-CO"/>
        </w:rPr>
        <w:t>[4]</w:t>
      </w:r>
      <w:r w:rsidRPr="00847458">
        <w:rPr>
          <w:rFonts w:ascii="Century Gothic" w:eastAsia="Times New Roman" w:hAnsi="Century Gothic" w:cs="Segoe UI"/>
          <w:i/>
          <w:iCs/>
          <w:szCs w:val="24"/>
          <w:lang w:eastAsia="es-CO"/>
        </w:rPr>
        <w:fldChar w:fldCharType="end"/>
      </w:r>
      <w:bookmarkEnd w:id="3"/>
      <w:r w:rsidRPr="00847458">
        <w:rPr>
          <w:rFonts w:ascii="Century Gothic" w:eastAsia="Times New Roman" w:hAnsi="Century Gothic" w:cs="Segoe UI"/>
          <w:i/>
          <w:iCs/>
          <w:szCs w:val="24"/>
          <w:lang w:eastAsia="es-CO"/>
        </w:rPr>
        <w:t>)</w:t>
      </w:r>
      <w:r w:rsidRPr="00847458">
        <w:rPr>
          <w:rFonts w:ascii="Century Gothic" w:eastAsia="Times New Roman" w:hAnsi="Century Gothic" w:cs="Segoe UI"/>
          <w:szCs w:val="24"/>
          <w:lang w:eastAsia="es-CO"/>
        </w:rPr>
        <w:t>.</w:t>
      </w:r>
    </w:p>
    <w:p w14:paraId="6498D01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574500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A diferencia de las limitaciones anuales en las que los excedentes de unos meses pueden compensarse con el faltante de otros, en el caso de las limitaciones mensuales cada período es independiente de los otros, de modo que la restricción de deducciones y rentas exentas sobre cuantías que excedan el valor de 420 UVT mensuales implica que en el mes en que tales beneficios se configuran, su valor no pueda exceder de $13.926.000</w:t>
      </w:r>
      <w:bookmarkStart w:id="4" w:name="_ftnref5"/>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"_ftn5"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[5]</w:t>
      </w:r>
      <w:r w:rsidRPr="00847458">
        <w:rPr>
          <w:rFonts w:ascii="Century Gothic" w:eastAsia="Times New Roman" w:hAnsi="Century Gothic" w:cs="Segoe UI"/>
          <w:szCs w:val="24"/>
          <w:lang w:eastAsia="es-CO"/>
        </w:rPr>
        <w:fldChar w:fldCharType="end"/>
      </w:r>
      <w:bookmarkEnd w:id="4"/>
      <w:r w:rsidRPr="00847458">
        <w:rPr>
          <w:rFonts w:ascii="Century Gothic" w:eastAsia="Times New Roman" w:hAnsi="Century Gothic" w:cs="Segoe UI"/>
          <w:szCs w:val="24"/>
          <w:lang w:eastAsia="es-CO"/>
        </w:rPr>
        <w:t>; así, los aportes a fondos de pensiones o cuentas AFC que generalmente se hacen en junio y diciembre por montos superiores a esa suma, perderían el derecho a la exención, aunque la sumatoria del valor de deducciones y rentas exentas anuales se encontrara dentro del límite anual de 5.040 UVT.</w:t>
      </w:r>
    </w:p>
    <w:p w14:paraId="6A2F33E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2FE6D51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La limitación anual es más beneficiosa para el contribuyente que la limitación mensual que recorta las minoraciones legalmente aceptadas por deducciones y rentas exentas.</w:t>
      </w:r>
    </w:p>
    <w:p w14:paraId="4589F20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817D1F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acápite aparte, el demandante solicitó la suspensión provisional de la norma demandada</w:t>
      </w:r>
      <w:bookmarkStart w:id="5" w:name="_ftnref6"/>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"_ftn6"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[6]</w:t>
      </w:r>
      <w:r w:rsidRPr="00847458">
        <w:rPr>
          <w:rFonts w:ascii="Century Gothic" w:eastAsia="Times New Roman" w:hAnsi="Century Gothic" w:cs="Segoe UI"/>
          <w:szCs w:val="24"/>
          <w:lang w:eastAsia="es-CO"/>
        </w:rPr>
        <w:fldChar w:fldCharType="end"/>
      </w:r>
      <w:bookmarkEnd w:id="5"/>
      <w:r w:rsidRPr="00847458">
        <w:rPr>
          <w:rFonts w:ascii="Century Gothic" w:eastAsia="Times New Roman" w:hAnsi="Century Gothic" w:cs="Segoe UI"/>
          <w:szCs w:val="24"/>
          <w:lang w:eastAsia="es-CO"/>
        </w:rPr>
        <w:t>, medida negada por Auto del 14 de diciembre de 2018</w:t>
      </w:r>
      <w:bookmarkStart w:id="6" w:name="_ftnref7"/>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"_ftn7"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[7]</w:t>
      </w:r>
      <w:r w:rsidRPr="00847458">
        <w:rPr>
          <w:rFonts w:ascii="Century Gothic" w:eastAsia="Times New Roman" w:hAnsi="Century Gothic" w:cs="Segoe UI"/>
          <w:szCs w:val="24"/>
          <w:lang w:eastAsia="es-CO"/>
        </w:rPr>
        <w:fldChar w:fldCharType="end"/>
      </w:r>
      <w:bookmarkEnd w:id="6"/>
      <w:r w:rsidRPr="00847458">
        <w:rPr>
          <w:rFonts w:ascii="Century Gothic" w:eastAsia="Times New Roman" w:hAnsi="Century Gothic" w:cs="Segoe UI"/>
          <w:szCs w:val="24"/>
          <w:lang w:eastAsia="es-CO"/>
        </w:rPr>
        <w:t>.</w:t>
      </w:r>
    </w:p>
    <w:p w14:paraId="24DF94A7"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305697EC"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OPOSICIÓN</w:t>
      </w:r>
    </w:p>
    <w:p w14:paraId="050EF6A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2A18335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w:t>
      </w:r>
      <w:r w:rsidRPr="00847458">
        <w:rPr>
          <w:rFonts w:ascii="Century Gothic" w:eastAsia="Times New Roman" w:hAnsi="Century Gothic" w:cs="Segoe UI"/>
          <w:b/>
          <w:bCs/>
          <w:szCs w:val="24"/>
          <w:lang w:eastAsia="es-CO"/>
        </w:rPr>
        <w:t>Ministerio de Hacienda y Crédito Público </w:t>
      </w:r>
      <w:r w:rsidRPr="00847458">
        <w:rPr>
          <w:rFonts w:ascii="Century Gothic" w:eastAsia="Times New Roman" w:hAnsi="Century Gothic" w:cs="Segoe UI"/>
          <w:szCs w:val="24"/>
          <w:lang w:eastAsia="es-CO"/>
        </w:rPr>
        <w:t>se opuso a la pretensión de nulidad en los siguientes términos</w:t>
      </w:r>
      <w:bookmarkStart w:id="7" w:name="_ftnref8"/>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"_ftn8"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[8]</w:t>
      </w:r>
      <w:r w:rsidRPr="00847458">
        <w:rPr>
          <w:rFonts w:ascii="Century Gothic" w:eastAsia="Times New Roman" w:hAnsi="Century Gothic" w:cs="Segoe UI"/>
          <w:szCs w:val="24"/>
          <w:lang w:eastAsia="es-CO"/>
        </w:rPr>
        <w:fldChar w:fldCharType="end"/>
      </w:r>
      <w:bookmarkEnd w:id="7"/>
      <w:r w:rsidRPr="00847458">
        <w:rPr>
          <w:rFonts w:ascii="Century Gothic" w:eastAsia="Times New Roman" w:hAnsi="Century Gothic" w:cs="Segoe UI"/>
          <w:szCs w:val="24"/>
          <w:lang w:eastAsia="es-CO"/>
        </w:rPr>
        <w:t>:</w:t>
      </w:r>
    </w:p>
    <w:p w14:paraId="7D75601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AF394D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La limitación dispuesta por la norma reglamentaria constituye una regla que permite ejecutar y aplicar la disposición legal respecto de la retención en la fuente que mensualmente debe practicarse sobre las rentas de trabajo.</w:t>
      </w:r>
    </w:p>
    <w:p w14:paraId="0DA1D12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lastRenderedPageBreak/>
        <w:t> </w:t>
      </w:r>
    </w:p>
    <w:p w14:paraId="13E17ED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El </w:t>
      </w:r>
      <w:hyperlink r:id="rId11"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color w:val="000000"/>
          <w:szCs w:val="24"/>
          <w:lang w:eastAsia="es-CO"/>
        </w:rPr>
        <w:t> del ET incide tanto en la depuración del impuesto sobre la renta de las personas naturales, como en la determinación de la base de retención en la fuente por rentas de trabajo, la cual incluye ingresos no constitutivos de renta ni ganancia ocasional, deducciones y rentas exentas con los límites y montos previstos para cada una de ellas, los cuales deben tenerse en cuenta al momento de aplicar la respectiva retención para efecto de recaudar el impuesto dentro del mismo ejercicio gravable.</w:t>
      </w:r>
    </w:p>
    <w:p w14:paraId="4CCCB8E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64DD6C5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inciso segundo del referido </w:t>
      </w:r>
      <w:hyperlink r:id="rId12"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ib. debe armonizarse con la regulación de la retención en la fuente aplicable a los ingresos laborales, de cara al límite de las rentas exentas y deducciones aplicables a los mismos, de modo que la mensualización de UVT sobre los pagos que perciben los trabajadores en el mismo período mensual complementa y enfoca la ley hacia su eficaz y adecuada operatividad y ejecución.</w:t>
      </w:r>
    </w:p>
    <w:p w14:paraId="1D927FA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838040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La </w:t>
      </w:r>
      <w:r w:rsidRPr="00847458">
        <w:rPr>
          <w:rFonts w:ascii="Century Gothic" w:eastAsia="Times New Roman" w:hAnsi="Century Gothic" w:cs="Segoe UI"/>
          <w:b/>
          <w:bCs/>
          <w:szCs w:val="24"/>
          <w:lang w:eastAsia="es-CO"/>
        </w:rPr>
        <w:t>DIAN </w:t>
      </w:r>
      <w:r w:rsidRPr="00847458">
        <w:rPr>
          <w:rFonts w:ascii="Century Gothic" w:eastAsia="Times New Roman" w:hAnsi="Century Gothic" w:cs="Segoe UI"/>
          <w:szCs w:val="24"/>
          <w:lang w:eastAsia="es-CO"/>
        </w:rPr>
        <w:t>se opuso a la pretensión de nulidad, con fundamento en los argumentos que a continuación se exponen:</w:t>
      </w:r>
    </w:p>
    <w:p w14:paraId="37FF82F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0512D2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La norma acusada buscó instrumentalizar los límites anuales legalmente dispuestos para liquidar la renta líquida cedular de rentas de trabajo, considerando la causación mensual de la retención en la fuente por pagos laborales como mecanismo de recaudo anticipado del impuesto sobre la renta. Si la aplicación del límite mensual de UVT implica que algunos valores de rentas exentas y deducciones no disminuyan la base de retención en la fuente, al momento de liquidar el impuesto de renta para la vigencia correspondiente todas las deducciones y rentas exentas del período podrían llevarse al límite del </w:t>
      </w:r>
      <w:hyperlink r:id="rId13"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para la respectiva depuración del tributo.</w:t>
      </w:r>
    </w:p>
    <w:p w14:paraId="253F0E8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F1E5D6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La Ley 1819 de 2016 asignó la responsabilidad fiscal en virtud de la naturaleza del ingreso percibido, clasificándolo en diferentes cédulas como las correspondientes a rentas de trabajo, cuyos beneficios tributarios no pueden aplicarse a otro tipo de rentas. La depuración de esas rentas debe hacerse conforme al </w:t>
      </w:r>
      <w:hyperlink r:id="rId14" w:tooltip="Estatuto Tributario CETA" w:history="1">
        <w:r w:rsidRPr="00847458">
          <w:rPr>
            <w:rFonts w:ascii="Century Gothic" w:eastAsia="Times New Roman" w:hAnsi="Century Gothic" w:cs="Segoe UI"/>
            <w:color w:val="0089E1"/>
            <w:szCs w:val="24"/>
            <w:u w:val="single"/>
            <w:lang w:eastAsia="es-CO"/>
          </w:rPr>
          <w:t>artículo 26</w:t>
        </w:r>
      </w:hyperlink>
      <w:r w:rsidRPr="00847458">
        <w:rPr>
          <w:rFonts w:ascii="Century Gothic" w:eastAsia="Times New Roman" w:hAnsi="Century Gothic" w:cs="Segoe UI"/>
          <w:szCs w:val="24"/>
          <w:lang w:eastAsia="es-CO"/>
        </w:rPr>
        <w:t> del ET.</w:t>
      </w:r>
    </w:p>
    <w:p w14:paraId="4AF280B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440411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Para efecto de depurar la base de retención en la fuente sobre ingresos laborales, los pagos efectivamente realizados por deducciones y rentas exentas, entre otros conceptos, deben detraerse de los pagos percibidos, con los límites que el legislador fija para cada beneficio.</w:t>
      </w:r>
    </w:p>
    <w:p w14:paraId="400E2F6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B3D5BA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Frente a tales deducciones y rentas exentas, el parágrafo demandando concuerda con el </w:t>
      </w:r>
      <w:hyperlink r:id="rId15"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ib. y reitera los límites generales que debe tener en cuenta el agente retenedor, armonizándolos con la naturaleza y el carácter mensualizado del mecanismo de retención en la fuente, sin afectar beneficio alguno, pues lo pretendido es que la retención no exceda los topes fijados por el legislador y que cumpla los objetivos del recaudo anticipado. Así, el límite mensual de UVT contribuye a que las deducciones y rentas exentas concuerden con la naturaleza de la retención en la fuente practicada en forma mensual sobre ingresos laborales o, en otros términos, a sistematizar el marco legal de limitantes a dichos beneficios fiscales, con el marco general sobre estructura, finalidad y forma de pago de la retención aplicable a pagos laborales.</w:t>
      </w:r>
    </w:p>
    <w:p w14:paraId="7BF222A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32967B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xml:space="preserve">Al incluir el número de UVT mensuales límite de rentas exentas y deducciones en la depuración de la base de cálculo de retención en la fuente, el precepto reglamentario enjuiciado encuadró el límite general anual de UVT (5.040) al concepto de retención en la fuente mensualizada sobre ingresos laborales, en aras de que los beneficios fiscales y sus limitaciones sean simétricos para la </w:t>
      </w:r>
      <w:r w:rsidRPr="00847458">
        <w:rPr>
          <w:rFonts w:ascii="Century Gothic" w:eastAsia="Times New Roman" w:hAnsi="Century Gothic" w:cs="Segoe UI"/>
          <w:szCs w:val="24"/>
          <w:lang w:eastAsia="es-CO"/>
        </w:rPr>
        <w:lastRenderedPageBreak/>
        <w:t>retención en la fuente practicada y el impuesto de renta del período; ello no se lograría sin el valor mensual del monto máximo en UVT anual.</w:t>
      </w:r>
    </w:p>
    <w:p w14:paraId="367CD71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6E54274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Por lo demás, la diferencia entre límites anuales y mensualizados solo se muestra en asuntos de flujos de caja, pues en la depuración de la base de retención con límite mensualizado, dicha retención es mayor y, consiguientemente, implica un menor valor a pagar por impuesto o un mayor saldo a favor al momento de presentarse la declaración de renta; y en el caso de depuraciones sin límite mensualizado el valor de retención es menor, contra un mayor impuesto a pagar o un menor saldo a favor.</w:t>
      </w:r>
    </w:p>
    <w:p w14:paraId="2D73C92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DF8A87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Mediante Auto del 10 de noviembre de 2020 y previa solicitud de la apoderada de la DIAN</w:t>
      </w:r>
      <w:bookmarkStart w:id="8" w:name="_ftnref9"/>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"_ftn9"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[9]</w:t>
      </w:r>
      <w:r w:rsidRPr="00847458">
        <w:rPr>
          <w:rFonts w:ascii="Century Gothic" w:eastAsia="Times New Roman" w:hAnsi="Century Gothic" w:cs="Segoe UI"/>
          <w:szCs w:val="24"/>
          <w:lang w:eastAsia="es-CO"/>
        </w:rPr>
        <w:fldChar w:fldCharType="end"/>
      </w:r>
      <w:bookmarkEnd w:id="8"/>
      <w:r w:rsidRPr="00847458">
        <w:rPr>
          <w:rFonts w:ascii="Century Gothic" w:eastAsia="Times New Roman" w:hAnsi="Century Gothic" w:cs="Segoe UI"/>
          <w:szCs w:val="24"/>
          <w:lang w:eastAsia="es-CO"/>
        </w:rPr>
        <w:t>, el despacho sustanciador ordenó surtir el trámite de sentencia anticipada, previsto en el numeral 1 del artículo 13 del Decreto 806 de 2021, en el entendido de que el presente proceso corresponde a un asunto de pleno derecho en el que no se requiere la práctica de pruebas.</w:t>
      </w:r>
    </w:p>
    <w:p w14:paraId="5763F27D"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305A78A8"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ALEGATOS DE CONCLUSIÓN</w:t>
      </w:r>
    </w:p>
    <w:p w14:paraId="19D3974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5604FB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w:t>
      </w:r>
      <w:r w:rsidRPr="00847458">
        <w:rPr>
          <w:rFonts w:ascii="Century Gothic" w:eastAsia="Times New Roman" w:hAnsi="Century Gothic" w:cs="Segoe UI"/>
          <w:b/>
          <w:bCs/>
          <w:szCs w:val="24"/>
          <w:lang w:eastAsia="es-CO"/>
        </w:rPr>
        <w:t>demandante</w:t>
      </w:r>
      <w:bookmarkStart w:id="9" w:name="_ftnref10"/>
      <w:r w:rsidRPr="00847458">
        <w:rPr>
          <w:rFonts w:ascii="Century Gothic" w:eastAsia="Times New Roman" w:hAnsi="Century Gothic" w:cs="Segoe UI"/>
          <w:b/>
          <w:bCs/>
          <w:szCs w:val="24"/>
          <w:lang w:eastAsia="es-CO"/>
        </w:rPr>
        <w:fldChar w:fldCharType="begin"/>
      </w:r>
      <w:r w:rsidRPr="00847458">
        <w:rPr>
          <w:rFonts w:ascii="Century Gothic" w:eastAsia="Times New Roman" w:hAnsi="Century Gothic" w:cs="Segoe UI"/>
          <w:b/>
          <w:bCs/>
          <w:szCs w:val="24"/>
          <w:lang w:eastAsia="es-CO"/>
        </w:rPr>
        <w:instrText xml:space="preserve"> HYPERLINK "https://www.ceta.org.co/html/vista_de_un_documento.asp?DocumentoID=42749" \l "_ftn10" \o "" </w:instrText>
      </w:r>
      <w:r w:rsidRPr="00847458">
        <w:rPr>
          <w:rFonts w:ascii="Century Gothic" w:eastAsia="Times New Roman" w:hAnsi="Century Gothic" w:cs="Segoe UI"/>
          <w:b/>
          <w:bCs/>
          <w:szCs w:val="24"/>
          <w:lang w:eastAsia="es-CO"/>
        </w:rPr>
        <w:fldChar w:fldCharType="separate"/>
      </w:r>
      <w:r w:rsidRPr="00847458">
        <w:rPr>
          <w:rFonts w:ascii="Century Gothic" w:eastAsia="Times New Roman" w:hAnsi="Century Gothic" w:cs="Segoe UI"/>
          <w:b/>
          <w:bCs/>
          <w:color w:val="0089E1"/>
          <w:szCs w:val="24"/>
          <w:lang w:eastAsia="es-CO"/>
        </w:rPr>
        <w:t>[10]</w:t>
      </w:r>
      <w:r w:rsidRPr="00847458">
        <w:rPr>
          <w:rFonts w:ascii="Century Gothic" w:eastAsia="Times New Roman" w:hAnsi="Century Gothic" w:cs="Segoe UI"/>
          <w:b/>
          <w:bCs/>
          <w:szCs w:val="24"/>
          <w:lang w:eastAsia="es-CO"/>
        </w:rPr>
        <w:fldChar w:fldCharType="end"/>
      </w:r>
      <w:bookmarkEnd w:id="9"/>
      <w:r w:rsidRPr="00847458">
        <w:rPr>
          <w:rFonts w:ascii="Century Gothic" w:eastAsia="Times New Roman" w:hAnsi="Century Gothic" w:cs="Segoe UI"/>
          <w:szCs w:val="24"/>
          <w:lang w:eastAsia="es-CO"/>
        </w:rPr>
        <w:t> reiteró los argumentos de la demanda, destacando que el aparte </w:t>
      </w:r>
      <w:r w:rsidRPr="00847458">
        <w:rPr>
          <w:rFonts w:ascii="Century Gothic" w:eastAsia="Times New Roman" w:hAnsi="Century Gothic" w:cs="Segoe UI"/>
          <w:i/>
          <w:iCs/>
          <w:szCs w:val="24"/>
          <w:lang w:eastAsia="es-CO"/>
        </w:rPr>
        <w:t>“para todos los fines previstos”</w:t>
      </w:r>
      <w:r w:rsidRPr="00847458">
        <w:rPr>
          <w:rFonts w:ascii="Century Gothic" w:eastAsia="Times New Roman" w:hAnsi="Century Gothic" w:cs="Segoe UI"/>
          <w:szCs w:val="24"/>
          <w:lang w:eastAsia="es-CO"/>
        </w:rPr>
        <w:t>, contenido en la norma acusada, supone que esta se aplica a todo ámbito de la legislación del impuesto de renta y no a una materia específica, buscando así extender los efectos del </w:t>
      </w:r>
      <w:hyperlink r:id="rId16"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a instituciones no previstas en la ley.</w:t>
      </w:r>
    </w:p>
    <w:p w14:paraId="3AE0260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41EE97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Agregó que el parágrafo cuestionado no buscaba simetría entre la retención en la fuente practicada y el impuesto de renta del período, porque el numeral 2 del </w:t>
      </w:r>
      <w:hyperlink r:id="rId17" w:tooltip="Estatuto Tributario CETA" w:history="1">
        <w:r w:rsidRPr="00847458">
          <w:rPr>
            <w:rFonts w:ascii="Century Gothic" w:eastAsia="Times New Roman" w:hAnsi="Century Gothic" w:cs="Segoe UI"/>
            <w:color w:val="0089E1"/>
            <w:szCs w:val="24"/>
            <w:u w:val="single"/>
            <w:lang w:eastAsia="es-CO"/>
          </w:rPr>
          <w:t>artículo 369</w:t>
        </w:r>
      </w:hyperlink>
      <w:r w:rsidRPr="00847458">
        <w:rPr>
          <w:rFonts w:ascii="Century Gothic" w:eastAsia="Times New Roman" w:hAnsi="Century Gothic" w:cs="Segoe UI"/>
          <w:szCs w:val="24"/>
          <w:lang w:eastAsia="es-CO"/>
        </w:rPr>
        <w:t xml:space="preserve"> del ET exonera de retención en la fuente a los pagos que por disposiciones legales se encontraren exentos en cabeza del beneficiario. Así </w:t>
      </w:r>
      <w:r w:rsidRPr="00847458">
        <w:rPr>
          <w:rFonts w:ascii="Century Gothic" w:eastAsia="Times New Roman" w:hAnsi="Century Gothic" w:cs="Segoe UI"/>
          <w:szCs w:val="24"/>
          <w:lang w:eastAsia="es-CO"/>
        </w:rPr>
        <w:lastRenderedPageBreak/>
        <w:t>mismo, advirtió que, en relación con las deducciones, se reforman las normas legales sobre retención en la fuente, porque permite restar de los pagos, los gastos necesarios para obtenerlos, no obstante que casi todas las normas sobre retención establecen que esta debe practicarse sobre el valor bruto pagado al contribuyente, sin restarle tales gastos.</w:t>
      </w:r>
    </w:p>
    <w:p w14:paraId="70EFC37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392B67E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concepto de renta líquida refiere a la totalidad de un año gravable, y el </w:t>
      </w:r>
      <w:hyperlink r:id="rId18"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determina limitaciones para establecer rentas exentas y deducciones de 5.040 UVT anuales, permitiendo que en los meses en que se sobrepase el límite mensual de 420 UVT pueda compensarse el exceso con otros meses que reportaran un déficit de UVT mensuales, siempre que no se sobrepase el límite de 5.040 UVT anuales. La determinación de la renta líquida sería el resultado de los doce meses del año como unidades independientes, en contravía del concepto de año gravable, fundamental en la base gravable del impuesto sobre la renta.</w:t>
      </w:r>
    </w:p>
    <w:p w14:paraId="513DEC7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FA6AD5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El </w:t>
      </w:r>
      <w:r w:rsidRPr="00847458">
        <w:rPr>
          <w:rFonts w:ascii="Century Gothic" w:eastAsia="Times New Roman" w:hAnsi="Century Gothic" w:cs="Segoe UI"/>
          <w:b/>
          <w:bCs/>
          <w:szCs w:val="24"/>
          <w:lang w:eastAsia="es-CO"/>
        </w:rPr>
        <w:t>Ministerio de Hacienda</w:t>
      </w:r>
      <w:bookmarkStart w:id="10" w:name="_ftnref11"/>
      <w:r w:rsidRPr="00847458">
        <w:rPr>
          <w:rFonts w:ascii="Century Gothic" w:eastAsia="Times New Roman" w:hAnsi="Century Gothic" w:cs="Segoe UI"/>
          <w:b/>
          <w:bCs/>
          <w:szCs w:val="24"/>
          <w:lang w:eastAsia="es-CO"/>
        </w:rPr>
        <w:fldChar w:fldCharType="begin"/>
      </w:r>
      <w:r w:rsidRPr="00847458">
        <w:rPr>
          <w:rFonts w:ascii="Century Gothic" w:eastAsia="Times New Roman" w:hAnsi="Century Gothic" w:cs="Segoe UI"/>
          <w:b/>
          <w:bCs/>
          <w:szCs w:val="24"/>
          <w:lang w:eastAsia="es-CO"/>
        </w:rPr>
        <w:instrText xml:space="preserve"> HYPERLINK "https://www.ceta.org.co/html/vista_de_un_documento.asp?DocumentoID=42749" \l "_ftn11" \o "" </w:instrText>
      </w:r>
      <w:r w:rsidRPr="00847458">
        <w:rPr>
          <w:rFonts w:ascii="Century Gothic" w:eastAsia="Times New Roman" w:hAnsi="Century Gothic" w:cs="Segoe UI"/>
          <w:b/>
          <w:bCs/>
          <w:szCs w:val="24"/>
          <w:lang w:eastAsia="es-CO"/>
        </w:rPr>
        <w:fldChar w:fldCharType="separate"/>
      </w:r>
      <w:r w:rsidRPr="00847458">
        <w:rPr>
          <w:rFonts w:ascii="Century Gothic" w:eastAsia="Times New Roman" w:hAnsi="Century Gothic" w:cs="Segoe UI"/>
          <w:b/>
          <w:bCs/>
          <w:color w:val="0089E1"/>
          <w:szCs w:val="24"/>
          <w:lang w:eastAsia="es-CO"/>
        </w:rPr>
        <w:t>[11]</w:t>
      </w:r>
      <w:r w:rsidRPr="00847458">
        <w:rPr>
          <w:rFonts w:ascii="Century Gothic" w:eastAsia="Times New Roman" w:hAnsi="Century Gothic" w:cs="Segoe UI"/>
          <w:b/>
          <w:bCs/>
          <w:szCs w:val="24"/>
          <w:lang w:eastAsia="es-CO"/>
        </w:rPr>
        <w:fldChar w:fldCharType="end"/>
      </w:r>
      <w:bookmarkEnd w:id="10"/>
      <w:r w:rsidRPr="00847458">
        <w:rPr>
          <w:rFonts w:ascii="Century Gothic" w:eastAsia="Times New Roman" w:hAnsi="Century Gothic" w:cs="Segoe UI"/>
          <w:szCs w:val="24"/>
          <w:lang w:eastAsia="es-CO"/>
        </w:rPr>
        <w:t> reiteró los argumentos de su escrito de contestación.</w:t>
      </w:r>
    </w:p>
    <w:p w14:paraId="485496F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030F3B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La </w:t>
      </w:r>
      <w:r w:rsidRPr="00847458">
        <w:rPr>
          <w:rFonts w:ascii="Century Gothic" w:eastAsia="Times New Roman" w:hAnsi="Century Gothic" w:cs="Segoe UI"/>
          <w:b/>
          <w:bCs/>
          <w:szCs w:val="24"/>
          <w:lang w:eastAsia="es-CO"/>
        </w:rPr>
        <w:t>DIAN</w:t>
      </w:r>
      <w:bookmarkStart w:id="11" w:name="_ftnref12"/>
      <w:r w:rsidRPr="00847458">
        <w:rPr>
          <w:rFonts w:ascii="Century Gothic" w:eastAsia="Times New Roman" w:hAnsi="Century Gothic" w:cs="Segoe UI"/>
          <w:b/>
          <w:bCs/>
          <w:szCs w:val="24"/>
          <w:lang w:eastAsia="es-CO"/>
        </w:rPr>
        <w:fldChar w:fldCharType="begin"/>
      </w:r>
      <w:r w:rsidRPr="00847458">
        <w:rPr>
          <w:rFonts w:ascii="Century Gothic" w:eastAsia="Times New Roman" w:hAnsi="Century Gothic" w:cs="Segoe UI"/>
          <w:b/>
          <w:bCs/>
          <w:szCs w:val="24"/>
          <w:lang w:eastAsia="es-CO"/>
        </w:rPr>
        <w:instrText xml:space="preserve"> HYPERLINK "https://www.ceta.org.co/html/vista_de_un_documento.asp?DocumentoID=42749" \l "_ftn12" \o "" </w:instrText>
      </w:r>
      <w:r w:rsidRPr="00847458">
        <w:rPr>
          <w:rFonts w:ascii="Century Gothic" w:eastAsia="Times New Roman" w:hAnsi="Century Gothic" w:cs="Segoe UI"/>
          <w:b/>
          <w:bCs/>
          <w:szCs w:val="24"/>
          <w:lang w:eastAsia="es-CO"/>
        </w:rPr>
        <w:fldChar w:fldCharType="separate"/>
      </w:r>
      <w:r w:rsidRPr="00847458">
        <w:rPr>
          <w:rFonts w:ascii="Century Gothic" w:eastAsia="Times New Roman" w:hAnsi="Century Gothic" w:cs="Segoe UI"/>
          <w:b/>
          <w:bCs/>
          <w:color w:val="0089E1"/>
          <w:szCs w:val="24"/>
          <w:lang w:eastAsia="es-CO"/>
        </w:rPr>
        <w:t>[12]</w:t>
      </w:r>
      <w:r w:rsidRPr="00847458">
        <w:rPr>
          <w:rFonts w:ascii="Century Gothic" w:eastAsia="Times New Roman" w:hAnsi="Century Gothic" w:cs="Segoe UI"/>
          <w:b/>
          <w:bCs/>
          <w:szCs w:val="24"/>
          <w:lang w:eastAsia="es-CO"/>
        </w:rPr>
        <w:fldChar w:fldCharType="end"/>
      </w:r>
      <w:bookmarkEnd w:id="11"/>
      <w:r w:rsidRPr="00847458">
        <w:rPr>
          <w:rFonts w:ascii="Century Gothic" w:eastAsia="Times New Roman" w:hAnsi="Century Gothic" w:cs="Segoe UI"/>
          <w:szCs w:val="24"/>
          <w:lang w:eastAsia="es-CO"/>
        </w:rPr>
        <w:t>, por su parte, insistió en que la limitación de las 420 UVT mensuales armoniza el marco general y conceptual de las restricciones en rentas exentas y deducciones del </w:t>
      </w:r>
      <w:hyperlink r:id="rId19"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en materia de retención en la fuente, buscando ajustar aquellas a la causación mensualizada de esta última. No hay exceso de poder reglamentario porque la limitación reconoce el marco general del </w:t>
      </w:r>
      <w:hyperlink r:id="rId20"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adecuándolo al sistema de recaudo anticipado vía retención en la fuente a través de reglas especiales dirigidas a impedir o desconocer el referente regulatorio.</w:t>
      </w:r>
    </w:p>
    <w:p w14:paraId="2103DB0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2BF7548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lastRenderedPageBreak/>
        <w:t>El </w:t>
      </w:r>
      <w:r w:rsidRPr="00847458">
        <w:rPr>
          <w:rFonts w:ascii="Century Gothic" w:eastAsia="Times New Roman" w:hAnsi="Century Gothic" w:cs="Segoe UI"/>
          <w:b/>
          <w:bCs/>
          <w:color w:val="000000"/>
          <w:szCs w:val="24"/>
          <w:lang w:eastAsia="es-CO"/>
        </w:rPr>
        <w:t>Ministerio Público </w:t>
      </w:r>
      <w:r w:rsidRPr="00847458">
        <w:rPr>
          <w:rFonts w:ascii="Century Gothic" w:eastAsia="Times New Roman" w:hAnsi="Century Gothic" w:cs="Segoe UI"/>
          <w:color w:val="000000"/>
          <w:szCs w:val="24"/>
          <w:lang w:eastAsia="es-CO"/>
        </w:rPr>
        <w:t>solicitó que se negaran las pretensiones de la demanda</w:t>
      </w:r>
      <w:bookmarkStart w:id="12" w:name="_ftnref13"/>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"_ftn13"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[13]</w:t>
      </w:r>
      <w:r w:rsidRPr="00847458">
        <w:rPr>
          <w:rFonts w:ascii="Century Gothic" w:eastAsia="Times New Roman" w:hAnsi="Century Gothic" w:cs="Segoe UI"/>
          <w:color w:val="000000"/>
          <w:szCs w:val="24"/>
          <w:lang w:eastAsia="es-CO"/>
        </w:rPr>
        <w:fldChar w:fldCharType="end"/>
      </w:r>
      <w:bookmarkEnd w:id="12"/>
      <w:r w:rsidRPr="00847458">
        <w:rPr>
          <w:rFonts w:ascii="Century Gothic" w:eastAsia="Times New Roman" w:hAnsi="Century Gothic" w:cs="Segoe UI"/>
          <w:color w:val="000000"/>
          <w:szCs w:val="24"/>
          <w:lang w:eastAsia="es-CO"/>
        </w:rPr>
        <w:t>, por cuanto la norma acusada indica cómo determinar la base gravable para el cálculo de la retención en la fuente mensual, dividiendo el límite de UVT anuales en los 12 meses del año, para así limitar la deducción por cada mes.</w:t>
      </w:r>
    </w:p>
    <w:p w14:paraId="4A72412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C39DF3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Tal regulación concuerda con las limitaciones establecidas en el </w:t>
      </w:r>
      <w:hyperlink r:id="rId21"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 para rentas exentas y deducciones en el impuesto cedular sobre las rentas de trabajo, y con la estructura, finalidad y forma de pago de la retención en la fuente que en nada afecta la depuración de la renta, pues luego de establecer el impuesto a cargo del contribuyente puede restar el valor de las retenciones en la fuente que se le han practicado, para efectos de determinar el saldo a pagar o el saldo a favor.</w:t>
      </w:r>
    </w:p>
    <w:p w14:paraId="7335125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60DEA9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Con la norma demandada se trasladó fácilmente el tope anual legalmente dispuesto, a los contribuyentes sujetos a retención en la fuente, mediante la división por el número de meses del año.</w:t>
      </w:r>
    </w:p>
    <w:p w14:paraId="6EECE82F"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11944AAA"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CONSIDERACIONES DE LA SALA</w:t>
      </w:r>
    </w:p>
    <w:p w14:paraId="01010B5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201CC93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Corresponde establecer la legalidad del parágrafo 3 del artículo 1.2.4.1.6 del Decreto 1625 de 2016</w:t>
      </w:r>
      <w:bookmarkStart w:id="13" w:name="_ftnref14"/>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"_ftn14"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[14]</w:t>
      </w:r>
      <w:r w:rsidRPr="00847458">
        <w:rPr>
          <w:rFonts w:ascii="Century Gothic" w:eastAsia="Times New Roman" w:hAnsi="Century Gothic" w:cs="Segoe UI"/>
          <w:szCs w:val="24"/>
          <w:lang w:eastAsia="es-CO"/>
        </w:rPr>
        <w:fldChar w:fldCharType="end"/>
      </w:r>
      <w:bookmarkEnd w:id="13"/>
      <w:r w:rsidRPr="00847458">
        <w:rPr>
          <w:rFonts w:ascii="Century Gothic" w:eastAsia="Times New Roman" w:hAnsi="Century Gothic" w:cs="Segoe UI"/>
          <w:szCs w:val="24"/>
          <w:lang w:eastAsia="es-CO"/>
        </w:rPr>
        <w:t xml:space="preserve">, expedido por el </w:t>
      </w:r>
      <w:proofErr w:type="gramStart"/>
      <w:r w:rsidRPr="00847458">
        <w:rPr>
          <w:rFonts w:ascii="Century Gothic" w:eastAsia="Times New Roman" w:hAnsi="Century Gothic" w:cs="Segoe UI"/>
          <w:szCs w:val="24"/>
          <w:lang w:eastAsia="es-CO"/>
        </w:rPr>
        <w:t>Ministro</w:t>
      </w:r>
      <w:proofErr w:type="gramEnd"/>
      <w:r w:rsidRPr="00847458">
        <w:rPr>
          <w:rFonts w:ascii="Century Gothic" w:eastAsia="Times New Roman" w:hAnsi="Century Gothic" w:cs="Segoe UI"/>
          <w:szCs w:val="24"/>
          <w:lang w:eastAsia="es-CO"/>
        </w:rPr>
        <w:t xml:space="preserve"> de Hacienda y Crédito Público, en cuanto dispuso que las rentas exentas y deducciones no pueden superar el valor equivalente a 420 Unidades de Valor Tributario - UVT mensuales.</w:t>
      </w:r>
    </w:p>
    <w:p w14:paraId="0B5F4CA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20D28B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Según el demandante, el aparte acusado infringe el principio de reserva de ley y excede la potestad reglamentaria, porque el </w:t>
      </w:r>
      <w:hyperlink r:id="rId22"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xml:space="preserve"> del ET no estableció topes de UVT mensual para limitar las rentas exentas y las deducciones especiales imputables a la renta líquida de la cédula general; y la aplicación de ese tipo de limitante recorta el beneficio sobre aportes semestrales a fondos de pensión y </w:t>
      </w:r>
      <w:r w:rsidRPr="00847458">
        <w:rPr>
          <w:rFonts w:ascii="Century Gothic" w:eastAsia="Times New Roman" w:hAnsi="Century Gothic" w:cs="Segoe UI"/>
          <w:szCs w:val="24"/>
          <w:lang w:eastAsia="es-CO"/>
        </w:rPr>
        <w:lastRenderedPageBreak/>
        <w:t>cuentas AFC que generalmente se hacen en junio y diciembre por valor superior a las 420 UVT, cuando los trabajadores perciben más ingresos.</w:t>
      </w:r>
    </w:p>
    <w:p w14:paraId="2DE05FA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 </w:t>
      </w:r>
    </w:p>
    <w:p w14:paraId="13C206A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A contrario sensu</w:t>
      </w:r>
      <w:r w:rsidRPr="00847458">
        <w:rPr>
          <w:rFonts w:ascii="Century Gothic" w:eastAsia="Times New Roman" w:hAnsi="Century Gothic" w:cs="Segoe UI"/>
          <w:szCs w:val="24"/>
          <w:lang w:eastAsia="es-CO"/>
        </w:rPr>
        <w:t>, la parte demandada aduce que la norma enjuiciada, reglamentaria de la depuración de la retención en la fuente, se ajusta a los límites generales previstos en el referido </w:t>
      </w:r>
      <w:hyperlink r:id="rId23"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ib. para la depuración de la renta líquida cedular de trabajo, armonizándolos con la naturaleza, finalidad y causación mensual del mecanismo de retención en la fuente.</w:t>
      </w:r>
    </w:p>
    <w:p w14:paraId="1586C42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E1F296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Para resolver, se observa:</w:t>
      </w:r>
    </w:p>
    <w:p w14:paraId="3C8491E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44DE7FB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La reforma tributaria promulgada por la Ley 1819 de 2016, introdujo modificaciones estructurales al impuesto sobre la renta de las personas naturales. Por cuenta de esas modificaciones se adoptó un sistema cedular que, considerando las diferentes fuentes de la renta, introdujo cambios cuantitativos en la depuración de cinco cédulas independientes </w:t>
      </w:r>
      <w:r w:rsidRPr="00847458">
        <w:rPr>
          <w:rFonts w:ascii="Century Gothic" w:eastAsia="Times New Roman" w:hAnsi="Century Gothic" w:cs="Segoe UI"/>
          <w:i/>
          <w:iCs/>
          <w:color w:val="000000"/>
          <w:szCs w:val="24"/>
          <w:lang w:eastAsia="es-CO"/>
        </w:rPr>
        <w:t>(rentas de trabajo; pensiones; rentas de capital; rentas no laborales; dividendos y participaciones)</w:t>
      </w:r>
      <w:r w:rsidRPr="00847458">
        <w:rPr>
          <w:rFonts w:ascii="Century Gothic" w:eastAsia="Times New Roman" w:hAnsi="Century Gothic" w:cs="Segoe UI"/>
          <w:color w:val="000000"/>
          <w:szCs w:val="24"/>
          <w:lang w:eastAsia="es-CO"/>
        </w:rPr>
        <w:t>, bajo las reglas del </w:t>
      </w:r>
      <w:hyperlink r:id="rId24" w:tooltip="Estatuto Tributario CETA" w:history="1">
        <w:r w:rsidRPr="00847458">
          <w:rPr>
            <w:rFonts w:ascii="Century Gothic" w:eastAsia="Times New Roman" w:hAnsi="Century Gothic" w:cs="Segoe UI"/>
            <w:color w:val="0089E1"/>
            <w:szCs w:val="24"/>
            <w:u w:val="single"/>
            <w:lang w:eastAsia="es-CO"/>
          </w:rPr>
          <w:t>artículo 26</w:t>
        </w:r>
      </w:hyperlink>
      <w:r w:rsidRPr="00847458">
        <w:rPr>
          <w:rFonts w:ascii="Century Gothic" w:eastAsia="Times New Roman" w:hAnsi="Century Gothic" w:cs="Segoe UI"/>
          <w:color w:val="000000"/>
          <w:szCs w:val="24"/>
          <w:lang w:eastAsia="es-CO"/>
        </w:rPr>
        <w:t> del ET aplicables a cada caso</w:t>
      </w:r>
      <w:bookmarkStart w:id="14" w:name="_ftnref15"/>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"_ftn15"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[15]</w:t>
      </w:r>
      <w:r w:rsidRPr="00847458">
        <w:rPr>
          <w:rFonts w:ascii="Century Gothic" w:eastAsia="Times New Roman" w:hAnsi="Century Gothic" w:cs="Segoe UI"/>
          <w:color w:val="000000"/>
          <w:szCs w:val="24"/>
          <w:lang w:eastAsia="es-CO"/>
        </w:rPr>
        <w:fldChar w:fldCharType="end"/>
      </w:r>
      <w:bookmarkEnd w:id="14"/>
      <w:r w:rsidRPr="00847458">
        <w:rPr>
          <w:rFonts w:ascii="Century Gothic" w:eastAsia="Times New Roman" w:hAnsi="Century Gothic" w:cs="Segoe UI"/>
          <w:color w:val="000000"/>
          <w:szCs w:val="24"/>
          <w:lang w:eastAsia="es-CO"/>
        </w:rPr>
        <w:t>, para determinar en cada uno de ellos una renta líquida más equitativa y ajustada a los propósitos legislativos de turno en materia de progresividad y simplicidad en el impuesto, con tarifas diferenciales por grupos</w:t>
      </w:r>
      <w:bookmarkStart w:id="15" w:name="_ftnref16"/>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"_ftn16"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[16]</w:t>
      </w:r>
      <w:r w:rsidRPr="00847458">
        <w:rPr>
          <w:rFonts w:ascii="Century Gothic" w:eastAsia="Times New Roman" w:hAnsi="Century Gothic" w:cs="Segoe UI"/>
          <w:color w:val="000000"/>
          <w:szCs w:val="24"/>
          <w:lang w:eastAsia="es-CO"/>
        </w:rPr>
        <w:fldChar w:fldCharType="end"/>
      </w:r>
      <w:bookmarkEnd w:id="15"/>
      <w:r w:rsidRPr="00847458">
        <w:rPr>
          <w:rFonts w:ascii="Century Gothic" w:eastAsia="Times New Roman" w:hAnsi="Century Gothic" w:cs="Segoe UI"/>
          <w:color w:val="000000"/>
          <w:szCs w:val="24"/>
          <w:lang w:eastAsia="es-CO"/>
        </w:rPr>
        <w:t>.</w:t>
      </w:r>
    </w:p>
    <w:p w14:paraId="26D69B2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20ACA7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Para el caso de la cédula correspondiente a rentas de trabajo, integrada por los ingresos señalados en el </w:t>
      </w:r>
      <w:hyperlink r:id="rId25" w:tooltip="Estatuto Tributario CETA" w:history="1">
        <w:r w:rsidRPr="00847458">
          <w:rPr>
            <w:rFonts w:ascii="Century Gothic" w:eastAsia="Times New Roman" w:hAnsi="Century Gothic" w:cs="Segoe UI"/>
            <w:color w:val="0089E1"/>
            <w:szCs w:val="24"/>
            <w:u w:val="single"/>
            <w:lang w:eastAsia="es-CO"/>
          </w:rPr>
          <w:t>artículo 103</w:t>
        </w:r>
      </w:hyperlink>
      <w:r w:rsidRPr="00847458">
        <w:rPr>
          <w:rFonts w:ascii="Century Gothic" w:eastAsia="Times New Roman" w:hAnsi="Century Gothic" w:cs="Segoe UI"/>
          <w:szCs w:val="24"/>
          <w:lang w:eastAsia="es-CO"/>
        </w:rPr>
        <w:t> ib.</w:t>
      </w:r>
      <w:bookmarkStart w:id="16" w:name="_ftnref17"/>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"_ftn17"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[17]</w:t>
      </w:r>
      <w:r w:rsidRPr="00847458">
        <w:rPr>
          <w:rFonts w:ascii="Century Gothic" w:eastAsia="Times New Roman" w:hAnsi="Century Gothic" w:cs="Segoe UI"/>
          <w:szCs w:val="24"/>
          <w:lang w:eastAsia="es-CO"/>
        </w:rPr>
        <w:fldChar w:fldCharType="end"/>
      </w:r>
      <w:bookmarkEnd w:id="16"/>
      <w:r w:rsidRPr="00847458">
        <w:rPr>
          <w:rFonts w:ascii="Century Gothic" w:eastAsia="Times New Roman" w:hAnsi="Century Gothic" w:cs="Segoe UI"/>
          <w:szCs w:val="24"/>
          <w:lang w:eastAsia="es-CO"/>
        </w:rPr>
        <w:t>, el </w:t>
      </w:r>
      <w:hyperlink r:id="rId26"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w:t>
      </w:r>
      <w:proofErr w:type="spellStart"/>
      <w:r w:rsidRPr="00847458">
        <w:rPr>
          <w:rFonts w:ascii="Century Gothic" w:eastAsia="Times New Roman" w:hAnsi="Century Gothic" w:cs="Segoe UI"/>
          <w:i/>
          <w:iCs/>
          <w:szCs w:val="24"/>
          <w:lang w:eastAsia="es-CO"/>
        </w:rPr>
        <w:t>ejusdem</w:t>
      </w:r>
      <w:bookmarkStart w:id="17" w:name="_ftnref18"/>
      <w:proofErr w:type="spellEnd"/>
      <w:r w:rsidRPr="00847458">
        <w:rPr>
          <w:rFonts w:ascii="Century Gothic" w:eastAsia="Times New Roman" w:hAnsi="Century Gothic" w:cs="Segoe UI"/>
          <w:i/>
          <w:iCs/>
          <w:szCs w:val="24"/>
          <w:lang w:eastAsia="es-CO"/>
        </w:rPr>
        <w:fldChar w:fldCharType="begin"/>
      </w:r>
      <w:r w:rsidRPr="00847458">
        <w:rPr>
          <w:rFonts w:ascii="Century Gothic" w:eastAsia="Times New Roman" w:hAnsi="Century Gothic" w:cs="Segoe UI"/>
          <w:i/>
          <w:iCs/>
          <w:szCs w:val="24"/>
          <w:lang w:eastAsia="es-CO"/>
        </w:rPr>
        <w:instrText xml:space="preserve"> HYPERLINK "https://www.ceta.org.co/html/vista_de_un_documento.asp?DocumentoID=42749" \l "_ftn18" \o "" </w:instrText>
      </w:r>
      <w:r w:rsidRPr="00847458">
        <w:rPr>
          <w:rFonts w:ascii="Century Gothic" w:eastAsia="Times New Roman" w:hAnsi="Century Gothic" w:cs="Segoe UI"/>
          <w:i/>
          <w:iCs/>
          <w:szCs w:val="24"/>
          <w:lang w:eastAsia="es-CO"/>
        </w:rPr>
        <w:fldChar w:fldCharType="separate"/>
      </w:r>
      <w:r w:rsidRPr="00847458">
        <w:rPr>
          <w:rFonts w:ascii="Century Gothic" w:eastAsia="Times New Roman" w:hAnsi="Century Gothic" w:cs="Segoe UI"/>
          <w:b/>
          <w:bCs/>
          <w:i/>
          <w:iCs/>
          <w:color w:val="0089E1"/>
          <w:szCs w:val="24"/>
          <w:lang w:eastAsia="es-CO"/>
        </w:rPr>
        <w:t>[18]</w:t>
      </w:r>
      <w:r w:rsidRPr="00847458">
        <w:rPr>
          <w:rFonts w:ascii="Century Gothic" w:eastAsia="Times New Roman" w:hAnsi="Century Gothic" w:cs="Segoe UI"/>
          <w:i/>
          <w:iCs/>
          <w:szCs w:val="24"/>
          <w:lang w:eastAsia="es-CO"/>
        </w:rPr>
        <w:fldChar w:fldCharType="end"/>
      </w:r>
      <w:bookmarkEnd w:id="17"/>
      <w:r w:rsidRPr="00847458">
        <w:rPr>
          <w:rFonts w:ascii="Century Gothic" w:eastAsia="Times New Roman" w:hAnsi="Century Gothic" w:cs="Segoe UI"/>
          <w:szCs w:val="24"/>
          <w:lang w:eastAsia="es-CO"/>
        </w:rPr>
        <w:t> disponía </w:t>
      </w:r>
      <w:r w:rsidRPr="00847458">
        <w:rPr>
          <w:rFonts w:ascii="Century Gothic" w:eastAsia="Times New Roman" w:hAnsi="Century Gothic" w:cs="Segoe UI"/>
          <w:i/>
          <w:iCs/>
          <w:szCs w:val="24"/>
          <w:lang w:eastAsia="es-CO"/>
        </w:rPr>
        <w:t>“Para efectos de establecer la renta líquida cedular, del total de los ingresos de esta cédula obtenidos en el período gravable, se restarán los ingresos no constitutivos de renta imputables a esta cédula.</w:t>
      </w:r>
    </w:p>
    <w:p w14:paraId="4305D98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 </w:t>
      </w:r>
    </w:p>
    <w:p w14:paraId="5277B10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lastRenderedPageBreak/>
        <w:t>Podrán restarse todas las rentas exentas y las deducciones imputables a esta cédula, </w:t>
      </w:r>
      <w:r w:rsidRPr="00847458">
        <w:rPr>
          <w:rFonts w:ascii="Century Gothic" w:eastAsia="Times New Roman" w:hAnsi="Century Gothic" w:cs="Segoe UI"/>
          <w:b/>
          <w:bCs/>
          <w:i/>
          <w:iCs/>
          <w:szCs w:val="24"/>
          <w:lang w:eastAsia="es-CO"/>
        </w:rPr>
        <w:t>siempre que no excedan el cuarenta (40%) del resultado del inciso anterior, que en todo caso no puede exceder cinco mil cuarenta (5.040) UVT.</w:t>
      </w:r>
      <w:r w:rsidRPr="00847458">
        <w:rPr>
          <w:rFonts w:ascii="Century Gothic" w:eastAsia="Times New Roman" w:hAnsi="Century Gothic" w:cs="Segoe UI"/>
          <w:i/>
          <w:iCs/>
          <w:szCs w:val="24"/>
          <w:lang w:eastAsia="es-CO"/>
        </w:rPr>
        <w:t>”</w:t>
      </w:r>
    </w:p>
    <w:p w14:paraId="54CFBD0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0937AB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los anteriores términos el legislador tributario reguló la depuración de la renta cedular de trabajo dentro del marco de las reglas establecidas en el </w:t>
      </w:r>
      <w:hyperlink r:id="rId27" w:tooltip="Estatuto Tributario CETA" w:history="1">
        <w:r w:rsidRPr="00847458">
          <w:rPr>
            <w:rFonts w:ascii="Century Gothic" w:eastAsia="Times New Roman" w:hAnsi="Century Gothic" w:cs="Segoe UI"/>
            <w:color w:val="0089E1"/>
            <w:szCs w:val="24"/>
            <w:u w:val="single"/>
            <w:lang w:eastAsia="es-CO"/>
          </w:rPr>
          <w:t>artículo 26</w:t>
        </w:r>
      </w:hyperlink>
      <w:r w:rsidRPr="00847458">
        <w:rPr>
          <w:rFonts w:ascii="Century Gothic" w:eastAsia="Times New Roman" w:hAnsi="Century Gothic" w:cs="Segoe UI"/>
          <w:szCs w:val="24"/>
          <w:lang w:eastAsia="es-CO"/>
        </w:rPr>
        <w:t> del ET</w:t>
      </w:r>
      <w:bookmarkStart w:id="18" w:name="_ftnref19"/>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"_ftn19"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[19]</w:t>
      </w:r>
      <w:r w:rsidRPr="00847458">
        <w:rPr>
          <w:rFonts w:ascii="Century Gothic" w:eastAsia="Times New Roman" w:hAnsi="Century Gothic" w:cs="Segoe UI"/>
          <w:szCs w:val="24"/>
          <w:lang w:eastAsia="es-CO"/>
        </w:rPr>
        <w:fldChar w:fldCharType="end"/>
      </w:r>
      <w:bookmarkEnd w:id="18"/>
      <w:r w:rsidRPr="00847458">
        <w:rPr>
          <w:rFonts w:ascii="Century Gothic" w:eastAsia="Times New Roman" w:hAnsi="Century Gothic" w:cs="Segoe UI"/>
          <w:szCs w:val="24"/>
          <w:lang w:eastAsia="es-CO"/>
        </w:rPr>
        <w:t>, según previsión del </w:t>
      </w:r>
      <w:hyperlink r:id="rId28" w:tooltip="Estatuto Tributario CETA" w:history="1">
        <w:r w:rsidRPr="00847458">
          <w:rPr>
            <w:rFonts w:ascii="Century Gothic" w:eastAsia="Times New Roman" w:hAnsi="Century Gothic" w:cs="Segoe UI"/>
            <w:color w:val="0089E1"/>
            <w:szCs w:val="24"/>
            <w:u w:val="single"/>
            <w:lang w:eastAsia="es-CO"/>
          </w:rPr>
          <w:t>artículo 330</w:t>
        </w:r>
      </w:hyperlink>
      <w:r w:rsidRPr="00847458">
        <w:rPr>
          <w:rFonts w:ascii="Century Gothic" w:eastAsia="Times New Roman" w:hAnsi="Century Gothic" w:cs="Segoe UI"/>
          <w:szCs w:val="24"/>
          <w:lang w:eastAsia="es-CO"/>
        </w:rPr>
        <w:t> ib.</w:t>
      </w:r>
      <w:bookmarkStart w:id="19" w:name="_ftnref20"/>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"_ftn20"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[20]</w:t>
      </w:r>
      <w:r w:rsidRPr="00847458">
        <w:rPr>
          <w:rFonts w:ascii="Century Gothic" w:eastAsia="Times New Roman" w:hAnsi="Century Gothic" w:cs="Segoe UI"/>
          <w:szCs w:val="24"/>
          <w:lang w:eastAsia="es-CO"/>
        </w:rPr>
        <w:fldChar w:fldCharType="end"/>
      </w:r>
      <w:bookmarkEnd w:id="19"/>
      <w:r w:rsidRPr="00847458">
        <w:rPr>
          <w:rFonts w:ascii="Century Gothic" w:eastAsia="Times New Roman" w:hAnsi="Century Gothic" w:cs="Segoe UI"/>
          <w:szCs w:val="24"/>
          <w:lang w:eastAsia="es-CO"/>
        </w:rPr>
        <w:t xml:space="preserve">, disponiendo un límite de 5.040 UVT anuales por la periodicidad del impuesto de renta, como porcentaje admisible para rentas exentas y deducciones </w:t>
      </w:r>
      <w:proofErr w:type="spellStart"/>
      <w:r w:rsidRPr="00847458">
        <w:rPr>
          <w:rFonts w:ascii="Century Gothic" w:eastAsia="Times New Roman" w:hAnsi="Century Gothic" w:cs="Segoe UI"/>
          <w:szCs w:val="24"/>
          <w:lang w:eastAsia="es-CO"/>
        </w:rPr>
        <w:t>detraibles</w:t>
      </w:r>
      <w:proofErr w:type="spellEnd"/>
      <w:r w:rsidRPr="00847458">
        <w:rPr>
          <w:rFonts w:ascii="Century Gothic" w:eastAsia="Times New Roman" w:hAnsi="Century Gothic" w:cs="Segoe UI"/>
          <w:szCs w:val="24"/>
          <w:lang w:eastAsia="es-CO"/>
        </w:rPr>
        <w:t xml:space="preserve"> de la renta líquida cedular.</w:t>
      </w:r>
    </w:p>
    <w:p w14:paraId="74D717F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ABF50F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Por su parte y mediante el ejercicio de la facultad reglamentaria en aspectos puntuales, el Decreto 1625 de 2016 compiló las normas reglamentarias preexistentes en el Sector de Hacienda, para actualizar la normativa tributaria vigente, con miras a racionalizar, simplificar y ajustar su contenido material a la realidad institucional del momento, en pro de la eficiencia económica y social del sistema legal y del afianzamiento de la seguridad jurídica</w:t>
      </w:r>
      <w:bookmarkStart w:id="20" w:name="_ftnref21"/>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"_ftn21"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[21]</w:t>
      </w:r>
      <w:r w:rsidRPr="00847458">
        <w:rPr>
          <w:rFonts w:ascii="Century Gothic" w:eastAsia="Times New Roman" w:hAnsi="Century Gothic" w:cs="Segoe UI"/>
          <w:szCs w:val="24"/>
          <w:lang w:eastAsia="es-CO"/>
        </w:rPr>
        <w:fldChar w:fldCharType="end"/>
      </w:r>
      <w:bookmarkEnd w:id="20"/>
      <w:r w:rsidRPr="00847458">
        <w:rPr>
          <w:rFonts w:ascii="Century Gothic" w:eastAsia="Times New Roman" w:hAnsi="Century Gothic" w:cs="Segoe UI"/>
          <w:szCs w:val="24"/>
          <w:lang w:eastAsia="es-CO"/>
        </w:rPr>
        <w:t>.</w:t>
      </w:r>
    </w:p>
    <w:p w14:paraId="189320A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5F5779C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En desarrollo de esa compilación, el título 4 del DUR incorporó la regulación sobre retención en la fuente a título de impuesto sobre la renta y complementarios, a cargo de los agentes de retención señalados en los artículos 1.2.4.3 y 1.2.4.20</w:t>
      </w:r>
      <w:bookmarkStart w:id="21" w:name="_ftnref22"/>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"_ftn22"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[22]</w:t>
      </w:r>
      <w:r w:rsidRPr="00847458">
        <w:rPr>
          <w:rFonts w:ascii="Century Gothic" w:eastAsia="Times New Roman" w:hAnsi="Century Gothic" w:cs="Segoe UI"/>
          <w:color w:val="000000"/>
          <w:szCs w:val="24"/>
          <w:lang w:eastAsia="es-CO"/>
        </w:rPr>
        <w:fldChar w:fldCharType="end"/>
      </w:r>
      <w:bookmarkEnd w:id="21"/>
      <w:r w:rsidRPr="00847458">
        <w:rPr>
          <w:rFonts w:ascii="Century Gothic" w:eastAsia="Times New Roman" w:hAnsi="Century Gothic" w:cs="Segoe UI"/>
          <w:color w:val="000000"/>
          <w:szCs w:val="24"/>
          <w:lang w:eastAsia="es-CO"/>
        </w:rPr>
        <w:t>, particularizando su aplicación para el caso de los ingresos laborales, a través del capítulo primero del mismo título</w:t>
      </w:r>
      <w:bookmarkStart w:id="22" w:name="_ftnref23"/>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"_ftn23"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[23]</w:t>
      </w:r>
      <w:r w:rsidRPr="00847458">
        <w:rPr>
          <w:rFonts w:ascii="Century Gothic" w:eastAsia="Times New Roman" w:hAnsi="Century Gothic" w:cs="Segoe UI"/>
          <w:color w:val="000000"/>
          <w:szCs w:val="24"/>
          <w:lang w:eastAsia="es-CO"/>
        </w:rPr>
        <w:fldChar w:fldCharType="end"/>
      </w:r>
      <w:bookmarkEnd w:id="22"/>
      <w:r w:rsidRPr="00847458">
        <w:rPr>
          <w:rFonts w:ascii="Century Gothic" w:eastAsia="Times New Roman" w:hAnsi="Century Gothic" w:cs="Segoe UI"/>
          <w:color w:val="000000"/>
          <w:szCs w:val="24"/>
          <w:lang w:eastAsia="es-CO"/>
        </w:rPr>
        <w:t>.</w:t>
      </w:r>
    </w:p>
    <w:p w14:paraId="39E8D25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33D9384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xml:space="preserve">Así, el artículo 1.2.4.1.3 del reglamento describió los procedimientos legales para aplicar la retención en la fuente, y el artículo 1.2.4.1.6. indicó la forma de depuración de la base de cálculo sobre los pagos o abonos en cuenta por concepto de rentas de trabajo efectuados a las personas naturales, permitiendo detraer los ingresos taxativamente previstos como no constitutivos de renta ni </w:t>
      </w:r>
      <w:r w:rsidRPr="00847458">
        <w:rPr>
          <w:rFonts w:ascii="Century Gothic" w:eastAsia="Times New Roman" w:hAnsi="Century Gothic" w:cs="Segoe UI"/>
          <w:szCs w:val="24"/>
          <w:lang w:eastAsia="es-CO"/>
        </w:rPr>
        <w:lastRenderedPageBreak/>
        <w:t>ganancia ocasional, las deducciones a que se refiere el </w:t>
      </w:r>
      <w:hyperlink r:id="rId29" w:tooltip="Estatuto Tributario CETA" w:history="1">
        <w:r w:rsidRPr="00847458">
          <w:rPr>
            <w:rFonts w:ascii="Century Gothic" w:eastAsia="Times New Roman" w:hAnsi="Century Gothic" w:cs="Segoe UI"/>
            <w:color w:val="0089E1"/>
            <w:szCs w:val="24"/>
            <w:u w:val="single"/>
            <w:lang w:eastAsia="es-CO"/>
          </w:rPr>
          <w:t>artículo 387</w:t>
        </w:r>
      </w:hyperlink>
      <w:r w:rsidRPr="00847458">
        <w:rPr>
          <w:rFonts w:ascii="Century Gothic" w:eastAsia="Times New Roman" w:hAnsi="Century Gothic" w:cs="Segoe UI"/>
          <w:szCs w:val="24"/>
          <w:lang w:eastAsia="es-CO"/>
        </w:rPr>
        <w:t> del ET</w:t>
      </w:r>
      <w:bookmarkStart w:id="23" w:name="_ftnref24"/>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"_ftn24"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[24]</w:t>
      </w:r>
      <w:r w:rsidRPr="00847458">
        <w:rPr>
          <w:rFonts w:ascii="Century Gothic" w:eastAsia="Times New Roman" w:hAnsi="Century Gothic" w:cs="Segoe UI"/>
          <w:szCs w:val="24"/>
          <w:lang w:eastAsia="es-CO"/>
        </w:rPr>
        <w:fldChar w:fldCharType="end"/>
      </w:r>
      <w:bookmarkEnd w:id="23"/>
      <w:r w:rsidRPr="00847458">
        <w:rPr>
          <w:rFonts w:ascii="Century Gothic" w:eastAsia="Times New Roman" w:hAnsi="Century Gothic" w:cs="Segoe UI"/>
          <w:szCs w:val="24"/>
          <w:lang w:eastAsia="es-CO"/>
        </w:rPr>
        <w:t>, los aportes obligatorios al Sistema General de Seguridad Social en Salud y las rentas legalmente previstas como exentas en razón a su origen y beneficiario</w:t>
      </w:r>
      <w:bookmarkStart w:id="24" w:name="_ftnref25"/>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"_ftn25"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[25]</w:t>
      </w:r>
      <w:r w:rsidRPr="00847458">
        <w:rPr>
          <w:rFonts w:ascii="Century Gothic" w:eastAsia="Times New Roman" w:hAnsi="Century Gothic" w:cs="Segoe UI"/>
          <w:szCs w:val="24"/>
          <w:lang w:eastAsia="es-CO"/>
        </w:rPr>
        <w:fldChar w:fldCharType="end"/>
      </w:r>
      <w:bookmarkEnd w:id="24"/>
      <w:r w:rsidRPr="00847458">
        <w:rPr>
          <w:rFonts w:ascii="Century Gothic" w:eastAsia="Times New Roman" w:hAnsi="Century Gothic" w:cs="Segoe UI"/>
          <w:szCs w:val="24"/>
          <w:lang w:eastAsia="es-CO"/>
        </w:rPr>
        <w:t>; además de precisar que las rentas exentas y las deducciones no podrían superar los límites particulares de cada uno de esos beneficios fiscales, ni el límite porcentual del cuarenta por ciento (40%) o el valor absoluto de cinco mil cuarenta (5.040) Unidades de Valor Tributario (UVT) anuales, </w:t>
      </w:r>
      <w:r w:rsidRPr="00847458">
        <w:rPr>
          <w:rFonts w:ascii="Century Gothic" w:eastAsia="Times New Roman" w:hAnsi="Century Gothic" w:cs="Segoe UI"/>
          <w:b/>
          <w:bCs/>
          <w:szCs w:val="24"/>
          <w:lang w:eastAsia="es-CO"/>
        </w:rPr>
        <w:t>es decir </w:t>
      </w:r>
      <w:r w:rsidRPr="00847458">
        <w:rPr>
          <w:rFonts w:ascii="Century Gothic" w:eastAsia="Times New Roman" w:hAnsi="Century Gothic" w:cs="Segoe UI"/>
          <w:szCs w:val="24"/>
          <w:lang w:eastAsia="es-CO"/>
        </w:rPr>
        <w:t>cuatrocientos veinte (420) Unidades de Valor Tributario (UVT) mensuales, de conformidad con lo previsto en el </w:t>
      </w:r>
      <w:hyperlink r:id="rId30" w:tooltip="Estatuto Tributario CETA" w:history="1">
        <w:r w:rsidRPr="00847458">
          <w:rPr>
            <w:rFonts w:ascii="Century Gothic" w:eastAsia="Times New Roman" w:hAnsi="Century Gothic" w:cs="Segoe UI"/>
            <w:color w:val="0089E1"/>
            <w:szCs w:val="24"/>
            <w:u w:val="single"/>
            <w:lang w:eastAsia="es-CO"/>
          </w:rPr>
          <w:t>artículo 336</w:t>
        </w:r>
      </w:hyperlink>
      <w:r w:rsidRPr="00847458">
        <w:rPr>
          <w:rFonts w:ascii="Century Gothic" w:eastAsia="Times New Roman" w:hAnsi="Century Gothic" w:cs="Segoe UI"/>
          <w:szCs w:val="24"/>
          <w:lang w:eastAsia="es-CO"/>
        </w:rPr>
        <w:t> del ET.</w:t>
      </w:r>
    </w:p>
    <w:p w14:paraId="2F50E73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DC3FB2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Dicha precisión fue hecha por el parágrafo 3 del mencionado artículo 1.2.4.1.6</w:t>
      </w:r>
      <w:bookmarkStart w:id="25" w:name="_ftnref26"/>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"_ftn26"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[26]</w:t>
      </w:r>
      <w:r w:rsidRPr="00847458">
        <w:rPr>
          <w:rFonts w:ascii="Century Gothic" w:eastAsia="Times New Roman" w:hAnsi="Century Gothic" w:cs="Segoe UI"/>
          <w:szCs w:val="24"/>
          <w:lang w:eastAsia="es-CO"/>
        </w:rPr>
        <w:fldChar w:fldCharType="end"/>
      </w:r>
      <w:bookmarkEnd w:id="25"/>
      <w:r w:rsidRPr="00847458">
        <w:rPr>
          <w:rFonts w:ascii="Century Gothic" w:eastAsia="Times New Roman" w:hAnsi="Century Gothic" w:cs="Segoe UI"/>
          <w:szCs w:val="24"/>
          <w:lang w:eastAsia="es-CO"/>
        </w:rPr>
        <w:t>, objeto del presente medio de control, cuyo texto comienza con la expresión </w:t>
      </w:r>
      <w:r w:rsidRPr="00847458">
        <w:rPr>
          <w:rFonts w:ascii="Century Gothic" w:eastAsia="Times New Roman" w:hAnsi="Century Gothic" w:cs="Segoe UI"/>
          <w:i/>
          <w:iCs/>
          <w:szCs w:val="24"/>
          <w:lang w:eastAsia="es-CO"/>
        </w:rPr>
        <w:t>“para todos los fines previstos”</w:t>
      </w:r>
      <w:r w:rsidRPr="00847458">
        <w:rPr>
          <w:rFonts w:ascii="Century Gothic" w:eastAsia="Times New Roman" w:hAnsi="Century Gothic" w:cs="Segoe UI"/>
          <w:szCs w:val="24"/>
          <w:lang w:eastAsia="es-CO"/>
        </w:rPr>
        <w:t>, entendiéndose por tales los involucrados en la regulación genérica del artículo como norma principal de la que hace parte el citado parágrafo, en tanto fragmento regulador de un aspecto particular de aquella.</w:t>
      </w:r>
    </w:p>
    <w:p w14:paraId="7286175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1D3B976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xml:space="preserve">Bajo tal parámetro de estructura normativa, abordado desde la propuesta interpretativa que enfocan los cargos de nulidad, los fines respecto de los cuales opera la limitante de UVT prevista en el parágrafo 3, no son otros distintos que los relacionados con la propia regulación del artículo 1.2.4.1.6 sobre depuración de la base de retención en la fuente de las rentas de trabajo que, si bien se relaciona con el impuesto de renta generado por estas, funge de manera autónoma frente a aquel, en tanto que solo constituye el mecanismo anticipado para recaudarlo, con elementos singulares e independientes de ese tributo recaudado y expresamente establecidos en la legislación tributaria, entre ellos, su causación mensual, ante el supuesto de pagos laborales durante el respectivo mes, sin perjuicio de que puedan tener una periodicidad diferente, acorde con los </w:t>
      </w:r>
      <w:r w:rsidRPr="00847458">
        <w:rPr>
          <w:rFonts w:ascii="Century Gothic" w:eastAsia="Times New Roman" w:hAnsi="Century Gothic" w:cs="Segoe UI"/>
          <w:color w:val="000000"/>
          <w:szCs w:val="24"/>
          <w:lang w:eastAsia="es-CO"/>
        </w:rPr>
        <w:lastRenderedPageBreak/>
        <w:t>procedimientos establecidos en los artículos </w:t>
      </w:r>
      <w:hyperlink r:id="rId31" w:tooltip="Estatuto Tributario CETA" w:history="1">
        <w:r w:rsidRPr="00847458">
          <w:rPr>
            <w:rFonts w:ascii="Century Gothic" w:eastAsia="Times New Roman" w:hAnsi="Century Gothic" w:cs="Segoe UI"/>
            <w:color w:val="0089E1"/>
            <w:szCs w:val="24"/>
            <w:u w:val="single"/>
            <w:lang w:eastAsia="es-CO"/>
          </w:rPr>
          <w:t>385</w:t>
        </w:r>
      </w:hyperlink>
      <w:r w:rsidRPr="00847458">
        <w:rPr>
          <w:rFonts w:ascii="Century Gothic" w:eastAsia="Times New Roman" w:hAnsi="Century Gothic" w:cs="Segoe UI"/>
          <w:color w:val="000000"/>
          <w:szCs w:val="24"/>
          <w:lang w:eastAsia="es-CO"/>
        </w:rPr>
        <w:t> y </w:t>
      </w:r>
      <w:hyperlink r:id="rId32" w:tooltip="Estatuto Tributario CETA" w:history="1">
        <w:r w:rsidRPr="00847458">
          <w:rPr>
            <w:rFonts w:ascii="Century Gothic" w:eastAsia="Times New Roman" w:hAnsi="Century Gothic" w:cs="Segoe UI"/>
            <w:color w:val="0089E1"/>
            <w:szCs w:val="24"/>
            <w:u w:val="single"/>
            <w:lang w:eastAsia="es-CO"/>
          </w:rPr>
          <w:t>386</w:t>
        </w:r>
      </w:hyperlink>
      <w:r w:rsidRPr="00847458">
        <w:rPr>
          <w:rFonts w:ascii="Century Gothic" w:eastAsia="Times New Roman" w:hAnsi="Century Gothic" w:cs="Segoe UI"/>
          <w:color w:val="000000"/>
          <w:szCs w:val="24"/>
          <w:lang w:eastAsia="es-CO"/>
        </w:rPr>
        <w:t> del ET, en concordancia con el artículo 1.2.4.1.3. del DUR</w:t>
      </w:r>
      <w:bookmarkStart w:id="26" w:name="_ftnref27"/>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"_ftn27"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[27]</w:t>
      </w:r>
      <w:r w:rsidRPr="00847458">
        <w:rPr>
          <w:rFonts w:ascii="Century Gothic" w:eastAsia="Times New Roman" w:hAnsi="Century Gothic" w:cs="Segoe UI"/>
          <w:color w:val="000000"/>
          <w:szCs w:val="24"/>
          <w:lang w:eastAsia="es-CO"/>
        </w:rPr>
        <w:fldChar w:fldCharType="end"/>
      </w:r>
      <w:bookmarkEnd w:id="26"/>
      <w:r w:rsidRPr="00847458">
        <w:rPr>
          <w:rFonts w:ascii="Century Gothic" w:eastAsia="Times New Roman" w:hAnsi="Century Gothic" w:cs="Segoe UI"/>
          <w:color w:val="000000"/>
          <w:szCs w:val="24"/>
          <w:lang w:eastAsia="es-CO"/>
        </w:rPr>
        <w:t>.</w:t>
      </w:r>
    </w:p>
    <w:p w14:paraId="122C99B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5412FED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ese contexto material, en el que la norma legal que se predica violada regula la determinación de la renta líquida cedular de trabajo y el aparte normativo que se acusa como transgresor integra la reglamentación sobre la depuración de la base de retención en la fuente, legalmente establecida en el </w:t>
      </w:r>
      <w:hyperlink r:id="rId33" w:tooltip="Estatuto Tributario CETA" w:history="1">
        <w:r w:rsidRPr="00847458">
          <w:rPr>
            <w:rFonts w:ascii="Century Gothic" w:eastAsia="Times New Roman" w:hAnsi="Century Gothic" w:cs="Segoe UI"/>
            <w:color w:val="0089E1"/>
            <w:szCs w:val="24"/>
            <w:u w:val="single"/>
            <w:lang w:eastAsia="es-CO"/>
          </w:rPr>
          <w:t>artículo 388</w:t>
        </w:r>
      </w:hyperlink>
      <w:r w:rsidRPr="00847458">
        <w:rPr>
          <w:rFonts w:ascii="Century Gothic" w:eastAsia="Times New Roman" w:hAnsi="Century Gothic" w:cs="Segoe UI"/>
          <w:szCs w:val="24"/>
          <w:lang w:eastAsia="es-CO"/>
        </w:rPr>
        <w:t> del ET, se echa de menos la similitud de presupuestos regulatorios entre la norma superior supuestamente transgredida y la norma inferior transgresora para efecto de realizar la confrontación directa que estructura el examen de validez respecto del principio de reserva de ley y exceso de la facultad reglamentaria.</w:t>
      </w:r>
    </w:p>
    <w:p w14:paraId="77C8534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B2EBED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Sin perjuicio de esa primera observación, aún en el caso de que la unidad material se cumpliera, lo cierto es que el texto de la norma reglamentaria acusada replicó el parámetro legal techo de UVT anual (5.040) y al aludir a las 420 UVT le antecedió la expresión </w:t>
      </w:r>
      <w:r w:rsidRPr="00847458">
        <w:rPr>
          <w:rFonts w:ascii="Century Gothic" w:eastAsia="Times New Roman" w:hAnsi="Century Gothic" w:cs="Segoe UI"/>
          <w:b/>
          <w:bCs/>
          <w:i/>
          <w:iCs/>
          <w:szCs w:val="24"/>
          <w:lang w:eastAsia="es-CO"/>
        </w:rPr>
        <w:t>“es decir”</w:t>
      </w:r>
      <w:r w:rsidRPr="00847458">
        <w:rPr>
          <w:rFonts w:ascii="Century Gothic" w:eastAsia="Times New Roman" w:hAnsi="Century Gothic" w:cs="Segoe UI"/>
          <w:szCs w:val="24"/>
          <w:lang w:eastAsia="es-CO"/>
        </w:rPr>
        <w:t>, conector gramatical usado para aclarar o explicar con mayor amplitud las palabras, frases o párrafos inmediatamente anteriores, cuyo enlace dota de significación a la idea que quiere presentarse.</w:t>
      </w:r>
    </w:p>
    <w:p w14:paraId="2B5B992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40FCB6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el caso, dicha aclaración respondió a la periodicidad de la retención en la fuente reglamentada, en tanto mecanismo de recaudo anticipado del impuesto anual de renta sobre los pagos laborales realizados a lo largo del año</w:t>
      </w:r>
      <w:bookmarkStart w:id="27" w:name="_ftnref28"/>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"_ftn28"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[28]</w:t>
      </w:r>
      <w:r w:rsidRPr="00847458">
        <w:rPr>
          <w:rFonts w:ascii="Century Gothic" w:eastAsia="Times New Roman" w:hAnsi="Century Gothic" w:cs="Segoe UI"/>
          <w:szCs w:val="24"/>
          <w:lang w:eastAsia="es-CO"/>
        </w:rPr>
        <w:fldChar w:fldCharType="end"/>
      </w:r>
      <w:bookmarkEnd w:id="27"/>
      <w:r w:rsidRPr="00847458">
        <w:rPr>
          <w:rFonts w:ascii="Century Gothic" w:eastAsia="Times New Roman" w:hAnsi="Century Gothic" w:cs="Segoe UI"/>
          <w:szCs w:val="24"/>
          <w:lang w:eastAsia="es-CO"/>
        </w:rPr>
        <w:t> y aplicado mensualmente a través de los procedimientos 1 y 2 descritos en los artículos </w:t>
      </w:r>
      <w:hyperlink r:id="rId34" w:tooltip="Estatuto Tributario CETA" w:history="1">
        <w:r w:rsidRPr="00847458">
          <w:rPr>
            <w:rFonts w:ascii="Century Gothic" w:eastAsia="Times New Roman" w:hAnsi="Century Gothic" w:cs="Segoe UI"/>
            <w:color w:val="0089E1"/>
            <w:szCs w:val="24"/>
            <w:u w:val="single"/>
            <w:lang w:eastAsia="es-CO"/>
          </w:rPr>
          <w:t>385</w:t>
        </w:r>
      </w:hyperlink>
      <w:r w:rsidRPr="00847458">
        <w:rPr>
          <w:rFonts w:ascii="Century Gothic" w:eastAsia="Times New Roman" w:hAnsi="Century Gothic" w:cs="Segoe UI"/>
          <w:szCs w:val="24"/>
          <w:lang w:eastAsia="es-CO"/>
        </w:rPr>
        <w:t> y </w:t>
      </w:r>
      <w:hyperlink r:id="rId35" w:tooltip="Estatuto Tributario CETA" w:history="1">
        <w:r w:rsidRPr="00847458">
          <w:rPr>
            <w:rFonts w:ascii="Century Gothic" w:eastAsia="Times New Roman" w:hAnsi="Century Gothic" w:cs="Segoe UI"/>
            <w:color w:val="0089E1"/>
            <w:szCs w:val="24"/>
            <w:u w:val="single"/>
            <w:lang w:eastAsia="es-CO"/>
          </w:rPr>
          <w:t>386</w:t>
        </w:r>
      </w:hyperlink>
      <w:r w:rsidRPr="00847458">
        <w:rPr>
          <w:rFonts w:ascii="Century Gothic" w:eastAsia="Times New Roman" w:hAnsi="Century Gothic" w:cs="Segoe UI"/>
          <w:szCs w:val="24"/>
          <w:lang w:eastAsia="es-CO"/>
        </w:rPr>
        <w:t> del ET. Para ello, aplicó una operación matemática básica de división que precisó la proporción de las 5.040 UVT anuales del impuesto de renta correspondiente a cada uno de los doce meses en los que se aplica la retención en la fuente sobre los ingresos laborales percibidos durante el año, arrojando un resultado de 420 UVT por mes.</w:t>
      </w:r>
    </w:p>
    <w:p w14:paraId="1CFB24E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 </w:t>
      </w:r>
    </w:p>
    <w:p w14:paraId="69C2AC5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Desde tal perspectiva, la mención del parágrafo 3 acusado, respecto del límite de 420 UVT mensuales, constituiría un complemento para la reglamentación de la depuración de la base de retención, porque la armoniza con su propio período de causación y con el cometido legal de conseguir en forma gradual que el impuesto se recaude en lo posible dentro del mismo ejercicio gravable en que se causa</w:t>
      </w:r>
      <w:bookmarkStart w:id="28" w:name="_ftnref29"/>
      <w:r w:rsidRPr="00847458">
        <w:rPr>
          <w:rFonts w:ascii="Century Gothic" w:eastAsia="Times New Roman" w:hAnsi="Century Gothic" w:cs="Segoe UI"/>
          <w:szCs w:val="24"/>
          <w:lang w:eastAsia="es-CO"/>
        </w:rPr>
        <w:fldChar w:fldCharType="begin"/>
      </w:r>
      <w:r w:rsidRPr="00847458">
        <w:rPr>
          <w:rFonts w:ascii="Century Gothic" w:eastAsia="Times New Roman" w:hAnsi="Century Gothic" w:cs="Segoe UI"/>
          <w:szCs w:val="24"/>
          <w:lang w:eastAsia="es-CO"/>
        </w:rPr>
        <w:instrText xml:space="preserve"> HYPERLINK "https://www.ceta.org.co/html/vista_de_un_documento.asp?DocumentoID=42749" \l "_ftn29" \o "" </w:instrText>
      </w:r>
      <w:r w:rsidRPr="00847458">
        <w:rPr>
          <w:rFonts w:ascii="Century Gothic" w:eastAsia="Times New Roman" w:hAnsi="Century Gothic" w:cs="Segoe UI"/>
          <w:szCs w:val="24"/>
          <w:lang w:eastAsia="es-CO"/>
        </w:rPr>
        <w:fldChar w:fldCharType="separate"/>
      </w:r>
      <w:r w:rsidRPr="00847458">
        <w:rPr>
          <w:rFonts w:ascii="Century Gothic" w:eastAsia="Times New Roman" w:hAnsi="Century Gothic" w:cs="Segoe UI"/>
          <w:color w:val="0089E1"/>
          <w:szCs w:val="24"/>
          <w:lang w:eastAsia="es-CO"/>
        </w:rPr>
        <w:t>[29]</w:t>
      </w:r>
      <w:r w:rsidRPr="00847458">
        <w:rPr>
          <w:rFonts w:ascii="Century Gothic" w:eastAsia="Times New Roman" w:hAnsi="Century Gothic" w:cs="Segoe UI"/>
          <w:szCs w:val="24"/>
          <w:lang w:eastAsia="es-CO"/>
        </w:rPr>
        <w:fldChar w:fldCharType="end"/>
      </w:r>
      <w:bookmarkEnd w:id="28"/>
      <w:r w:rsidRPr="00847458">
        <w:rPr>
          <w:rFonts w:ascii="Century Gothic" w:eastAsia="Times New Roman" w:hAnsi="Century Gothic" w:cs="Segoe UI"/>
          <w:szCs w:val="24"/>
          <w:lang w:eastAsia="es-CO"/>
        </w:rPr>
        <w:t>.</w:t>
      </w:r>
    </w:p>
    <w:p w14:paraId="6C59A4C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46140C3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Sin perjuicio de lo anterior, se evidencia que la aplicación del límite de 420 UVT mensuales para retenciones en la fuente sobre eventuales aportes a cuentas AFC y Fondos de Pensiones que superen ese límite</w:t>
      </w:r>
      <w:bookmarkStart w:id="29" w:name="_ftnref30"/>
      <w:r w:rsidRPr="00847458">
        <w:rPr>
          <w:rFonts w:ascii="Century Gothic" w:eastAsia="Times New Roman" w:hAnsi="Century Gothic" w:cs="Segoe UI"/>
          <w:color w:val="000000"/>
          <w:szCs w:val="24"/>
          <w:lang w:eastAsia="es-CO"/>
        </w:rPr>
        <w:fldChar w:fldCharType="begin"/>
      </w:r>
      <w:r w:rsidRPr="00847458">
        <w:rPr>
          <w:rFonts w:ascii="Century Gothic" w:eastAsia="Times New Roman" w:hAnsi="Century Gothic" w:cs="Segoe UI"/>
          <w:color w:val="000000"/>
          <w:szCs w:val="24"/>
          <w:lang w:eastAsia="es-CO"/>
        </w:rPr>
        <w:instrText xml:space="preserve"> HYPERLINK "https://www.ceta.org.co/html/vista_de_un_documento.asp?DocumentoID=42749" \l "_ftn30" \o "" </w:instrText>
      </w:r>
      <w:r w:rsidRPr="00847458">
        <w:rPr>
          <w:rFonts w:ascii="Century Gothic" w:eastAsia="Times New Roman" w:hAnsi="Century Gothic" w:cs="Segoe UI"/>
          <w:color w:val="000000"/>
          <w:szCs w:val="24"/>
          <w:lang w:eastAsia="es-CO"/>
        </w:rPr>
        <w:fldChar w:fldCharType="separate"/>
      </w:r>
      <w:r w:rsidRPr="00847458">
        <w:rPr>
          <w:rFonts w:ascii="Century Gothic" w:eastAsia="Times New Roman" w:hAnsi="Century Gothic" w:cs="Segoe UI"/>
          <w:color w:val="0089E1"/>
          <w:szCs w:val="24"/>
          <w:lang w:eastAsia="es-CO"/>
        </w:rPr>
        <w:t>[30]</w:t>
      </w:r>
      <w:r w:rsidRPr="00847458">
        <w:rPr>
          <w:rFonts w:ascii="Century Gothic" w:eastAsia="Times New Roman" w:hAnsi="Century Gothic" w:cs="Segoe UI"/>
          <w:color w:val="000000"/>
          <w:szCs w:val="24"/>
          <w:lang w:eastAsia="es-CO"/>
        </w:rPr>
        <w:fldChar w:fldCharType="end"/>
      </w:r>
      <w:bookmarkEnd w:id="29"/>
      <w:r w:rsidRPr="00847458">
        <w:rPr>
          <w:rFonts w:ascii="Century Gothic" w:eastAsia="Times New Roman" w:hAnsi="Century Gothic" w:cs="Segoe UI"/>
          <w:color w:val="000000"/>
          <w:szCs w:val="24"/>
          <w:lang w:eastAsia="es-CO"/>
        </w:rPr>
        <w:t> restringiría los beneficios asociados a dichos aportes, respecto de la parte que exceda el límite mensual de UVT y, en esa medida, la Sala estima que la norma reglamentaria acusada conllevaría un efecto inequitativo para ese segmento de ahorradores.</w:t>
      </w:r>
    </w:p>
    <w:p w14:paraId="0A2649D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79EA9F9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En consideración a tal incidencia práctica transgresora del principio de equidad tributaria consagrado en el artículo 363 de la Constitución Política, se anulará el aparte normativo demandado.</w:t>
      </w:r>
    </w:p>
    <w:p w14:paraId="38F9DE7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4D951E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Por lo demás, no hay lugar analizar los alegatos de conclusión que sobrepasan el concepto de violación inicial, so pena de quebrantar el debido proceso con la alteración del único fin legalmente asignado a la etapa de alegaciones, y el derecho de defensa de la parte demandada, cuya oposición se estructuró frente al texto mismo de la demanda.</w:t>
      </w:r>
    </w:p>
    <w:p w14:paraId="0026F0D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70F33D1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No se condenará en costas, en virtud de lo dispuesto en el artículo 188 de la Ley 1437 de 2011.</w:t>
      </w:r>
    </w:p>
    <w:p w14:paraId="3E7C011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36428DC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En mérito de lo expuesto, el Consejo de Estado, Sala de lo Contencioso Administrativo, Sección Cuarta, administrando justicia en nombre de la República y por autoridad de la ley,</w:t>
      </w:r>
    </w:p>
    <w:p w14:paraId="3245A42C"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34B7EB26" w14:textId="77777777" w:rsidR="00440D72" w:rsidRPr="00847458" w:rsidRDefault="00440D72" w:rsidP="00847458">
      <w:pPr>
        <w:spacing w:after="0" w:line="360" w:lineRule="auto"/>
        <w:jc w:val="center"/>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FALLA</w:t>
      </w:r>
    </w:p>
    <w:p w14:paraId="0EC4EF5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341FA57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1.- </w:t>
      </w:r>
      <w:r w:rsidRPr="00847458">
        <w:rPr>
          <w:rFonts w:ascii="Century Gothic" w:eastAsia="Times New Roman" w:hAnsi="Century Gothic" w:cs="Segoe UI"/>
          <w:b/>
          <w:bCs/>
          <w:szCs w:val="24"/>
          <w:lang w:eastAsia="es-CO"/>
        </w:rPr>
        <w:t>ANULAR </w:t>
      </w:r>
      <w:r w:rsidRPr="00847458">
        <w:rPr>
          <w:rFonts w:ascii="Century Gothic" w:eastAsia="Times New Roman" w:hAnsi="Century Gothic" w:cs="Segoe UI"/>
          <w:szCs w:val="24"/>
          <w:lang w:eastAsia="es-CO"/>
        </w:rPr>
        <w:t>el aparte </w:t>
      </w:r>
      <w:r w:rsidRPr="00847458">
        <w:rPr>
          <w:rFonts w:ascii="Century Gothic" w:eastAsia="Times New Roman" w:hAnsi="Century Gothic" w:cs="Segoe UI"/>
          <w:i/>
          <w:iCs/>
          <w:szCs w:val="24"/>
          <w:lang w:eastAsia="es-CO"/>
        </w:rPr>
        <w:t>“es decir cuatrocientos veinte (420) Unidades de Valor Tributario - UVT mensuales”</w:t>
      </w:r>
      <w:r w:rsidRPr="00847458">
        <w:rPr>
          <w:rFonts w:ascii="Century Gothic" w:eastAsia="Times New Roman" w:hAnsi="Century Gothic" w:cs="Segoe UI"/>
          <w:szCs w:val="24"/>
          <w:lang w:eastAsia="es-CO"/>
        </w:rPr>
        <w:t>, contenido en el parágrafo 3 del artículo 1.2.4.1.6. del Decreto 1625 de 2016, expedido por el Ministerio de Hacienda y Crédito Público.</w:t>
      </w:r>
    </w:p>
    <w:p w14:paraId="3D1BA88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691D759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2.- No se condena en costas, en virtud de lo dispuesto en el artículo 188 de la Ley 1437 de 2011.</w:t>
      </w:r>
    </w:p>
    <w:p w14:paraId="2A3542A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584AD2D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Notifíquese, comuníquese y cúmplase.</w:t>
      </w:r>
      <w:r w:rsidRPr="00847458">
        <w:rPr>
          <w:rFonts w:ascii="Century Gothic" w:eastAsia="Times New Roman" w:hAnsi="Century Gothic" w:cs="Segoe UI"/>
          <w:szCs w:val="24"/>
          <w:lang w:eastAsia="es-CO"/>
        </w:rPr>
        <w:t> La anterior providencia se estudió y aprobó en sesión de la fecha.</w:t>
      </w:r>
    </w:p>
    <w:p w14:paraId="49884C1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0CDBE61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6B171B7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MILTON CHAVES GARCÍA</w:t>
      </w:r>
    </w:p>
    <w:p w14:paraId="7085313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Presidente</w:t>
      </w:r>
    </w:p>
    <w:p w14:paraId="40BD0EF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Aclara voto</w:t>
      </w:r>
    </w:p>
    <w:p w14:paraId="2FF44F2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4A8C9BA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0F3D0AE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(Firmado electrónicamente)</w:t>
      </w:r>
    </w:p>
    <w:p w14:paraId="33D7E53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STELLA JEANNETTE CARVAJAL BASTO</w:t>
      </w:r>
    </w:p>
    <w:p w14:paraId="7C81F3C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 </w:t>
      </w:r>
    </w:p>
    <w:p w14:paraId="20730AD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 </w:t>
      </w:r>
    </w:p>
    <w:p w14:paraId="7873AE3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szCs w:val="24"/>
          <w:lang w:eastAsia="es-CO"/>
        </w:rPr>
        <w:t>(Firmado electrónicamente)</w:t>
      </w:r>
    </w:p>
    <w:p w14:paraId="08F0A66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MYRIAM STELLA GUTIÉRREZ ARGÜELLO</w:t>
      </w:r>
    </w:p>
    <w:p w14:paraId="132D105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Aclara voto</w:t>
      </w:r>
    </w:p>
    <w:p w14:paraId="42D8BFA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lastRenderedPageBreak/>
        <w:t> </w:t>
      </w:r>
    </w:p>
    <w:p w14:paraId="103D790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2158079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color w:val="000000"/>
          <w:szCs w:val="24"/>
          <w:lang w:eastAsia="es-CO"/>
        </w:rPr>
        <w:t>(Firmado electrónicamente)</w:t>
      </w:r>
    </w:p>
    <w:p w14:paraId="4926DDE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00"/>
          <w:szCs w:val="24"/>
          <w:lang w:eastAsia="es-CO"/>
        </w:rPr>
        <w:t>JULIO ROBERTO PIZA RODRÍGUEZ</w:t>
      </w:r>
    </w:p>
    <w:p w14:paraId="731ACDE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Aclara voto</w:t>
      </w:r>
    </w:p>
    <w:p w14:paraId="665A674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br w:type="textWrapping" w:clear="all"/>
      </w:r>
    </w:p>
    <w:p w14:paraId="353987A1" w14:textId="77777777" w:rsidR="00440D72" w:rsidRPr="00847458" w:rsidRDefault="00847458"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pict w14:anchorId="7EE8D620">
          <v:rect id="_x0000_i1025" style="width:145.85pt;height:.6pt" o:hrpct="330" o:hrstd="t" o:hr="t" fillcolor="#a0a0a0" stroked="f"/>
        </w:pict>
      </w:r>
    </w:p>
    <w:bookmarkStart w:id="30" w:name="_ftn1"/>
    <w:p w14:paraId="7B150E1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w:t>
      </w:r>
      <w:r w:rsidRPr="00847458">
        <w:rPr>
          <w:rFonts w:ascii="Century Gothic" w:eastAsia="Times New Roman" w:hAnsi="Century Gothic" w:cs="Arial"/>
          <w:color w:val="000000"/>
          <w:szCs w:val="24"/>
          <w:lang w:eastAsia="es-CO"/>
        </w:rPr>
        <w:fldChar w:fldCharType="end"/>
      </w:r>
      <w:bookmarkEnd w:id="30"/>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Por el cual se expide el reglamento Interno del Consejo de Estado.</w:t>
      </w:r>
    </w:p>
    <w:p w14:paraId="71CA8A0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val="es-ES" w:eastAsia="es-CO"/>
        </w:rPr>
        <w:t> </w:t>
      </w:r>
    </w:p>
    <w:bookmarkStart w:id="31" w:name="_ftn2"/>
    <w:p w14:paraId="021F251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w:t>
      </w:r>
      <w:r w:rsidRPr="00847458">
        <w:rPr>
          <w:rFonts w:ascii="Century Gothic" w:eastAsia="Times New Roman" w:hAnsi="Century Gothic" w:cs="Arial"/>
          <w:color w:val="000000"/>
          <w:szCs w:val="24"/>
          <w:lang w:eastAsia="es-CO"/>
        </w:rPr>
        <w:fldChar w:fldCharType="end"/>
      </w:r>
      <w:bookmarkEnd w:id="31"/>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 xml:space="preserve">“Por el cual se expide el Decreto Único Reglamentario en Materia Tributaria” </w:t>
      </w:r>
      <w:proofErr w:type="spellStart"/>
      <w:r w:rsidRPr="00847458">
        <w:rPr>
          <w:rFonts w:ascii="Century Gothic" w:eastAsia="Times New Roman" w:hAnsi="Century Gothic" w:cs="Segoe UI"/>
          <w:szCs w:val="24"/>
          <w:lang w:eastAsia="es-CO"/>
        </w:rPr>
        <w:t>Fl</w:t>
      </w:r>
      <w:proofErr w:type="spellEnd"/>
      <w:r w:rsidRPr="00847458">
        <w:rPr>
          <w:rFonts w:ascii="Century Gothic" w:eastAsia="Times New Roman" w:hAnsi="Century Gothic" w:cs="Segoe UI"/>
          <w:szCs w:val="24"/>
          <w:lang w:eastAsia="es-CO"/>
        </w:rPr>
        <w:t>. 15, c. p. 1</w:t>
      </w:r>
    </w:p>
    <w:p w14:paraId="7FDF7DE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val="es-ES" w:eastAsia="es-CO"/>
        </w:rPr>
        <w:t> </w:t>
      </w:r>
    </w:p>
    <w:bookmarkStart w:id="32" w:name="_ftn3"/>
    <w:p w14:paraId="3BEE2C3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"_ftnref3"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[3]</w:t>
      </w:r>
      <w:r w:rsidRPr="00847458">
        <w:rPr>
          <w:rFonts w:ascii="Century Gothic" w:eastAsia="Times New Roman" w:hAnsi="Century Gothic" w:cs="Arial"/>
          <w:color w:val="000000"/>
          <w:szCs w:val="24"/>
          <w:lang w:eastAsia="es-CO"/>
        </w:rPr>
        <w:fldChar w:fldCharType="end"/>
      </w:r>
      <w:bookmarkEnd w:id="32"/>
      <w:r w:rsidRPr="00847458">
        <w:rPr>
          <w:rFonts w:ascii="Century Gothic" w:eastAsia="Times New Roman" w:hAnsi="Century Gothic" w:cs="Segoe UI"/>
          <w:color w:val="000000"/>
          <w:szCs w:val="24"/>
          <w:lang w:eastAsia="es-CO"/>
        </w:rPr>
        <w:t> </w:t>
      </w:r>
      <w:proofErr w:type="spellStart"/>
      <w:r w:rsidRPr="00847458">
        <w:rPr>
          <w:rFonts w:ascii="Century Gothic" w:eastAsia="Times New Roman" w:hAnsi="Century Gothic" w:cs="Segoe UI"/>
          <w:color w:val="000000"/>
          <w:szCs w:val="24"/>
          <w:lang w:eastAsia="es-CO"/>
        </w:rPr>
        <w:t>Fls</w:t>
      </w:r>
      <w:proofErr w:type="spellEnd"/>
      <w:r w:rsidRPr="00847458">
        <w:rPr>
          <w:rFonts w:ascii="Century Gothic" w:eastAsia="Times New Roman" w:hAnsi="Century Gothic" w:cs="Segoe UI"/>
          <w:color w:val="000000"/>
          <w:szCs w:val="24"/>
          <w:lang w:eastAsia="es-CO"/>
        </w:rPr>
        <w:t>. 2-3, c. p. 1</w:t>
      </w:r>
    </w:p>
    <w:p w14:paraId="3B22F8FF"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33" w:name="_ftn4"/>
    <w:p w14:paraId="47B71F4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"_ftnref4"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[4]</w:t>
      </w:r>
      <w:r w:rsidRPr="00847458">
        <w:rPr>
          <w:rFonts w:ascii="Century Gothic" w:eastAsia="Times New Roman" w:hAnsi="Century Gothic" w:cs="Arial"/>
          <w:color w:val="000000"/>
          <w:szCs w:val="24"/>
          <w:lang w:eastAsia="es-CO"/>
        </w:rPr>
        <w:fldChar w:fldCharType="end"/>
      </w:r>
      <w:bookmarkEnd w:id="33"/>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Previas modificaciones de las Leyes 1943 de 2018 que incluyó las prestaciones sociales en actividad y en retiro de dichos miembros, y 2010 de 2019.</w:t>
      </w:r>
    </w:p>
    <w:p w14:paraId="573711E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34" w:name="_ftn5"/>
    <w:p w14:paraId="76B6861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"_ftnref5"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[5]</w:t>
      </w:r>
      <w:r w:rsidRPr="00847458">
        <w:rPr>
          <w:rFonts w:ascii="Century Gothic" w:eastAsia="Times New Roman" w:hAnsi="Century Gothic" w:cs="Arial"/>
          <w:color w:val="000000"/>
          <w:szCs w:val="24"/>
          <w:lang w:eastAsia="es-CO"/>
        </w:rPr>
        <w:fldChar w:fldCharType="end"/>
      </w:r>
      <w:bookmarkEnd w:id="34"/>
      <w:r w:rsidRPr="00847458">
        <w:rPr>
          <w:rFonts w:ascii="Century Gothic" w:eastAsia="Times New Roman" w:hAnsi="Century Gothic" w:cs="Segoe UI"/>
          <w:color w:val="000000"/>
          <w:szCs w:val="24"/>
          <w:lang w:eastAsia="es-CO"/>
        </w:rPr>
        <w:t> Según valor UVT para el 2018 cuando se presentó la demanda.</w:t>
      </w:r>
    </w:p>
    <w:p w14:paraId="5343CD0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35" w:name="_ftn6"/>
    <w:p w14:paraId="6B1DF5FC" w14:textId="77777777" w:rsidR="00440D72" w:rsidRPr="00847458" w:rsidRDefault="00440D72" w:rsidP="00847458">
      <w:pPr>
        <w:spacing w:after="0" w:line="360" w:lineRule="auto"/>
        <w:jc w:val="both"/>
        <w:rPr>
          <w:rFonts w:ascii="Century Gothic" w:eastAsia="Times New Roman" w:hAnsi="Century Gothic" w:cs="Arial"/>
          <w:color w:val="000000"/>
          <w:szCs w:val="24"/>
          <w:lang w:val="en-US"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val="en-US" w:eastAsia="es-CO"/>
        </w:rPr>
        <w:instrText xml:space="preserve"> HYPERLINK "https://www.ceta.org.co/html/vista_de_un_documento.asp?DocumentoID=42749" \l "_ftnref6"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val="en-US" w:eastAsia="es-CO"/>
        </w:rPr>
        <w:t>[6]</w:t>
      </w:r>
      <w:r w:rsidRPr="00847458">
        <w:rPr>
          <w:rFonts w:ascii="Century Gothic" w:eastAsia="Times New Roman" w:hAnsi="Century Gothic" w:cs="Arial"/>
          <w:color w:val="000000"/>
          <w:szCs w:val="24"/>
          <w:lang w:eastAsia="es-CO"/>
        </w:rPr>
        <w:fldChar w:fldCharType="end"/>
      </w:r>
      <w:bookmarkEnd w:id="35"/>
      <w:r w:rsidRPr="00847458">
        <w:rPr>
          <w:rFonts w:ascii="Century Gothic" w:eastAsia="Times New Roman" w:hAnsi="Century Gothic" w:cs="Segoe UI"/>
          <w:color w:val="000000"/>
          <w:szCs w:val="24"/>
          <w:lang w:val="en-US" w:eastAsia="es-CO"/>
        </w:rPr>
        <w:t> </w:t>
      </w:r>
      <w:proofErr w:type="spellStart"/>
      <w:r w:rsidRPr="00847458">
        <w:rPr>
          <w:rFonts w:ascii="Century Gothic" w:eastAsia="Times New Roman" w:hAnsi="Century Gothic" w:cs="Segoe UI"/>
          <w:color w:val="000000"/>
          <w:szCs w:val="24"/>
          <w:lang w:val="en-US" w:eastAsia="es-CO"/>
        </w:rPr>
        <w:t>Fls</w:t>
      </w:r>
      <w:proofErr w:type="spellEnd"/>
      <w:r w:rsidRPr="00847458">
        <w:rPr>
          <w:rFonts w:ascii="Century Gothic" w:eastAsia="Times New Roman" w:hAnsi="Century Gothic" w:cs="Segoe UI"/>
          <w:color w:val="000000"/>
          <w:szCs w:val="24"/>
          <w:lang w:val="en-US" w:eastAsia="es-CO"/>
        </w:rPr>
        <w:t>. 8 a 9, c. p. 1</w:t>
      </w:r>
    </w:p>
    <w:p w14:paraId="7772C053" w14:textId="77777777" w:rsidR="00440D72" w:rsidRPr="00847458" w:rsidRDefault="00440D72" w:rsidP="00847458">
      <w:pPr>
        <w:spacing w:after="0" w:line="360" w:lineRule="auto"/>
        <w:jc w:val="both"/>
        <w:rPr>
          <w:rFonts w:ascii="Century Gothic" w:eastAsia="Times New Roman" w:hAnsi="Century Gothic" w:cs="Arial"/>
          <w:color w:val="000000"/>
          <w:szCs w:val="24"/>
          <w:lang w:val="en-US" w:eastAsia="es-CO"/>
        </w:rPr>
      </w:pPr>
      <w:r w:rsidRPr="00847458">
        <w:rPr>
          <w:rFonts w:ascii="Century Gothic" w:eastAsia="Times New Roman" w:hAnsi="Century Gothic" w:cs="Segoe UI"/>
          <w:color w:val="000000"/>
          <w:szCs w:val="24"/>
          <w:lang w:val="en-US" w:eastAsia="es-CO"/>
        </w:rPr>
        <w:t> </w:t>
      </w:r>
    </w:p>
    <w:bookmarkStart w:id="36" w:name="_ftn7"/>
    <w:p w14:paraId="0849330E" w14:textId="77777777" w:rsidR="00440D72" w:rsidRPr="00847458" w:rsidRDefault="00440D72" w:rsidP="00847458">
      <w:pPr>
        <w:spacing w:after="0" w:line="360" w:lineRule="auto"/>
        <w:jc w:val="both"/>
        <w:rPr>
          <w:rFonts w:ascii="Century Gothic" w:eastAsia="Times New Roman" w:hAnsi="Century Gothic" w:cs="Arial"/>
          <w:color w:val="000000"/>
          <w:szCs w:val="24"/>
          <w:lang w:val="en-US"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val="en-US" w:eastAsia="es-CO"/>
        </w:rPr>
        <w:instrText xml:space="preserve"> HYPERLINK "https://www.ceta.org.co/html/vista_de_un_documento.asp?DocumentoID=42749" \l "_ftnref7"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val="en-US" w:eastAsia="es-CO"/>
        </w:rPr>
        <w:t>[7]</w:t>
      </w:r>
      <w:r w:rsidRPr="00847458">
        <w:rPr>
          <w:rFonts w:ascii="Century Gothic" w:eastAsia="Times New Roman" w:hAnsi="Century Gothic" w:cs="Arial"/>
          <w:color w:val="000000"/>
          <w:szCs w:val="24"/>
          <w:lang w:eastAsia="es-CO"/>
        </w:rPr>
        <w:fldChar w:fldCharType="end"/>
      </w:r>
      <w:bookmarkEnd w:id="36"/>
      <w:r w:rsidRPr="00847458">
        <w:rPr>
          <w:rFonts w:ascii="Century Gothic" w:eastAsia="Times New Roman" w:hAnsi="Century Gothic" w:cs="Segoe UI"/>
          <w:color w:val="000000"/>
          <w:szCs w:val="24"/>
          <w:lang w:val="en-US" w:eastAsia="es-CO"/>
        </w:rPr>
        <w:t> </w:t>
      </w:r>
      <w:proofErr w:type="spellStart"/>
      <w:r w:rsidRPr="00847458">
        <w:rPr>
          <w:rFonts w:ascii="Century Gothic" w:eastAsia="Times New Roman" w:hAnsi="Century Gothic" w:cs="Segoe UI"/>
          <w:color w:val="000000"/>
          <w:szCs w:val="24"/>
          <w:lang w:val="en-US" w:eastAsia="es-CO"/>
        </w:rPr>
        <w:t>Fls</w:t>
      </w:r>
      <w:proofErr w:type="spellEnd"/>
      <w:r w:rsidRPr="00847458">
        <w:rPr>
          <w:rFonts w:ascii="Century Gothic" w:eastAsia="Times New Roman" w:hAnsi="Century Gothic" w:cs="Segoe UI"/>
          <w:color w:val="000000"/>
          <w:szCs w:val="24"/>
          <w:lang w:val="en-US" w:eastAsia="es-CO"/>
        </w:rPr>
        <w:t>. 53 a 55, c. p. 2</w:t>
      </w:r>
    </w:p>
    <w:p w14:paraId="7B386025" w14:textId="77777777" w:rsidR="00440D72" w:rsidRPr="00847458" w:rsidRDefault="00440D72" w:rsidP="00847458">
      <w:pPr>
        <w:spacing w:after="0" w:line="360" w:lineRule="auto"/>
        <w:jc w:val="both"/>
        <w:rPr>
          <w:rFonts w:ascii="Century Gothic" w:eastAsia="Times New Roman" w:hAnsi="Century Gothic" w:cs="Arial"/>
          <w:color w:val="000000"/>
          <w:szCs w:val="24"/>
          <w:lang w:val="en-US" w:eastAsia="es-CO"/>
        </w:rPr>
      </w:pPr>
      <w:r w:rsidRPr="00847458">
        <w:rPr>
          <w:rFonts w:ascii="Century Gothic" w:eastAsia="Times New Roman" w:hAnsi="Century Gothic" w:cs="Segoe UI"/>
          <w:color w:val="000000"/>
          <w:szCs w:val="24"/>
          <w:lang w:val="en-US" w:eastAsia="es-CO"/>
        </w:rPr>
        <w:t> </w:t>
      </w:r>
    </w:p>
    <w:bookmarkStart w:id="37" w:name="_ftn8"/>
    <w:p w14:paraId="3CCD774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"_ftnref8"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[8]</w:t>
      </w:r>
      <w:r w:rsidRPr="00847458">
        <w:rPr>
          <w:rFonts w:ascii="Century Gothic" w:eastAsia="Times New Roman" w:hAnsi="Century Gothic" w:cs="Arial"/>
          <w:color w:val="000000"/>
          <w:szCs w:val="24"/>
          <w:lang w:eastAsia="es-CO"/>
        </w:rPr>
        <w:fldChar w:fldCharType="end"/>
      </w:r>
      <w:bookmarkEnd w:id="37"/>
      <w:r w:rsidRPr="00847458">
        <w:rPr>
          <w:rFonts w:ascii="Century Gothic" w:eastAsia="Times New Roman" w:hAnsi="Century Gothic" w:cs="Segoe UI"/>
          <w:color w:val="000000"/>
          <w:szCs w:val="24"/>
          <w:lang w:eastAsia="es-CO"/>
        </w:rPr>
        <w:t> </w:t>
      </w:r>
      <w:proofErr w:type="spellStart"/>
      <w:r w:rsidRPr="00847458">
        <w:rPr>
          <w:rFonts w:ascii="Century Gothic" w:eastAsia="Times New Roman" w:hAnsi="Century Gothic" w:cs="Segoe UI"/>
          <w:color w:val="000000"/>
          <w:szCs w:val="24"/>
          <w:lang w:eastAsia="es-CO"/>
        </w:rPr>
        <w:t>Fls</w:t>
      </w:r>
      <w:proofErr w:type="spellEnd"/>
      <w:r w:rsidRPr="00847458">
        <w:rPr>
          <w:rFonts w:ascii="Century Gothic" w:eastAsia="Times New Roman" w:hAnsi="Century Gothic" w:cs="Segoe UI"/>
          <w:color w:val="000000"/>
          <w:szCs w:val="24"/>
          <w:lang w:eastAsia="es-CO"/>
        </w:rPr>
        <w:t>. 57 a 59 c. p. 2</w:t>
      </w:r>
    </w:p>
    <w:p w14:paraId="3164F6B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38" w:name="_ftn9"/>
    <w:p w14:paraId="0959BF3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"_ftnref9"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[9]</w:t>
      </w:r>
      <w:r w:rsidRPr="00847458">
        <w:rPr>
          <w:rFonts w:ascii="Century Gothic" w:eastAsia="Times New Roman" w:hAnsi="Century Gothic" w:cs="Arial"/>
          <w:color w:val="000000"/>
          <w:szCs w:val="24"/>
          <w:lang w:eastAsia="es-CO"/>
        </w:rPr>
        <w:fldChar w:fldCharType="end"/>
      </w:r>
      <w:bookmarkEnd w:id="38"/>
      <w:r w:rsidRPr="00847458">
        <w:rPr>
          <w:rFonts w:ascii="Century Gothic" w:eastAsia="Times New Roman" w:hAnsi="Century Gothic" w:cs="Segoe UI"/>
          <w:color w:val="000000"/>
          <w:szCs w:val="24"/>
          <w:lang w:eastAsia="es-CO"/>
        </w:rPr>
        <w:t> Índices 23 y 25</w:t>
      </w:r>
    </w:p>
    <w:p w14:paraId="5309A10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39" w:name="_ftn10"/>
    <w:p w14:paraId="33739A0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"_ftnref10"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[10]</w:t>
      </w:r>
      <w:r w:rsidRPr="00847458">
        <w:rPr>
          <w:rFonts w:ascii="Century Gothic" w:eastAsia="Times New Roman" w:hAnsi="Century Gothic" w:cs="Arial"/>
          <w:color w:val="000000"/>
          <w:szCs w:val="24"/>
          <w:lang w:eastAsia="es-CO"/>
        </w:rPr>
        <w:fldChar w:fldCharType="end"/>
      </w:r>
      <w:bookmarkEnd w:id="39"/>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Índice 33</w:t>
      </w:r>
    </w:p>
    <w:p w14:paraId="74E7F9F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 </w:t>
      </w:r>
    </w:p>
    <w:bookmarkStart w:id="40" w:name="_ftn11"/>
    <w:p w14:paraId="026E791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"_ftnref11"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[11]</w:t>
      </w:r>
      <w:r w:rsidRPr="00847458">
        <w:rPr>
          <w:rFonts w:ascii="Century Gothic" w:eastAsia="Times New Roman" w:hAnsi="Century Gothic" w:cs="Arial"/>
          <w:color w:val="000000"/>
          <w:szCs w:val="24"/>
          <w:lang w:eastAsia="es-CO"/>
        </w:rPr>
        <w:fldChar w:fldCharType="end"/>
      </w:r>
      <w:bookmarkEnd w:id="40"/>
      <w:r w:rsidRPr="00847458">
        <w:rPr>
          <w:rFonts w:ascii="Century Gothic" w:eastAsia="Times New Roman" w:hAnsi="Century Gothic" w:cs="Segoe UI"/>
          <w:color w:val="000000"/>
          <w:szCs w:val="24"/>
          <w:lang w:eastAsia="es-CO"/>
        </w:rPr>
        <w:t> Índice 30</w:t>
      </w:r>
    </w:p>
    <w:p w14:paraId="6329207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1" w:name="_ftn12"/>
    <w:p w14:paraId="3BCFEB7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"_ftnref12"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[12]</w:t>
      </w:r>
      <w:r w:rsidRPr="00847458">
        <w:rPr>
          <w:rFonts w:ascii="Century Gothic" w:eastAsia="Times New Roman" w:hAnsi="Century Gothic" w:cs="Arial"/>
          <w:color w:val="000000"/>
          <w:szCs w:val="24"/>
          <w:lang w:eastAsia="es-CO"/>
        </w:rPr>
        <w:fldChar w:fldCharType="end"/>
      </w:r>
      <w:bookmarkEnd w:id="41"/>
      <w:r w:rsidRPr="00847458">
        <w:rPr>
          <w:rFonts w:ascii="Century Gothic" w:eastAsia="Times New Roman" w:hAnsi="Century Gothic" w:cs="Segoe UI"/>
          <w:color w:val="000000"/>
          <w:szCs w:val="24"/>
          <w:lang w:eastAsia="es-CO"/>
        </w:rPr>
        <w:t> Índice 32</w:t>
      </w:r>
    </w:p>
    <w:p w14:paraId="3288605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2" w:name="_ftn13"/>
    <w:p w14:paraId="34E3A61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"_ftnref13"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[13]</w:t>
      </w:r>
      <w:r w:rsidRPr="00847458">
        <w:rPr>
          <w:rFonts w:ascii="Century Gothic" w:eastAsia="Times New Roman" w:hAnsi="Century Gothic" w:cs="Arial"/>
          <w:color w:val="000000"/>
          <w:szCs w:val="24"/>
          <w:lang w:eastAsia="es-CO"/>
        </w:rPr>
        <w:fldChar w:fldCharType="end"/>
      </w:r>
      <w:bookmarkEnd w:id="42"/>
      <w:r w:rsidRPr="00847458">
        <w:rPr>
          <w:rFonts w:ascii="Century Gothic" w:eastAsia="Times New Roman" w:hAnsi="Century Gothic" w:cs="Segoe UI"/>
          <w:color w:val="000000"/>
          <w:szCs w:val="24"/>
          <w:lang w:eastAsia="es-CO"/>
        </w:rPr>
        <w:t> Índice 31</w:t>
      </w:r>
    </w:p>
    <w:p w14:paraId="1C68AA9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3" w:name="_ftn14"/>
    <w:p w14:paraId="76640BB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"_ftnref14"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[14]</w:t>
      </w:r>
      <w:r w:rsidRPr="00847458">
        <w:rPr>
          <w:rFonts w:ascii="Century Gothic" w:eastAsia="Times New Roman" w:hAnsi="Century Gothic" w:cs="Arial"/>
          <w:color w:val="000000"/>
          <w:szCs w:val="24"/>
          <w:lang w:eastAsia="es-CO"/>
        </w:rPr>
        <w:fldChar w:fldCharType="end"/>
      </w:r>
      <w:bookmarkEnd w:id="43"/>
      <w:r w:rsidRPr="00847458">
        <w:rPr>
          <w:rFonts w:ascii="Century Gothic" w:eastAsia="Times New Roman" w:hAnsi="Century Gothic" w:cs="Segoe UI"/>
          <w:color w:val="000000"/>
          <w:szCs w:val="24"/>
          <w:lang w:eastAsia="es-CO"/>
        </w:rPr>
        <w:t xml:space="preserve"> “Por el cual se expide el Decreto Único Reglamentario en Materia Tributaria” </w:t>
      </w:r>
      <w:proofErr w:type="spellStart"/>
      <w:r w:rsidRPr="00847458">
        <w:rPr>
          <w:rFonts w:ascii="Century Gothic" w:eastAsia="Times New Roman" w:hAnsi="Century Gothic" w:cs="Segoe UI"/>
          <w:color w:val="000000"/>
          <w:szCs w:val="24"/>
          <w:lang w:eastAsia="es-CO"/>
        </w:rPr>
        <w:t>Fl</w:t>
      </w:r>
      <w:proofErr w:type="spellEnd"/>
      <w:r w:rsidRPr="00847458">
        <w:rPr>
          <w:rFonts w:ascii="Century Gothic" w:eastAsia="Times New Roman" w:hAnsi="Century Gothic" w:cs="Segoe UI"/>
          <w:color w:val="000000"/>
          <w:szCs w:val="24"/>
          <w:lang w:eastAsia="es-CO"/>
        </w:rPr>
        <w:t>. 15, c. p. 1</w:t>
      </w:r>
    </w:p>
    <w:p w14:paraId="772318B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4" w:name="_ftn15"/>
    <w:p w14:paraId="18771FA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"_ftnref15"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[15]</w:t>
      </w:r>
      <w:r w:rsidRPr="00847458">
        <w:rPr>
          <w:rFonts w:ascii="Century Gothic" w:eastAsia="Times New Roman" w:hAnsi="Century Gothic" w:cs="Arial"/>
          <w:color w:val="000000"/>
          <w:szCs w:val="24"/>
          <w:lang w:eastAsia="es-CO"/>
        </w:rPr>
        <w:fldChar w:fldCharType="end"/>
      </w:r>
      <w:bookmarkEnd w:id="44"/>
      <w:r w:rsidRPr="00847458">
        <w:rPr>
          <w:rFonts w:ascii="Century Gothic" w:eastAsia="Times New Roman" w:hAnsi="Century Gothic" w:cs="Segoe UI"/>
          <w:color w:val="000000"/>
          <w:szCs w:val="24"/>
          <w:lang w:eastAsia="es-CO"/>
        </w:rPr>
        <w:t> ET, </w:t>
      </w:r>
      <w:hyperlink r:id="rId36" w:tooltip="Estatuto Tributario CETA" w:history="1">
        <w:r w:rsidRPr="00847458">
          <w:rPr>
            <w:rFonts w:ascii="Century Gothic" w:eastAsia="Times New Roman" w:hAnsi="Century Gothic" w:cs="Segoe UI"/>
            <w:color w:val="0089E1"/>
            <w:szCs w:val="24"/>
            <w:u w:val="single"/>
            <w:lang w:eastAsia="es-CO"/>
          </w:rPr>
          <w:t>Art. 330</w:t>
        </w:r>
      </w:hyperlink>
    </w:p>
    <w:p w14:paraId="2D0561E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5" w:name="_ftn16"/>
    <w:p w14:paraId="4289521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"_ftnref16"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[16]</w:t>
      </w:r>
      <w:r w:rsidRPr="00847458">
        <w:rPr>
          <w:rFonts w:ascii="Century Gothic" w:eastAsia="Times New Roman" w:hAnsi="Century Gothic" w:cs="Arial"/>
          <w:color w:val="000000"/>
          <w:szCs w:val="24"/>
          <w:lang w:eastAsia="es-CO"/>
        </w:rPr>
        <w:fldChar w:fldCharType="end"/>
      </w:r>
      <w:bookmarkEnd w:id="45"/>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Tarifa general del </w:t>
      </w:r>
      <w:hyperlink r:id="rId37" w:tooltip="Estatuto Tributario CETA" w:history="1">
        <w:r w:rsidRPr="00847458">
          <w:rPr>
            <w:rFonts w:ascii="Century Gothic" w:eastAsia="Times New Roman" w:hAnsi="Century Gothic" w:cs="Segoe UI"/>
            <w:color w:val="0089E1"/>
            <w:szCs w:val="24"/>
            <w:u w:val="single"/>
            <w:lang w:eastAsia="es-CO"/>
          </w:rPr>
          <w:t>artículo 241</w:t>
        </w:r>
      </w:hyperlink>
      <w:r w:rsidRPr="00847458">
        <w:rPr>
          <w:rFonts w:ascii="Century Gothic" w:eastAsia="Times New Roman" w:hAnsi="Century Gothic" w:cs="Segoe UI"/>
          <w:szCs w:val="24"/>
          <w:lang w:eastAsia="es-CO"/>
        </w:rPr>
        <w:t> del ET a la sumatoria de las cédulas de trabajo y pensiones; tarifa del inciso 2 de la misma norma, que comienza en 600 UVT a la sumatoria de la cédula de capital y no laboral; tarifa especial para dividendos y participaciones sujetos a un régimen de transición dirigido a incrementar el impuesto a cargo de los residentes sobre esas rentas de capital</w:t>
      </w:r>
    </w:p>
    <w:p w14:paraId="291E927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46" w:name="_ftn17"/>
    <w:p w14:paraId="14E5F13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"_ftnref17"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[17]</w:t>
      </w:r>
      <w:r w:rsidRPr="00847458">
        <w:rPr>
          <w:rFonts w:ascii="Century Gothic" w:eastAsia="Times New Roman" w:hAnsi="Century Gothic" w:cs="Arial"/>
          <w:color w:val="000000"/>
          <w:szCs w:val="24"/>
          <w:lang w:eastAsia="es-CO"/>
        </w:rPr>
        <w:fldChar w:fldCharType="end"/>
      </w:r>
      <w:bookmarkEnd w:id="46"/>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Aplicable por remisión del </w:t>
      </w:r>
      <w:hyperlink r:id="rId38" w:tooltip="Estatuto Tributario CETA" w:history="1">
        <w:r w:rsidRPr="00847458">
          <w:rPr>
            <w:rFonts w:ascii="Century Gothic" w:eastAsia="Times New Roman" w:hAnsi="Century Gothic" w:cs="Segoe UI"/>
            <w:color w:val="0089E1"/>
            <w:szCs w:val="24"/>
            <w:u w:val="single"/>
            <w:lang w:eastAsia="es-CO"/>
          </w:rPr>
          <w:t>artículo 335</w:t>
        </w:r>
      </w:hyperlink>
      <w:r w:rsidRPr="00847458">
        <w:rPr>
          <w:rFonts w:ascii="Century Gothic" w:eastAsia="Times New Roman" w:hAnsi="Century Gothic" w:cs="Segoe UI"/>
          <w:szCs w:val="24"/>
          <w:lang w:eastAsia="es-CO"/>
        </w:rPr>
        <w:t> del ET. Según el </w:t>
      </w:r>
      <w:hyperlink r:id="rId39" w:tooltip="Estatuto Tributario CETA" w:history="1">
        <w:r w:rsidRPr="00847458">
          <w:rPr>
            <w:rFonts w:ascii="Century Gothic" w:eastAsia="Times New Roman" w:hAnsi="Century Gothic" w:cs="Segoe UI"/>
            <w:color w:val="0089E1"/>
            <w:szCs w:val="24"/>
            <w:u w:val="single"/>
            <w:lang w:eastAsia="es-CO"/>
          </w:rPr>
          <w:t>artículo 103</w:t>
        </w:r>
      </w:hyperlink>
      <w:r w:rsidRPr="00847458">
        <w:rPr>
          <w:rFonts w:ascii="Century Gothic" w:eastAsia="Times New Roman" w:hAnsi="Century Gothic" w:cs="Segoe UI"/>
          <w:szCs w:val="24"/>
          <w:lang w:eastAsia="es-CO"/>
        </w:rPr>
        <w:t> ib., </w:t>
      </w:r>
      <w:r w:rsidRPr="00847458">
        <w:rPr>
          <w:rFonts w:ascii="Century Gothic" w:eastAsia="Times New Roman" w:hAnsi="Century Gothic" w:cs="Segoe UI"/>
          <w:i/>
          <w:iCs/>
          <w:szCs w:val="24"/>
          <w:lang w:eastAsia="es-CO"/>
        </w:rPr>
        <w:t>“se consideran rentas exclusivas de trabajo, las obtenidas por personas naturales por concepto de salarios, comisiones, prestaciones sociales, viáticos, gastos de representación, honorarios, emolumentos eclesiásticos, compensaciones recibidas por el trabajo asociado cooperativo y, en general, las compensaciones por servicios personales.”</w:t>
      </w:r>
    </w:p>
    <w:p w14:paraId="5462B85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47" w:name="_ftn18"/>
    <w:p w14:paraId="6A46F61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"_ftnref18"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[18]</w:t>
      </w:r>
      <w:r w:rsidRPr="00847458">
        <w:rPr>
          <w:rFonts w:ascii="Century Gothic" w:eastAsia="Times New Roman" w:hAnsi="Century Gothic" w:cs="Arial"/>
          <w:color w:val="000000"/>
          <w:szCs w:val="24"/>
          <w:lang w:eastAsia="es-CO"/>
        </w:rPr>
        <w:fldChar w:fldCharType="end"/>
      </w:r>
      <w:bookmarkEnd w:id="47"/>
      <w:r w:rsidRPr="00847458">
        <w:rPr>
          <w:rFonts w:ascii="Century Gothic" w:eastAsia="Times New Roman" w:hAnsi="Century Gothic" w:cs="Segoe UI"/>
          <w:color w:val="000000"/>
          <w:szCs w:val="24"/>
          <w:lang w:eastAsia="es-CO"/>
        </w:rPr>
        <w:t> En el texto vigente al momento de presentarse la demanda (12 de septiembre de 2018), es decir, antes de la modificación introducida por la Ley 1943 del 28 de diciembre de 2018</w:t>
      </w:r>
    </w:p>
    <w:p w14:paraId="3F5C90D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8" w:name="_ftn19"/>
    <w:p w14:paraId="5D2CC3C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lastRenderedPageBreak/>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"_ftnref19"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[19]</w:t>
      </w:r>
      <w:r w:rsidRPr="00847458">
        <w:rPr>
          <w:rFonts w:ascii="Century Gothic" w:eastAsia="Times New Roman" w:hAnsi="Century Gothic" w:cs="Arial"/>
          <w:color w:val="000000"/>
          <w:szCs w:val="24"/>
          <w:lang w:eastAsia="es-CO"/>
        </w:rPr>
        <w:fldChar w:fldCharType="end"/>
      </w:r>
      <w:bookmarkEnd w:id="48"/>
      <w:r w:rsidRPr="00847458">
        <w:rPr>
          <w:rFonts w:ascii="Century Gothic" w:eastAsia="Times New Roman" w:hAnsi="Century Gothic" w:cs="Segoe UI"/>
          <w:color w:val="000000"/>
          <w:szCs w:val="24"/>
          <w:lang w:eastAsia="es-CO"/>
        </w:rPr>
        <w:t>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w:t>
      </w:r>
    </w:p>
    <w:p w14:paraId="195F439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49" w:name="_ftn20"/>
    <w:p w14:paraId="76B0EEB0"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"_ftnref20"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[20]</w:t>
      </w:r>
      <w:r w:rsidRPr="00847458">
        <w:rPr>
          <w:rFonts w:ascii="Century Gothic" w:eastAsia="Times New Roman" w:hAnsi="Century Gothic" w:cs="Arial"/>
          <w:color w:val="000000"/>
          <w:szCs w:val="24"/>
          <w:lang w:eastAsia="es-CO"/>
        </w:rPr>
        <w:fldChar w:fldCharType="end"/>
      </w:r>
      <w:bookmarkEnd w:id="49"/>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Antes de ser reformado por la Ley 1943 de 2018. </w:t>
      </w:r>
      <w:r w:rsidRPr="00847458">
        <w:rPr>
          <w:rFonts w:ascii="Century Gothic" w:eastAsia="Times New Roman" w:hAnsi="Century Gothic" w:cs="Segoe UI"/>
          <w:i/>
          <w:iCs/>
          <w:szCs w:val="24"/>
          <w:lang w:eastAsia="es-CO"/>
        </w:rPr>
        <w:t>“La depuración de las rentas correspondientes a cada una de las cédulas a las que se refiere este artículo se efectuará de manera independiente, </w:t>
      </w:r>
      <w:r w:rsidRPr="00847458">
        <w:rPr>
          <w:rFonts w:ascii="Century Gothic" w:eastAsia="Times New Roman" w:hAnsi="Century Gothic" w:cs="Segoe UI"/>
          <w:b/>
          <w:bCs/>
          <w:i/>
          <w:iCs/>
          <w:szCs w:val="24"/>
          <w:lang w:eastAsia="es-CO"/>
        </w:rPr>
        <w:t>siguiendo las reglas establecidas en el </w:t>
      </w:r>
      <w:hyperlink r:id="rId40" w:tooltip="Estatuto Tributario CETA" w:history="1">
        <w:r w:rsidRPr="00847458">
          <w:rPr>
            <w:rFonts w:ascii="Century Gothic" w:eastAsia="Times New Roman" w:hAnsi="Century Gothic" w:cs="Segoe UI"/>
            <w:b/>
            <w:bCs/>
            <w:i/>
            <w:iCs/>
            <w:color w:val="0089E1"/>
            <w:szCs w:val="24"/>
            <w:u w:val="single"/>
            <w:lang w:eastAsia="es-CO"/>
          </w:rPr>
          <w:t>artículo 26</w:t>
        </w:r>
      </w:hyperlink>
      <w:r w:rsidRPr="00847458">
        <w:rPr>
          <w:rFonts w:ascii="Century Gothic" w:eastAsia="Times New Roman" w:hAnsi="Century Gothic" w:cs="Segoe UI"/>
          <w:b/>
          <w:bCs/>
          <w:i/>
          <w:iCs/>
          <w:szCs w:val="24"/>
          <w:lang w:eastAsia="es-CO"/>
        </w:rPr>
        <w:t> de este Estatuto </w:t>
      </w:r>
      <w:r w:rsidRPr="00847458">
        <w:rPr>
          <w:rFonts w:ascii="Century Gothic" w:eastAsia="Times New Roman" w:hAnsi="Century Gothic" w:cs="Segoe UI"/>
          <w:i/>
          <w:iCs/>
          <w:szCs w:val="24"/>
          <w:lang w:eastAsia="es-CO"/>
        </w:rPr>
        <w:t>aplicables a cada caso. El resultado constituirá la renta líquida cedular.</w:t>
      </w:r>
    </w:p>
    <w:p w14:paraId="7CC1D94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color w:val="000000"/>
          <w:szCs w:val="24"/>
          <w:lang w:eastAsia="es-CO"/>
        </w:rPr>
        <w:t> </w:t>
      </w:r>
    </w:p>
    <w:p w14:paraId="33B9AF6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i/>
          <w:iCs/>
          <w:color w:val="000000"/>
          <w:szCs w:val="24"/>
          <w:lang w:eastAsia="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 (…)”</w:t>
      </w:r>
    </w:p>
    <w:p w14:paraId="758A827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0" w:name="_ftn21"/>
    <w:p w14:paraId="5DBCFC9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"_ftnref21"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[21]</w:t>
      </w:r>
      <w:r w:rsidRPr="00847458">
        <w:rPr>
          <w:rFonts w:ascii="Century Gothic" w:eastAsia="Times New Roman" w:hAnsi="Century Gothic" w:cs="Arial"/>
          <w:color w:val="000000"/>
          <w:szCs w:val="24"/>
          <w:lang w:eastAsia="es-CO"/>
        </w:rPr>
        <w:fldChar w:fldCharType="end"/>
      </w:r>
      <w:bookmarkEnd w:id="50"/>
      <w:r w:rsidRPr="00847458">
        <w:rPr>
          <w:rFonts w:ascii="Century Gothic" w:eastAsia="Times New Roman" w:hAnsi="Century Gothic" w:cs="Segoe UI"/>
          <w:color w:val="000000"/>
          <w:szCs w:val="24"/>
          <w:lang w:eastAsia="es-CO"/>
        </w:rPr>
        <w:t> Parte considerativa del Decreto 1625 de 2016</w:t>
      </w:r>
    </w:p>
    <w:p w14:paraId="3632ADA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1" w:name="_ftn22"/>
    <w:p w14:paraId="513DC5F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"_ftnref22"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[22]</w:t>
      </w:r>
      <w:r w:rsidRPr="00847458">
        <w:rPr>
          <w:rFonts w:ascii="Century Gothic" w:eastAsia="Times New Roman" w:hAnsi="Century Gothic" w:cs="Arial"/>
          <w:color w:val="000000"/>
          <w:szCs w:val="24"/>
          <w:lang w:eastAsia="es-CO"/>
        </w:rPr>
        <w:fldChar w:fldCharType="end"/>
      </w:r>
      <w:bookmarkEnd w:id="51"/>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b/>
          <w:bCs/>
          <w:i/>
          <w:iCs/>
          <w:szCs w:val="24"/>
          <w:lang w:eastAsia="es-CO"/>
        </w:rPr>
        <w:t>Artículo 1.2.4.3. Obligación de los agentes retenedores. </w:t>
      </w:r>
      <w:r w:rsidRPr="00847458">
        <w:rPr>
          <w:rFonts w:ascii="Century Gothic" w:eastAsia="Times New Roman" w:hAnsi="Century Gothic" w:cs="Segoe UI"/>
          <w:szCs w:val="24"/>
          <w:lang w:eastAsia="es-CO"/>
        </w:rPr>
        <w:t>Deberán efectuar retenciones en la fuente, a título de impuesto sobre la renta, quienes hagan pagos o abonos en cuenta por concepto de rentas sujetas a impuesto en Colombia a favor de:</w:t>
      </w:r>
    </w:p>
    <w:p w14:paraId="49E0D28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 </w:t>
      </w:r>
    </w:p>
    <w:p w14:paraId="50F93C3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1. Sociedades u otras entidades extranjeras sin domicilio en el país.</w:t>
      </w:r>
    </w:p>
    <w:p w14:paraId="0486F1A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2. Personas naturales extranjeras sin residencia en Colombia.</w:t>
      </w:r>
    </w:p>
    <w:p w14:paraId="47F162F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3. Sucesiones ilíquidas de extranjeros que no eran residentes en Colombia.</w:t>
      </w:r>
    </w:p>
    <w:p w14:paraId="126D9823"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w:t>
      </w:r>
    </w:p>
    <w:p w14:paraId="11722F5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i/>
          <w:iCs/>
          <w:color w:val="000000"/>
          <w:szCs w:val="24"/>
          <w:lang w:eastAsia="es-CO"/>
        </w:rPr>
        <w:t>Artículo 1.2.4.20. Ámbito de aplicación. </w:t>
      </w:r>
      <w:r w:rsidRPr="00847458">
        <w:rPr>
          <w:rFonts w:ascii="Century Gothic" w:eastAsia="Times New Roman" w:hAnsi="Century Gothic" w:cs="Segoe UI"/>
          <w:color w:val="000000"/>
          <w:szCs w:val="24"/>
          <w:lang w:eastAsia="es-CO"/>
        </w:rPr>
        <w:t>Los artículos 1.2.4.20 al 1.2.4.23, 1.2.4.25 al 1.2.4.33 y 1.2.4.36 del presente Decreto aplica a los agentes de retención, que señale la Unidad Administrativa Especial Dirección de Impuestos y Aduanas Nacionales- DIAN, quienes deben realizar de forma exclusiva los pagos por conceptos sujetos a retención en la fuente, a través de cuentas de ahorro o corrientes en las entidades financieras, mediante el uso de tarjetas débito, cheques girados a primer beneficiario y/o transferencias directas. (…)</w:t>
      </w:r>
    </w:p>
    <w:p w14:paraId="648FC28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2" w:name="_ftn23"/>
    <w:p w14:paraId="7A2764C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"_ftnref23"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[23]</w:t>
      </w:r>
      <w:r w:rsidRPr="00847458">
        <w:rPr>
          <w:rFonts w:ascii="Century Gothic" w:eastAsia="Times New Roman" w:hAnsi="Century Gothic" w:cs="Arial"/>
          <w:color w:val="000000"/>
          <w:szCs w:val="24"/>
          <w:lang w:eastAsia="es-CO"/>
        </w:rPr>
        <w:fldChar w:fldCharType="end"/>
      </w:r>
      <w:bookmarkEnd w:id="52"/>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szCs w:val="24"/>
          <w:lang w:eastAsia="es-CO"/>
        </w:rPr>
        <w:t>Arts. 1.2.4.1.1. a 1.2.4.1.41</w:t>
      </w:r>
    </w:p>
    <w:p w14:paraId="5452F48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53" w:name="_ftn24"/>
    <w:p w14:paraId="0D7C843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"_ftnref24"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[24]</w:t>
      </w:r>
      <w:r w:rsidRPr="00847458">
        <w:rPr>
          <w:rFonts w:ascii="Century Gothic" w:eastAsia="Times New Roman" w:hAnsi="Century Gothic" w:cs="Arial"/>
          <w:color w:val="000000"/>
          <w:szCs w:val="24"/>
          <w:lang w:eastAsia="es-CO"/>
        </w:rPr>
        <w:fldChar w:fldCharType="end"/>
      </w:r>
      <w:bookmarkEnd w:id="53"/>
      <w:r w:rsidRPr="00847458">
        <w:rPr>
          <w:rFonts w:ascii="Century Gothic" w:eastAsia="Times New Roman" w:hAnsi="Century Gothic" w:cs="Segoe UI"/>
          <w:color w:val="000000"/>
          <w:szCs w:val="24"/>
          <w:lang w:eastAsia="es-CO"/>
        </w:rPr>
        <w:t> Reglamentado por el artículo 1.2.4.1.18 del DUR</w:t>
      </w:r>
    </w:p>
    <w:p w14:paraId="7CE9E8C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4" w:name="_ftn25"/>
    <w:p w14:paraId="34942B9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"_ftnref25"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[25]</w:t>
      </w:r>
      <w:r w:rsidRPr="00847458">
        <w:rPr>
          <w:rFonts w:ascii="Century Gothic" w:eastAsia="Times New Roman" w:hAnsi="Century Gothic" w:cs="Arial"/>
          <w:color w:val="000000"/>
          <w:szCs w:val="24"/>
          <w:lang w:eastAsia="es-CO"/>
        </w:rPr>
        <w:fldChar w:fldCharType="end"/>
      </w:r>
      <w:bookmarkEnd w:id="54"/>
      <w:r w:rsidRPr="00847458">
        <w:rPr>
          <w:rFonts w:ascii="Century Gothic" w:eastAsia="Times New Roman" w:hAnsi="Century Gothic" w:cs="Segoe UI"/>
          <w:color w:val="000000"/>
          <w:szCs w:val="24"/>
          <w:lang w:eastAsia="es-CO"/>
        </w:rPr>
        <w:t> Según la misma norma reglamentaria, lo previsto en el numeral 10 del </w:t>
      </w:r>
      <w:hyperlink r:id="rId41" w:tooltip="Estatuto Tributario CETA" w:history="1">
        <w:r w:rsidRPr="00847458">
          <w:rPr>
            <w:rFonts w:ascii="Century Gothic" w:eastAsia="Times New Roman" w:hAnsi="Century Gothic" w:cs="Segoe UI"/>
            <w:color w:val="0089E1"/>
            <w:szCs w:val="24"/>
            <w:u w:val="single"/>
            <w:lang w:eastAsia="es-CO"/>
          </w:rPr>
          <w:t>artículo 206</w:t>
        </w:r>
      </w:hyperlink>
      <w:r w:rsidRPr="00847458">
        <w:rPr>
          <w:rFonts w:ascii="Century Gothic" w:eastAsia="Times New Roman" w:hAnsi="Century Gothic" w:cs="Segoe UI"/>
          <w:color w:val="000000"/>
          <w:szCs w:val="24"/>
          <w:lang w:eastAsia="es-CO"/>
        </w:rPr>
        <w:t> del ET procede igualmente para las personas naturales, cuyos pagos o abonos en cuenta no provengan de una relación laboral o legal y reglamentaria, de conformidad con lo previsto en el inciso 1° del </w:t>
      </w:r>
      <w:hyperlink r:id="rId42" w:tooltip="Estatuto Tributario CETA" w:history="1">
        <w:r w:rsidRPr="00847458">
          <w:rPr>
            <w:rFonts w:ascii="Century Gothic" w:eastAsia="Times New Roman" w:hAnsi="Century Gothic" w:cs="Segoe UI"/>
            <w:color w:val="0089E1"/>
            <w:szCs w:val="24"/>
            <w:u w:val="single"/>
            <w:lang w:eastAsia="es-CO"/>
          </w:rPr>
          <w:t>artículo 383</w:t>
        </w:r>
      </w:hyperlink>
      <w:r w:rsidRPr="00847458">
        <w:rPr>
          <w:rFonts w:ascii="Century Gothic" w:eastAsia="Times New Roman" w:hAnsi="Century Gothic" w:cs="Segoe UI"/>
          <w:color w:val="000000"/>
          <w:szCs w:val="24"/>
          <w:lang w:eastAsia="es-CO"/>
        </w:rPr>
        <w:t> ib. Los factores de depuración de la base de retención de los empleados cuyos ingresos no provengan de una relación laboral o legal y reglamentaria, se determinan mediante los soportes adjuntados por el empleado a la factura o documento equivalente o el documento expedido por las personas no obligadas a facturar en los términos del inciso 3° del </w:t>
      </w:r>
      <w:hyperlink r:id="rId43" w:tooltip="Estatuto Tributario CETA" w:history="1">
        <w:r w:rsidRPr="00847458">
          <w:rPr>
            <w:rFonts w:ascii="Century Gothic" w:eastAsia="Times New Roman" w:hAnsi="Century Gothic" w:cs="Segoe UI"/>
            <w:color w:val="0089E1"/>
            <w:szCs w:val="24"/>
            <w:u w:val="single"/>
            <w:lang w:eastAsia="es-CO"/>
          </w:rPr>
          <w:t>artículo 771-2</w:t>
        </w:r>
      </w:hyperlink>
      <w:r w:rsidRPr="00847458">
        <w:rPr>
          <w:rFonts w:ascii="Century Gothic" w:eastAsia="Times New Roman" w:hAnsi="Century Gothic" w:cs="Segoe UI"/>
          <w:color w:val="000000"/>
          <w:szCs w:val="24"/>
          <w:lang w:eastAsia="es-CO"/>
        </w:rPr>
        <w:t> </w:t>
      </w:r>
      <w:proofErr w:type="spellStart"/>
      <w:r w:rsidRPr="00847458">
        <w:rPr>
          <w:rFonts w:ascii="Century Gothic" w:eastAsia="Times New Roman" w:hAnsi="Century Gothic" w:cs="Segoe UI"/>
          <w:color w:val="000000"/>
          <w:szCs w:val="24"/>
          <w:lang w:eastAsia="es-CO"/>
        </w:rPr>
        <w:t>ejusdem</w:t>
      </w:r>
      <w:proofErr w:type="spellEnd"/>
      <w:r w:rsidRPr="00847458">
        <w:rPr>
          <w:rFonts w:ascii="Century Gothic" w:eastAsia="Times New Roman" w:hAnsi="Century Gothic" w:cs="Segoe UI"/>
          <w:color w:val="000000"/>
          <w:szCs w:val="24"/>
          <w:lang w:eastAsia="es-CO"/>
        </w:rPr>
        <w:t>.</w:t>
      </w:r>
    </w:p>
    <w:p w14:paraId="3358AE6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5" w:name="_ftn26"/>
    <w:p w14:paraId="6C274C87"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lastRenderedPageBreak/>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"_ftnref26"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[26]</w:t>
      </w:r>
      <w:r w:rsidRPr="00847458">
        <w:rPr>
          <w:rFonts w:ascii="Century Gothic" w:eastAsia="Times New Roman" w:hAnsi="Century Gothic" w:cs="Arial"/>
          <w:color w:val="000000"/>
          <w:szCs w:val="24"/>
          <w:lang w:eastAsia="es-CO"/>
        </w:rPr>
        <w:fldChar w:fldCharType="end"/>
      </w:r>
      <w:bookmarkEnd w:id="55"/>
      <w:r w:rsidRPr="00847458">
        <w:rPr>
          <w:rFonts w:ascii="Century Gothic" w:eastAsia="Times New Roman" w:hAnsi="Century Gothic" w:cs="Segoe UI"/>
          <w:color w:val="000000"/>
          <w:szCs w:val="24"/>
          <w:lang w:eastAsia="es-CO"/>
        </w:rPr>
        <w:t> Al tenor de ese parágrafo, los límites mencionados no se aplican a las rentas exentas establecidas en los numerales 6, 8 y 9 del </w:t>
      </w:r>
      <w:hyperlink r:id="rId44" w:tooltip="Estatuto Tributario CETA" w:history="1">
        <w:r w:rsidRPr="00847458">
          <w:rPr>
            <w:rFonts w:ascii="Century Gothic" w:eastAsia="Times New Roman" w:hAnsi="Century Gothic" w:cs="Segoe UI"/>
            <w:color w:val="0089E1"/>
            <w:szCs w:val="24"/>
            <w:u w:val="single"/>
            <w:lang w:eastAsia="es-CO"/>
          </w:rPr>
          <w:t>artículo 206</w:t>
        </w:r>
      </w:hyperlink>
      <w:r w:rsidRPr="00847458">
        <w:rPr>
          <w:rFonts w:ascii="Century Gothic" w:eastAsia="Times New Roman" w:hAnsi="Century Gothic" w:cs="Segoe UI"/>
          <w:color w:val="000000"/>
          <w:szCs w:val="24"/>
          <w:lang w:eastAsia="es-CO"/>
        </w:rPr>
        <w:t> del ET, ni a la prima especial, ni a la prima de costo de vida de que trata el </w:t>
      </w:r>
      <w:hyperlink r:id="rId45" w:tooltip="Estatuto Tributario CETA" w:history="1">
        <w:r w:rsidRPr="00847458">
          <w:rPr>
            <w:rFonts w:ascii="Century Gothic" w:eastAsia="Times New Roman" w:hAnsi="Century Gothic" w:cs="Segoe UI"/>
            <w:color w:val="0089E1"/>
            <w:szCs w:val="24"/>
            <w:u w:val="single"/>
            <w:lang w:eastAsia="es-CO"/>
          </w:rPr>
          <w:t>artículo 206-1</w:t>
        </w:r>
      </w:hyperlink>
      <w:r w:rsidRPr="00847458">
        <w:rPr>
          <w:rFonts w:ascii="Century Gothic" w:eastAsia="Times New Roman" w:hAnsi="Century Gothic" w:cs="Segoe UI"/>
          <w:color w:val="000000"/>
          <w:szCs w:val="24"/>
          <w:lang w:eastAsia="es-CO"/>
        </w:rPr>
        <w:t> ib.</w:t>
      </w:r>
    </w:p>
    <w:p w14:paraId="3AAFD03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6" w:name="_ftn27"/>
    <w:p w14:paraId="05D329C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"_ftnref27"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[27]</w:t>
      </w:r>
      <w:r w:rsidRPr="00847458">
        <w:rPr>
          <w:rFonts w:ascii="Century Gothic" w:eastAsia="Times New Roman" w:hAnsi="Century Gothic" w:cs="Arial"/>
          <w:color w:val="000000"/>
          <w:szCs w:val="24"/>
          <w:lang w:eastAsia="es-CO"/>
        </w:rPr>
        <w:fldChar w:fldCharType="end"/>
      </w:r>
      <w:bookmarkEnd w:id="56"/>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b/>
          <w:bCs/>
          <w:szCs w:val="24"/>
          <w:lang w:eastAsia="es-CO"/>
        </w:rPr>
        <w:t>Procedimiento 1.</w:t>
      </w:r>
    </w:p>
    <w:p w14:paraId="10F70E7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70F39EA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Con relación a los pagos gravables, diferentes de la cesantía, los intereses sobre cesantía y la prima mínima legal de servicios del sector privado o de navidad del sector público, </w:t>
      </w:r>
      <w:r w:rsidRPr="00847458">
        <w:rPr>
          <w:rFonts w:ascii="Century Gothic" w:eastAsia="Times New Roman" w:hAnsi="Century Gothic" w:cs="Segoe UI"/>
          <w:b/>
          <w:bCs/>
          <w:szCs w:val="24"/>
          <w:lang w:eastAsia="es-CO"/>
        </w:rPr>
        <w:t>el “valor a retener” mensualmente </w:t>
      </w:r>
      <w:r w:rsidRPr="00847458">
        <w:rPr>
          <w:rFonts w:ascii="Century Gothic" w:eastAsia="Times New Roman" w:hAnsi="Century Gothic" w:cs="Segoe UI"/>
          <w:szCs w:val="24"/>
          <w:lang w:eastAsia="es-CO"/>
        </w:rPr>
        <w:t>es el indicado frente al intervalo de la tabla al cual correspondan la totalidad de dichos pagos que se hagan al trabajador, directa o indirectamente, </w:t>
      </w:r>
      <w:r w:rsidRPr="00847458">
        <w:rPr>
          <w:rFonts w:ascii="Century Gothic" w:eastAsia="Times New Roman" w:hAnsi="Century Gothic" w:cs="Segoe UI"/>
          <w:b/>
          <w:bCs/>
          <w:szCs w:val="24"/>
          <w:lang w:eastAsia="es-CO"/>
        </w:rPr>
        <w:t>durante el respectivo mes</w:t>
      </w:r>
      <w:r w:rsidRPr="00847458">
        <w:rPr>
          <w:rFonts w:ascii="Century Gothic" w:eastAsia="Times New Roman" w:hAnsi="Century Gothic" w:cs="Segoe UI"/>
          <w:szCs w:val="24"/>
          <w:lang w:eastAsia="es-CO"/>
        </w:rPr>
        <w:t>. </w:t>
      </w:r>
      <w:r w:rsidRPr="00847458">
        <w:rPr>
          <w:rFonts w:ascii="Century Gothic" w:eastAsia="Times New Roman" w:hAnsi="Century Gothic" w:cs="Segoe UI"/>
          <w:b/>
          <w:bCs/>
          <w:szCs w:val="24"/>
          <w:lang w:eastAsia="es-CO"/>
        </w:rPr>
        <w:t>Si tales pagos se realizan por períodos inferiores a treinta (30) días</w:t>
      </w:r>
      <w:r w:rsidRPr="00847458">
        <w:rPr>
          <w:rFonts w:ascii="Century Gothic" w:eastAsia="Times New Roman" w:hAnsi="Century Gothic" w:cs="Segoe UI"/>
          <w:szCs w:val="24"/>
          <w:lang w:eastAsia="es-CO"/>
        </w:rPr>
        <w:t>, su retención podrá calcularse así:</w:t>
      </w:r>
    </w:p>
    <w:p w14:paraId="4D1A9DA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111EC4A5"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a) El valor total de los pagos gravables, recibidos directa o indirectamente por el trabajador en el respectivo período, se divide por el número de días a que correspondan tales pagos y su resultado se multiplica por treinta (30).</w:t>
      </w:r>
    </w:p>
    <w:p w14:paraId="646AB186"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b) Se determina el porcentaje de retención que figure en la tabla frente al valor obtenido de acuerdo con lo previsto en el literal anterior y dicho porcentaje se aplica a la totalidad de los pagos gravables recibidos directa o indirectamente por el trabajador en el respectivo período. La cifra resultante será el “valor a retener”.</w:t>
      </w:r>
    </w:p>
    <w:p w14:paraId="6C295BBC"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p w14:paraId="09B1376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Cuando se trate de la prima mínima legal de servicios del sector privado, o de Navidad del sector público, el “valor a retener” es el que figure frente al intervalo al cual corresponda la respectiva prima.</w:t>
      </w:r>
    </w:p>
    <w:p w14:paraId="6EA65648"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eastAsia="es-CO"/>
        </w:rPr>
        <w:t> </w:t>
      </w:r>
    </w:p>
    <w:p w14:paraId="7E490462"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00"/>
          <w:szCs w:val="24"/>
          <w:lang w:eastAsia="es-CO"/>
        </w:rPr>
        <w:t>Procedimiento 2.</w:t>
      </w:r>
    </w:p>
    <w:p w14:paraId="523A2A1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color w:val="000000"/>
          <w:szCs w:val="24"/>
          <w:lang w:val="es-ES" w:eastAsia="es-CO"/>
        </w:rPr>
        <w:t> </w:t>
      </w:r>
    </w:p>
    <w:p w14:paraId="1C6DDCB9"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lastRenderedPageBreak/>
        <w:t>Cuando se trate de los pagos gravables distintos de la cesantía y de los intereses sobre las cesantías, </w:t>
      </w:r>
      <w:r w:rsidRPr="00847458">
        <w:rPr>
          <w:rFonts w:ascii="Century Gothic" w:eastAsia="Times New Roman" w:hAnsi="Century Gothic" w:cs="Segoe UI"/>
          <w:b/>
          <w:bCs/>
          <w:szCs w:val="24"/>
          <w:lang w:eastAsia="es-CO"/>
        </w:rPr>
        <w:t>el “valor a retener” mensualmente </w:t>
      </w:r>
      <w:r w:rsidRPr="00847458">
        <w:rPr>
          <w:rFonts w:ascii="Century Gothic" w:eastAsia="Times New Roman" w:hAnsi="Century Gothic" w:cs="Segoe UI"/>
          <w:szCs w:val="24"/>
          <w:lang w:eastAsia="es-CO"/>
        </w:rPr>
        <w:t>es el que resulte de aplicar a la totalidad de tales pagos gravables efectuados al trabajador, directa o indirectamente, </w:t>
      </w:r>
      <w:r w:rsidRPr="00847458">
        <w:rPr>
          <w:rFonts w:ascii="Century Gothic" w:eastAsia="Times New Roman" w:hAnsi="Century Gothic" w:cs="Segoe UI"/>
          <w:b/>
          <w:bCs/>
          <w:szCs w:val="24"/>
          <w:lang w:eastAsia="es-CO"/>
        </w:rPr>
        <w:t>en el respectivo mes, quincena o período de pago, el porcentaje fijo de retención semestral que le corresponda al trabajador</w:t>
      </w:r>
      <w:r w:rsidRPr="00847458">
        <w:rPr>
          <w:rFonts w:ascii="Century Gothic" w:eastAsia="Times New Roman" w:hAnsi="Century Gothic" w:cs="Segoe UI"/>
          <w:szCs w:val="24"/>
          <w:lang w:eastAsia="es-CO"/>
        </w:rPr>
        <w:t>, calculado de conformidad con lo previsto en el artículo siguiente.</w:t>
      </w:r>
    </w:p>
    <w:p w14:paraId="3DB95E4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 </w:t>
      </w:r>
    </w:p>
    <w:p w14:paraId="0B63998D"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b/>
          <w:bCs/>
          <w:szCs w:val="24"/>
          <w:lang w:eastAsia="es-CO"/>
        </w:rPr>
        <w:t>Parágrafo. </w:t>
      </w:r>
      <w:r w:rsidRPr="00847458">
        <w:rPr>
          <w:rFonts w:ascii="Century Gothic" w:eastAsia="Times New Roman" w:hAnsi="Century Gothic" w:cs="Segoe UI"/>
          <w:szCs w:val="24"/>
          <w:lang w:eastAsia="es-CO"/>
        </w:rPr>
        <w:t>Cuando al aplicar la tabla de retención en la fuente de acuerdo con lo previsto en este artículo la base de retención corresponda al último intervalo de la tabla, el “valor a retener” es el que resulte de aplicar el porcentaje de retención correspondiente a dicho intervalo, a los pagos gravables recibidos por el trabajador.”</w:t>
      </w:r>
    </w:p>
    <w:p w14:paraId="07066714"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57" w:name="_ftn28"/>
    <w:p w14:paraId="1BAD2E3A"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"_ftnref28"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[28]</w:t>
      </w:r>
      <w:r w:rsidRPr="00847458">
        <w:rPr>
          <w:rFonts w:ascii="Century Gothic" w:eastAsia="Times New Roman" w:hAnsi="Century Gothic" w:cs="Arial"/>
          <w:color w:val="000000"/>
          <w:szCs w:val="24"/>
          <w:lang w:eastAsia="es-CO"/>
        </w:rPr>
        <w:fldChar w:fldCharType="end"/>
      </w:r>
      <w:bookmarkEnd w:id="57"/>
      <w:r w:rsidRPr="00847458">
        <w:rPr>
          <w:rFonts w:ascii="Century Gothic" w:eastAsia="Times New Roman" w:hAnsi="Century Gothic" w:cs="Segoe UI"/>
          <w:color w:val="0089E1"/>
          <w:szCs w:val="24"/>
          <w:lang w:eastAsia="es-CO"/>
        </w:rPr>
        <w:t> </w:t>
      </w:r>
      <w:r w:rsidRPr="00847458">
        <w:rPr>
          <w:rFonts w:ascii="Century Gothic" w:eastAsia="Times New Roman" w:hAnsi="Century Gothic" w:cs="Segoe UI"/>
          <w:i/>
          <w:iCs/>
          <w:szCs w:val="24"/>
          <w:lang w:eastAsia="es-CO"/>
        </w:rPr>
        <w:t>“La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de conformidad con lo establecido en el </w:t>
      </w:r>
      <w:hyperlink r:id="rId46" w:tooltip="Estatuto Tributario CETA" w:history="1">
        <w:r w:rsidRPr="00847458">
          <w:rPr>
            <w:rFonts w:ascii="Century Gothic" w:eastAsia="Times New Roman" w:hAnsi="Century Gothic" w:cs="Segoe UI"/>
            <w:i/>
            <w:iCs/>
            <w:color w:val="0089E1"/>
            <w:szCs w:val="24"/>
            <w:u w:val="single"/>
            <w:lang w:eastAsia="es-CO"/>
          </w:rPr>
          <w:t>artículo 206</w:t>
        </w:r>
      </w:hyperlink>
      <w:r w:rsidRPr="00847458">
        <w:rPr>
          <w:rFonts w:ascii="Century Gothic" w:eastAsia="Times New Roman" w:hAnsi="Century Gothic" w:cs="Segoe UI"/>
          <w:i/>
          <w:iCs/>
          <w:szCs w:val="24"/>
          <w:lang w:eastAsia="es-CO"/>
        </w:rPr>
        <w:t> de este Estatuto, será la que resulte de aplicar a dichos pagos la siguiente tabla de retención en la fuente: (…)”</w:t>
      </w:r>
    </w:p>
    <w:p w14:paraId="5DD3373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szCs w:val="24"/>
          <w:lang w:eastAsia="es-CO"/>
        </w:rPr>
        <w:t> </w:t>
      </w:r>
    </w:p>
    <w:bookmarkStart w:id="58" w:name="_ftn29"/>
    <w:p w14:paraId="0AFB2D01"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"_ftnref29"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[29]</w:t>
      </w:r>
      <w:r w:rsidRPr="00847458">
        <w:rPr>
          <w:rFonts w:ascii="Century Gothic" w:eastAsia="Times New Roman" w:hAnsi="Century Gothic" w:cs="Arial"/>
          <w:color w:val="000000"/>
          <w:szCs w:val="24"/>
          <w:lang w:eastAsia="es-CO"/>
        </w:rPr>
        <w:fldChar w:fldCharType="end"/>
      </w:r>
      <w:bookmarkEnd w:id="58"/>
      <w:r w:rsidRPr="00847458">
        <w:rPr>
          <w:rFonts w:ascii="Century Gothic" w:eastAsia="Times New Roman" w:hAnsi="Century Gothic" w:cs="Segoe UI"/>
          <w:color w:val="000000"/>
          <w:szCs w:val="24"/>
          <w:lang w:eastAsia="es-CO"/>
        </w:rPr>
        <w:t> </w:t>
      </w:r>
      <w:hyperlink r:id="rId47" w:tooltip="Estatuto Tributario CETA" w:history="1">
        <w:r w:rsidRPr="00847458">
          <w:rPr>
            <w:rFonts w:ascii="Century Gothic" w:eastAsia="Times New Roman" w:hAnsi="Century Gothic" w:cs="Segoe UI"/>
            <w:color w:val="0089E1"/>
            <w:szCs w:val="24"/>
            <w:u w:val="single"/>
            <w:lang w:eastAsia="es-CO"/>
          </w:rPr>
          <w:t>Art. 367</w:t>
        </w:r>
      </w:hyperlink>
      <w:r w:rsidRPr="00847458">
        <w:rPr>
          <w:rFonts w:ascii="Century Gothic" w:eastAsia="Times New Roman" w:hAnsi="Century Gothic" w:cs="Segoe UI"/>
          <w:color w:val="000000"/>
          <w:szCs w:val="24"/>
          <w:lang w:eastAsia="es-CO"/>
        </w:rPr>
        <w:t> ET.</w:t>
      </w:r>
    </w:p>
    <w:p w14:paraId="60FA2CEB"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Segoe UI"/>
          <w:color w:val="000000"/>
          <w:szCs w:val="24"/>
          <w:lang w:val="es-ES" w:eastAsia="es-CO"/>
        </w:rPr>
        <w:t> </w:t>
      </w:r>
    </w:p>
    <w:bookmarkStart w:id="59" w:name="_ftn30"/>
    <w:p w14:paraId="789A1DFE" w14:textId="77777777" w:rsidR="00440D72" w:rsidRPr="00847458" w:rsidRDefault="00440D72" w:rsidP="00847458">
      <w:pPr>
        <w:spacing w:after="0" w:line="360" w:lineRule="auto"/>
        <w:jc w:val="both"/>
        <w:rPr>
          <w:rFonts w:ascii="Century Gothic" w:eastAsia="Times New Roman" w:hAnsi="Century Gothic" w:cs="Arial"/>
          <w:color w:val="000000"/>
          <w:szCs w:val="24"/>
          <w:lang w:eastAsia="es-CO"/>
        </w:rPr>
      </w:pPr>
      <w:r w:rsidRPr="00847458">
        <w:rPr>
          <w:rFonts w:ascii="Century Gothic" w:eastAsia="Times New Roman" w:hAnsi="Century Gothic" w:cs="Arial"/>
          <w:color w:val="000000"/>
          <w:szCs w:val="24"/>
          <w:lang w:eastAsia="es-CO"/>
        </w:rPr>
        <w:fldChar w:fldCharType="begin"/>
      </w:r>
      <w:r w:rsidRPr="00847458">
        <w:rPr>
          <w:rFonts w:ascii="Century Gothic" w:eastAsia="Times New Roman" w:hAnsi="Century Gothic" w:cs="Arial"/>
          <w:color w:val="000000"/>
          <w:szCs w:val="24"/>
          <w:lang w:eastAsia="es-CO"/>
        </w:rPr>
        <w:instrText xml:space="preserve"> HYPERLINK "https://www.ceta.org.co/html/vista_de_un_documento.asp?DocumentoID=42749" \l "_ftnref30" \o "" </w:instrText>
      </w:r>
      <w:r w:rsidRPr="00847458">
        <w:rPr>
          <w:rFonts w:ascii="Century Gothic" w:eastAsia="Times New Roman" w:hAnsi="Century Gothic" w:cs="Arial"/>
          <w:color w:val="000000"/>
          <w:szCs w:val="24"/>
          <w:lang w:eastAsia="es-CO"/>
        </w:rPr>
        <w:fldChar w:fldCharType="separate"/>
      </w:r>
      <w:r w:rsidRPr="00847458">
        <w:rPr>
          <w:rFonts w:ascii="Century Gothic" w:eastAsia="Times New Roman" w:hAnsi="Century Gothic" w:cs="Segoe UI"/>
          <w:color w:val="0089E1"/>
          <w:szCs w:val="24"/>
          <w:lang w:eastAsia="es-CO"/>
        </w:rPr>
        <w:t>[30]</w:t>
      </w:r>
      <w:r w:rsidRPr="00847458">
        <w:rPr>
          <w:rFonts w:ascii="Century Gothic" w:eastAsia="Times New Roman" w:hAnsi="Century Gothic" w:cs="Arial"/>
          <w:color w:val="000000"/>
          <w:szCs w:val="24"/>
          <w:lang w:eastAsia="es-CO"/>
        </w:rPr>
        <w:fldChar w:fldCharType="end"/>
      </w:r>
      <w:bookmarkEnd w:id="59"/>
      <w:r w:rsidRPr="00847458">
        <w:rPr>
          <w:rFonts w:ascii="Century Gothic" w:eastAsia="Times New Roman" w:hAnsi="Century Gothic" w:cs="Segoe UI"/>
          <w:color w:val="000000"/>
          <w:szCs w:val="24"/>
          <w:lang w:eastAsia="es-CO"/>
        </w:rPr>
        <w:t> Para el 2018, cuando se presentó la demanda, $13.926.000</w:t>
      </w:r>
    </w:p>
    <w:p w14:paraId="65F9EBF0" w14:textId="77777777" w:rsidR="007F5CC8" w:rsidRPr="00847458" w:rsidRDefault="007F5CC8" w:rsidP="00847458">
      <w:pPr>
        <w:spacing w:line="360" w:lineRule="auto"/>
        <w:rPr>
          <w:rFonts w:ascii="Century Gothic" w:hAnsi="Century Gothic"/>
          <w:szCs w:val="24"/>
        </w:rPr>
      </w:pPr>
    </w:p>
    <w:sectPr w:rsidR="007F5CC8" w:rsidRPr="00847458" w:rsidSect="00847458">
      <w:type w:val="continuous"/>
      <w:pgSz w:w="12240" w:h="15840" w:code="1"/>
      <w:pgMar w:top="1418" w:right="1418" w:bottom="1418" w:left="1418"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72"/>
    <w:rsid w:val="000F3837"/>
    <w:rsid w:val="001E311E"/>
    <w:rsid w:val="00434AE6"/>
    <w:rsid w:val="00440D72"/>
    <w:rsid w:val="007F5CC8"/>
    <w:rsid w:val="0084745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0091"/>
  <w15:chartTrackingRefBased/>
  <w15:docId w15:val="{07A3388A-B1A0-4944-81ED-81721939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49902">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5">
          <w:marLeft w:val="0"/>
          <w:marRight w:val="0"/>
          <w:marTop w:val="0"/>
          <w:marBottom w:val="0"/>
          <w:divBdr>
            <w:top w:val="none" w:sz="0" w:space="0" w:color="auto"/>
            <w:left w:val="none" w:sz="0" w:space="0" w:color="auto"/>
            <w:bottom w:val="none" w:sz="0" w:space="0" w:color="auto"/>
            <w:right w:val="none" w:sz="0" w:space="0" w:color="auto"/>
          </w:divBdr>
        </w:div>
        <w:div w:id="907881421">
          <w:marLeft w:val="0"/>
          <w:marRight w:val="0"/>
          <w:marTop w:val="0"/>
          <w:marBottom w:val="0"/>
          <w:divBdr>
            <w:top w:val="none" w:sz="0" w:space="0" w:color="auto"/>
            <w:left w:val="none" w:sz="0" w:space="0" w:color="auto"/>
            <w:bottom w:val="none" w:sz="0" w:space="0" w:color="auto"/>
            <w:right w:val="none" w:sz="0" w:space="0" w:color="auto"/>
          </w:divBdr>
        </w:div>
        <w:div w:id="2118258450">
          <w:marLeft w:val="0"/>
          <w:marRight w:val="0"/>
          <w:marTop w:val="0"/>
          <w:marBottom w:val="0"/>
          <w:divBdr>
            <w:top w:val="none" w:sz="0" w:space="0" w:color="auto"/>
            <w:left w:val="none" w:sz="0" w:space="0" w:color="auto"/>
            <w:bottom w:val="none" w:sz="0" w:space="0" w:color="auto"/>
            <w:right w:val="none" w:sz="0" w:space="0" w:color="auto"/>
          </w:divBdr>
        </w:div>
        <w:div w:id="1094325007">
          <w:marLeft w:val="0"/>
          <w:marRight w:val="0"/>
          <w:marTop w:val="0"/>
          <w:marBottom w:val="0"/>
          <w:divBdr>
            <w:top w:val="none" w:sz="0" w:space="0" w:color="auto"/>
            <w:left w:val="none" w:sz="0" w:space="0" w:color="auto"/>
            <w:bottom w:val="none" w:sz="0" w:space="0" w:color="auto"/>
            <w:right w:val="none" w:sz="0" w:space="0" w:color="auto"/>
          </w:divBdr>
        </w:div>
        <w:div w:id="866483112">
          <w:marLeft w:val="0"/>
          <w:marRight w:val="0"/>
          <w:marTop w:val="0"/>
          <w:marBottom w:val="0"/>
          <w:divBdr>
            <w:top w:val="none" w:sz="0" w:space="0" w:color="auto"/>
            <w:left w:val="none" w:sz="0" w:space="0" w:color="auto"/>
            <w:bottom w:val="none" w:sz="0" w:space="0" w:color="auto"/>
            <w:right w:val="none" w:sz="0" w:space="0" w:color="auto"/>
          </w:divBdr>
        </w:div>
        <w:div w:id="39330870">
          <w:marLeft w:val="0"/>
          <w:marRight w:val="0"/>
          <w:marTop w:val="0"/>
          <w:marBottom w:val="0"/>
          <w:divBdr>
            <w:top w:val="none" w:sz="0" w:space="0" w:color="auto"/>
            <w:left w:val="none" w:sz="0" w:space="0" w:color="auto"/>
            <w:bottom w:val="none" w:sz="0" w:space="0" w:color="auto"/>
            <w:right w:val="none" w:sz="0" w:space="0" w:color="auto"/>
          </w:divBdr>
        </w:div>
        <w:div w:id="1131093720">
          <w:marLeft w:val="0"/>
          <w:marRight w:val="0"/>
          <w:marTop w:val="0"/>
          <w:marBottom w:val="0"/>
          <w:divBdr>
            <w:top w:val="none" w:sz="0" w:space="0" w:color="auto"/>
            <w:left w:val="none" w:sz="0" w:space="0" w:color="auto"/>
            <w:bottom w:val="none" w:sz="0" w:space="0" w:color="auto"/>
            <w:right w:val="none" w:sz="0" w:space="0" w:color="auto"/>
          </w:divBdr>
        </w:div>
        <w:div w:id="1595894215">
          <w:marLeft w:val="0"/>
          <w:marRight w:val="0"/>
          <w:marTop w:val="0"/>
          <w:marBottom w:val="0"/>
          <w:divBdr>
            <w:top w:val="none" w:sz="0" w:space="0" w:color="auto"/>
            <w:left w:val="none" w:sz="0" w:space="0" w:color="auto"/>
            <w:bottom w:val="none" w:sz="0" w:space="0" w:color="auto"/>
            <w:right w:val="none" w:sz="0" w:space="0" w:color="auto"/>
          </w:divBdr>
        </w:div>
        <w:div w:id="747772887">
          <w:marLeft w:val="0"/>
          <w:marRight w:val="0"/>
          <w:marTop w:val="0"/>
          <w:marBottom w:val="0"/>
          <w:divBdr>
            <w:top w:val="none" w:sz="0" w:space="0" w:color="auto"/>
            <w:left w:val="none" w:sz="0" w:space="0" w:color="auto"/>
            <w:bottom w:val="none" w:sz="0" w:space="0" w:color="auto"/>
            <w:right w:val="none" w:sz="0" w:space="0" w:color="auto"/>
          </w:divBdr>
        </w:div>
        <w:div w:id="683634142">
          <w:marLeft w:val="0"/>
          <w:marRight w:val="0"/>
          <w:marTop w:val="0"/>
          <w:marBottom w:val="0"/>
          <w:divBdr>
            <w:top w:val="none" w:sz="0" w:space="0" w:color="auto"/>
            <w:left w:val="none" w:sz="0" w:space="0" w:color="auto"/>
            <w:bottom w:val="none" w:sz="0" w:space="0" w:color="auto"/>
            <w:right w:val="none" w:sz="0" w:space="0" w:color="auto"/>
          </w:divBdr>
        </w:div>
        <w:div w:id="2124572023">
          <w:marLeft w:val="0"/>
          <w:marRight w:val="0"/>
          <w:marTop w:val="0"/>
          <w:marBottom w:val="0"/>
          <w:divBdr>
            <w:top w:val="none" w:sz="0" w:space="0" w:color="auto"/>
            <w:left w:val="none" w:sz="0" w:space="0" w:color="auto"/>
            <w:bottom w:val="none" w:sz="0" w:space="0" w:color="auto"/>
            <w:right w:val="none" w:sz="0" w:space="0" w:color="auto"/>
          </w:divBdr>
        </w:div>
        <w:div w:id="594745975">
          <w:marLeft w:val="0"/>
          <w:marRight w:val="0"/>
          <w:marTop w:val="0"/>
          <w:marBottom w:val="0"/>
          <w:divBdr>
            <w:top w:val="none" w:sz="0" w:space="0" w:color="auto"/>
            <w:left w:val="none" w:sz="0" w:space="0" w:color="auto"/>
            <w:bottom w:val="none" w:sz="0" w:space="0" w:color="auto"/>
            <w:right w:val="none" w:sz="0" w:space="0" w:color="auto"/>
          </w:divBdr>
        </w:div>
        <w:div w:id="1724061998">
          <w:marLeft w:val="0"/>
          <w:marRight w:val="0"/>
          <w:marTop w:val="0"/>
          <w:marBottom w:val="0"/>
          <w:divBdr>
            <w:top w:val="none" w:sz="0" w:space="0" w:color="auto"/>
            <w:left w:val="none" w:sz="0" w:space="0" w:color="auto"/>
            <w:bottom w:val="none" w:sz="0" w:space="0" w:color="auto"/>
            <w:right w:val="none" w:sz="0" w:space="0" w:color="auto"/>
          </w:divBdr>
        </w:div>
        <w:div w:id="450443093">
          <w:marLeft w:val="0"/>
          <w:marRight w:val="0"/>
          <w:marTop w:val="0"/>
          <w:marBottom w:val="0"/>
          <w:divBdr>
            <w:top w:val="none" w:sz="0" w:space="0" w:color="auto"/>
            <w:left w:val="none" w:sz="0" w:space="0" w:color="auto"/>
            <w:bottom w:val="none" w:sz="0" w:space="0" w:color="auto"/>
            <w:right w:val="none" w:sz="0" w:space="0" w:color="auto"/>
          </w:divBdr>
        </w:div>
        <w:div w:id="1601910079">
          <w:marLeft w:val="0"/>
          <w:marRight w:val="0"/>
          <w:marTop w:val="0"/>
          <w:marBottom w:val="0"/>
          <w:divBdr>
            <w:top w:val="none" w:sz="0" w:space="0" w:color="auto"/>
            <w:left w:val="none" w:sz="0" w:space="0" w:color="auto"/>
            <w:bottom w:val="none" w:sz="0" w:space="0" w:color="auto"/>
            <w:right w:val="none" w:sz="0" w:space="0" w:color="auto"/>
          </w:divBdr>
        </w:div>
        <w:div w:id="915749648">
          <w:marLeft w:val="0"/>
          <w:marRight w:val="0"/>
          <w:marTop w:val="0"/>
          <w:marBottom w:val="0"/>
          <w:divBdr>
            <w:top w:val="none" w:sz="0" w:space="0" w:color="auto"/>
            <w:left w:val="none" w:sz="0" w:space="0" w:color="auto"/>
            <w:bottom w:val="none" w:sz="0" w:space="0" w:color="auto"/>
            <w:right w:val="none" w:sz="0" w:space="0" w:color="auto"/>
          </w:divBdr>
        </w:div>
        <w:div w:id="2146779322">
          <w:marLeft w:val="0"/>
          <w:marRight w:val="0"/>
          <w:marTop w:val="0"/>
          <w:marBottom w:val="0"/>
          <w:divBdr>
            <w:top w:val="none" w:sz="0" w:space="0" w:color="auto"/>
            <w:left w:val="none" w:sz="0" w:space="0" w:color="auto"/>
            <w:bottom w:val="none" w:sz="0" w:space="0" w:color="auto"/>
            <w:right w:val="none" w:sz="0" w:space="0" w:color="auto"/>
          </w:divBdr>
        </w:div>
        <w:div w:id="891816608">
          <w:marLeft w:val="0"/>
          <w:marRight w:val="0"/>
          <w:marTop w:val="0"/>
          <w:marBottom w:val="0"/>
          <w:divBdr>
            <w:top w:val="none" w:sz="0" w:space="0" w:color="auto"/>
            <w:left w:val="none" w:sz="0" w:space="0" w:color="auto"/>
            <w:bottom w:val="none" w:sz="0" w:space="0" w:color="auto"/>
            <w:right w:val="none" w:sz="0" w:space="0" w:color="auto"/>
          </w:divBdr>
        </w:div>
        <w:div w:id="680425775">
          <w:marLeft w:val="0"/>
          <w:marRight w:val="0"/>
          <w:marTop w:val="0"/>
          <w:marBottom w:val="0"/>
          <w:divBdr>
            <w:top w:val="none" w:sz="0" w:space="0" w:color="auto"/>
            <w:left w:val="none" w:sz="0" w:space="0" w:color="auto"/>
            <w:bottom w:val="none" w:sz="0" w:space="0" w:color="auto"/>
            <w:right w:val="none" w:sz="0" w:space="0" w:color="auto"/>
          </w:divBdr>
        </w:div>
        <w:div w:id="846867772">
          <w:marLeft w:val="0"/>
          <w:marRight w:val="0"/>
          <w:marTop w:val="0"/>
          <w:marBottom w:val="0"/>
          <w:divBdr>
            <w:top w:val="none" w:sz="0" w:space="0" w:color="auto"/>
            <w:left w:val="none" w:sz="0" w:space="0" w:color="auto"/>
            <w:bottom w:val="none" w:sz="0" w:space="0" w:color="auto"/>
            <w:right w:val="none" w:sz="0" w:space="0" w:color="auto"/>
          </w:divBdr>
        </w:div>
        <w:div w:id="2025521231">
          <w:marLeft w:val="0"/>
          <w:marRight w:val="0"/>
          <w:marTop w:val="0"/>
          <w:marBottom w:val="0"/>
          <w:divBdr>
            <w:top w:val="none" w:sz="0" w:space="0" w:color="auto"/>
            <w:left w:val="none" w:sz="0" w:space="0" w:color="auto"/>
            <w:bottom w:val="none" w:sz="0" w:space="0" w:color="auto"/>
            <w:right w:val="none" w:sz="0" w:space="0" w:color="auto"/>
          </w:divBdr>
        </w:div>
        <w:div w:id="1474133436">
          <w:marLeft w:val="0"/>
          <w:marRight w:val="0"/>
          <w:marTop w:val="0"/>
          <w:marBottom w:val="0"/>
          <w:divBdr>
            <w:top w:val="none" w:sz="0" w:space="0" w:color="auto"/>
            <w:left w:val="none" w:sz="0" w:space="0" w:color="auto"/>
            <w:bottom w:val="none" w:sz="0" w:space="0" w:color="auto"/>
            <w:right w:val="none" w:sz="0" w:space="0" w:color="auto"/>
          </w:divBdr>
        </w:div>
        <w:div w:id="1243100153">
          <w:marLeft w:val="0"/>
          <w:marRight w:val="0"/>
          <w:marTop w:val="0"/>
          <w:marBottom w:val="0"/>
          <w:divBdr>
            <w:top w:val="none" w:sz="0" w:space="0" w:color="auto"/>
            <w:left w:val="none" w:sz="0" w:space="0" w:color="auto"/>
            <w:bottom w:val="none" w:sz="0" w:space="0" w:color="auto"/>
            <w:right w:val="none" w:sz="0" w:space="0" w:color="auto"/>
          </w:divBdr>
        </w:div>
        <w:div w:id="1740328260">
          <w:marLeft w:val="0"/>
          <w:marRight w:val="0"/>
          <w:marTop w:val="0"/>
          <w:marBottom w:val="0"/>
          <w:divBdr>
            <w:top w:val="none" w:sz="0" w:space="0" w:color="auto"/>
            <w:left w:val="none" w:sz="0" w:space="0" w:color="auto"/>
            <w:bottom w:val="none" w:sz="0" w:space="0" w:color="auto"/>
            <w:right w:val="none" w:sz="0" w:space="0" w:color="auto"/>
          </w:divBdr>
        </w:div>
        <w:div w:id="1360620668">
          <w:marLeft w:val="0"/>
          <w:marRight w:val="0"/>
          <w:marTop w:val="0"/>
          <w:marBottom w:val="0"/>
          <w:divBdr>
            <w:top w:val="none" w:sz="0" w:space="0" w:color="auto"/>
            <w:left w:val="none" w:sz="0" w:space="0" w:color="auto"/>
            <w:bottom w:val="none" w:sz="0" w:space="0" w:color="auto"/>
            <w:right w:val="none" w:sz="0" w:space="0" w:color="auto"/>
          </w:divBdr>
        </w:div>
        <w:div w:id="1917864368">
          <w:marLeft w:val="0"/>
          <w:marRight w:val="0"/>
          <w:marTop w:val="0"/>
          <w:marBottom w:val="0"/>
          <w:divBdr>
            <w:top w:val="none" w:sz="0" w:space="0" w:color="auto"/>
            <w:left w:val="none" w:sz="0" w:space="0" w:color="auto"/>
            <w:bottom w:val="none" w:sz="0" w:space="0" w:color="auto"/>
            <w:right w:val="none" w:sz="0" w:space="0" w:color="auto"/>
          </w:divBdr>
        </w:div>
        <w:div w:id="295644019">
          <w:marLeft w:val="0"/>
          <w:marRight w:val="0"/>
          <w:marTop w:val="0"/>
          <w:marBottom w:val="0"/>
          <w:divBdr>
            <w:top w:val="none" w:sz="0" w:space="0" w:color="auto"/>
            <w:left w:val="none" w:sz="0" w:space="0" w:color="auto"/>
            <w:bottom w:val="none" w:sz="0" w:space="0" w:color="auto"/>
            <w:right w:val="none" w:sz="0" w:space="0" w:color="auto"/>
          </w:divBdr>
        </w:div>
        <w:div w:id="856660">
          <w:marLeft w:val="0"/>
          <w:marRight w:val="0"/>
          <w:marTop w:val="0"/>
          <w:marBottom w:val="0"/>
          <w:divBdr>
            <w:top w:val="none" w:sz="0" w:space="0" w:color="auto"/>
            <w:left w:val="none" w:sz="0" w:space="0" w:color="auto"/>
            <w:bottom w:val="none" w:sz="0" w:space="0" w:color="auto"/>
            <w:right w:val="none" w:sz="0" w:space="0" w:color="auto"/>
          </w:divBdr>
        </w:div>
        <w:div w:id="824467008">
          <w:marLeft w:val="0"/>
          <w:marRight w:val="0"/>
          <w:marTop w:val="0"/>
          <w:marBottom w:val="0"/>
          <w:divBdr>
            <w:top w:val="none" w:sz="0" w:space="0" w:color="auto"/>
            <w:left w:val="none" w:sz="0" w:space="0" w:color="auto"/>
            <w:bottom w:val="none" w:sz="0" w:space="0" w:color="auto"/>
            <w:right w:val="none" w:sz="0" w:space="0" w:color="auto"/>
          </w:divBdr>
        </w:div>
        <w:div w:id="185298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415" TargetMode="External"/><Relationship Id="rId18" Type="http://schemas.openxmlformats.org/officeDocument/2006/relationships/hyperlink" Target="https://www.ceta.org.co/html/vista_de_un_articulo.asp?Norma=415" TargetMode="External"/><Relationship Id="rId26" Type="http://schemas.openxmlformats.org/officeDocument/2006/relationships/hyperlink" Target="https://www.ceta.org.co/html/vista_de_un_articulo.asp?Norma=415" TargetMode="External"/><Relationship Id="rId39" Type="http://schemas.openxmlformats.org/officeDocument/2006/relationships/hyperlink" Target="https://www.ceta.org.co/html/vista_de_un_articulo.asp?Norma=151" TargetMode="External"/><Relationship Id="rId21" Type="http://schemas.openxmlformats.org/officeDocument/2006/relationships/hyperlink" Target="https://www.ceta.org.co/html/vista_de_un_articulo.asp?Norma=415" TargetMode="External"/><Relationship Id="rId34" Type="http://schemas.openxmlformats.org/officeDocument/2006/relationships/hyperlink" Target="https://www.ceta.org.co/html/vista_de_un_articulo.asp?Norma=478" TargetMode="External"/><Relationship Id="rId42" Type="http://schemas.openxmlformats.org/officeDocument/2006/relationships/hyperlink" Target="https://www.ceta.org.co/html/vista_de_un_articulo.asp?Norma=476" TargetMode="External"/><Relationship Id="rId47" Type="http://schemas.openxmlformats.org/officeDocument/2006/relationships/hyperlink" Target="https://www.ceta.org.co/html/vista_de_un_articulo.asp?Norma=458" TargetMode="External"/><Relationship Id="rId7" Type="http://schemas.openxmlformats.org/officeDocument/2006/relationships/hyperlink" Target="https://www.ceta.org.co/html/vista_de_un_articulo.asp?Norma=415" TargetMode="External"/><Relationship Id="rId2" Type="http://schemas.openxmlformats.org/officeDocument/2006/relationships/settings" Target="settings.xml"/><Relationship Id="rId16" Type="http://schemas.openxmlformats.org/officeDocument/2006/relationships/hyperlink" Target="https://www.ceta.org.co/html/vista_de_un_articulo.asp?Norma=415" TargetMode="External"/><Relationship Id="rId29" Type="http://schemas.openxmlformats.org/officeDocument/2006/relationships/hyperlink" Target="https://www.ceta.org.co/html/vista_de_un_articulo.asp?Norma=480" TargetMode="External"/><Relationship Id="rId11" Type="http://schemas.openxmlformats.org/officeDocument/2006/relationships/hyperlink" Target="https://www.ceta.org.co/html/vista_de_un_articulo.asp?Norma=415" TargetMode="External"/><Relationship Id="rId24" Type="http://schemas.openxmlformats.org/officeDocument/2006/relationships/hyperlink" Target="https://www.ceta.org.co/html/vista_de_un_articulo.asp?Norma=56" TargetMode="External"/><Relationship Id="rId32" Type="http://schemas.openxmlformats.org/officeDocument/2006/relationships/hyperlink" Target="https://www.ceta.org.co/html/vista_de_un_articulo.asp?Norma=479" TargetMode="External"/><Relationship Id="rId37" Type="http://schemas.openxmlformats.org/officeDocument/2006/relationships/hyperlink" Target="https://www.ceta.org.co/html/vista_de_un_articulo.asp?Norma=312" TargetMode="External"/><Relationship Id="rId40" Type="http://schemas.openxmlformats.org/officeDocument/2006/relationships/hyperlink" Target="https://www.ceta.org.co/html/vista_de_un_articulo.asp?Norma=56" TargetMode="External"/><Relationship Id="rId45" Type="http://schemas.openxmlformats.org/officeDocument/2006/relationships/hyperlink" Target="https://www.ceta.org.co/html/vista_de_un_articulo.asp?Norma=29941" TargetMode="External"/><Relationship Id="rId5" Type="http://schemas.openxmlformats.org/officeDocument/2006/relationships/hyperlink" Target="https://www.ceta.org.co/html/vista_de_un_articulo.asp?Norma=415" TargetMode="External"/><Relationship Id="rId15" Type="http://schemas.openxmlformats.org/officeDocument/2006/relationships/hyperlink" Target="https://www.ceta.org.co/html/vista_de_un_articulo.asp?Norma=415" TargetMode="External"/><Relationship Id="rId23" Type="http://schemas.openxmlformats.org/officeDocument/2006/relationships/hyperlink" Target="https://www.ceta.org.co/html/vista_de_un_articulo.asp?Norma=415" TargetMode="External"/><Relationship Id="rId28" Type="http://schemas.openxmlformats.org/officeDocument/2006/relationships/hyperlink" Target="https://www.ceta.org.co/html/vista_de_un_articulo.asp?Norma=409" TargetMode="External"/><Relationship Id="rId36" Type="http://schemas.openxmlformats.org/officeDocument/2006/relationships/hyperlink" Target="https://www.ceta.org.co/html/vista_de_un_articulo.asp?Norma=409" TargetMode="External"/><Relationship Id="rId49" Type="http://schemas.openxmlformats.org/officeDocument/2006/relationships/theme" Target="theme/theme1.xml"/><Relationship Id="rId10" Type="http://schemas.openxmlformats.org/officeDocument/2006/relationships/hyperlink" Target="https://www.ceta.org.co/html/vista_de_un_articulo.asp?Norma=272" TargetMode="External"/><Relationship Id="rId19" Type="http://schemas.openxmlformats.org/officeDocument/2006/relationships/hyperlink" Target="https://www.ceta.org.co/html/vista_de_un_articulo.asp?Norma=415" TargetMode="External"/><Relationship Id="rId31" Type="http://schemas.openxmlformats.org/officeDocument/2006/relationships/hyperlink" Target="https://www.ceta.org.co/html/vista_de_un_articulo.asp?Norma=478" TargetMode="External"/><Relationship Id="rId44" Type="http://schemas.openxmlformats.org/officeDocument/2006/relationships/hyperlink" Target="https://www.ceta.org.co/html/vista_de_un_articulo.asp?Norma=272" TargetMode="External"/><Relationship Id="rId4" Type="http://schemas.openxmlformats.org/officeDocument/2006/relationships/hyperlink" Target="https://www.ceta.org.co/html/vista_de_un_articulo.asp?Norma=151" TargetMode="External"/><Relationship Id="rId9" Type="http://schemas.openxmlformats.org/officeDocument/2006/relationships/hyperlink" Target="https://www.ceta.org.co/html/vista_de_un_articulo.asp?Norma=186" TargetMode="External"/><Relationship Id="rId14" Type="http://schemas.openxmlformats.org/officeDocument/2006/relationships/hyperlink" Target="https://www.ceta.org.co/html/vista_de_un_articulo.asp?Norma=56" TargetMode="External"/><Relationship Id="rId22" Type="http://schemas.openxmlformats.org/officeDocument/2006/relationships/hyperlink" Target="https://www.ceta.org.co/html/vista_de_un_articulo.asp?Norma=415" TargetMode="External"/><Relationship Id="rId27" Type="http://schemas.openxmlformats.org/officeDocument/2006/relationships/hyperlink" Target="https://www.ceta.org.co/html/vista_de_un_articulo.asp?Norma=56" TargetMode="External"/><Relationship Id="rId30" Type="http://schemas.openxmlformats.org/officeDocument/2006/relationships/hyperlink" Target="https://www.ceta.org.co/html/vista_de_un_articulo.asp?Norma=415" TargetMode="External"/><Relationship Id="rId35" Type="http://schemas.openxmlformats.org/officeDocument/2006/relationships/hyperlink" Target="https://www.ceta.org.co/html/vista_de_un_articulo.asp?Norma=479" TargetMode="External"/><Relationship Id="rId43" Type="http://schemas.openxmlformats.org/officeDocument/2006/relationships/hyperlink" Target="https://www.ceta.org.co/html/vista_de_un_articulo.asp?Norma=957" TargetMode="External"/><Relationship Id="rId48" Type="http://schemas.openxmlformats.org/officeDocument/2006/relationships/fontTable" Target="fontTable.xml"/><Relationship Id="rId8" Type="http://schemas.openxmlformats.org/officeDocument/2006/relationships/hyperlink" Target="https://www.ceta.org.co/html/vista_de_un_articulo.asp?Norma=183"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415" TargetMode="External"/><Relationship Id="rId17" Type="http://schemas.openxmlformats.org/officeDocument/2006/relationships/hyperlink" Target="https://www.ceta.org.co/html/vista_de_un_articulo.asp?Norma=462" TargetMode="External"/><Relationship Id="rId25" Type="http://schemas.openxmlformats.org/officeDocument/2006/relationships/hyperlink" Target="https://www.ceta.org.co/html/vista_de_un_articulo.asp?Norma=151" TargetMode="External"/><Relationship Id="rId33" Type="http://schemas.openxmlformats.org/officeDocument/2006/relationships/hyperlink" Target="https://www.ceta.org.co/html/vista_de_un_articulo.asp?Norma=482" TargetMode="External"/><Relationship Id="rId38" Type="http://schemas.openxmlformats.org/officeDocument/2006/relationships/hyperlink" Target="https://www.ceta.org.co/html/vista_de_un_articulo.asp?Norma=414" TargetMode="External"/><Relationship Id="rId46" Type="http://schemas.openxmlformats.org/officeDocument/2006/relationships/hyperlink" Target="https://www.ceta.org.co/html/vista_de_un_articulo.asp?Norma=272" TargetMode="External"/><Relationship Id="rId20" Type="http://schemas.openxmlformats.org/officeDocument/2006/relationships/hyperlink" Target="https://www.ceta.org.co/html/vista_de_un_articulo.asp?Norma=415" TargetMode="External"/><Relationship Id="rId41" Type="http://schemas.openxmlformats.org/officeDocument/2006/relationships/hyperlink" Target="https://www.ceta.org.co/html/vista_de_un_articulo.asp?Norma=272" TargetMode="External"/><Relationship Id="rId1" Type="http://schemas.openxmlformats.org/officeDocument/2006/relationships/styles" Target="styles.xml"/><Relationship Id="rId6" Type="http://schemas.openxmlformats.org/officeDocument/2006/relationships/hyperlink" Target="https://www.ceta.org.co/html/vista_de_un_articulo.asp?Norma=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6486</Words>
  <Characters>35674</Characters>
  <Application>Microsoft Office Word</Application>
  <DocSecurity>0</DocSecurity>
  <Lines>297</Lines>
  <Paragraphs>84</Paragraphs>
  <ScaleCrop>false</ScaleCrop>
  <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2021-11-23T00:03:00Z</dcterms:created>
  <dcterms:modified xsi:type="dcterms:W3CDTF">2021-11-26T22:37:00Z</dcterms:modified>
</cp:coreProperties>
</file>