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FFB8" w14:textId="77777777" w:rsidR="00ED47DA" w:rsidRPr="00ED47DA" w:rsidRDefault="00ED47DA">
      <w:pPr>
        <w:rPr>
          <w:rFonts w:cs="Times New Roman"/>
          <w:i/>
          <w:iCs/>
          <w:szCs w:val="24"/>
          <w:shd w:val="clear" w:color="auto" w:fill="FFFFFF"/>
        </w:rPr>
      </w:pPr>
    </w:p>
    <w:p w14:paraId="708D40FA" w14:textId="77777777" w:rsidR="00ED47DA" w:rsidRPr="00ED47DA" w:rsidRDefault="00ED47DA">
      <w:pPr>
        <w:rPr>
          <w:rFonts w:cs="Times New Roman"/>
          <w:i/>
          <w:iCs/>
          <w:szCs w:val="24"/>
          <w:shd w:val="clear" w:color="auto" w:fill="FFFFFF"/>
        </w:rPr>
      </w:pPr>
    </w:p>
    <w:p w14:paraId="5DDB9977" w14:textId="77777777" w:rsidR="00ED47DA" w:rsidRPr="00ED47DA" w:rsidRDefault="00ED47DA">
      <w:pPr>
        <w:rPr>
          <w:rFonts w:cs="Times New Roman"/>
          <w:i/>
          <w:iCs/>
          <w:szCs w:val="24"/>
          <w:shd w:val="clear" w:color="auto" w:fill="FFFFFF"/>
        </w:rPr>
      </w:pPr>
    </w:p>
    <w:p w14:paraId="5A0EBA7E" w14:textId="77777777" w:rsidR="00ED47DA" w:rsidRPr="00ED47DA" w:rsidRDefault="00ED47DA" w:rsidP="00ED47DA">
      <w:pPr>
        <w:spacing w:line="240" w:lineRule="auto"/>
        <w:jc w:val="center"/>
        <w:rPr>
          <w:rFonts w:eastAsia="Times New Roman" w:cs="Times New Roman"/>
          <w:szCs w:val="24"/>
          <w:lang w:val="es-CO" w:eastAsia="es-ES"/>
        </w:rPr>
      </w:pPr>
      <w:r w:rsidRPr="00ED47DA">
        <w:rPr>
          <w:rFonts w:eastAsia="Times New Roman" w:cs="Times New Roman"/>
          <w:szCs w:val="24"/>
          <w:lang w:val="es-CO" w:eastAsia="es-ES"/>
        </w:rPr>
        <w:t> </w:t>
      </w:r>
    </w:p>
    <w:p w14:paraId="0215561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CONSEJO DE ESTADO</w:t>
      </w:r>
    </w:p>
    <w:p w14:paraId="07943A1A"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SALA DE LO CONTENCIOSO ADMINISTRATIVO</w:t>
      </w:r>
    </w:p>
    <w:p w14:paraId="5C859C1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SECCIÓN CUARTA</w:t>
      </w:r>
    </w:p>
    <w:p w14:paraId="0CC1E20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0508321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Consejera ponente: STELLA JEANNETTE CARVAJAL BASTO</w:t>
      </w:r>
    </w:p>
    <w:p w14:paraId="2677054F"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Bogotá D.C., veintiocho (28) de noviembre de dos mil diecinueve (2019)</w:t>
      </w:r>
    </w:p>
    <w:p w14:paraId="3F1376D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Radicación número: 25000-23-37-000-2015-00321-01(23357)</w:t>
      </w:r>
    </w:p>
    <w:p w14:paraId="68C24F4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Actor: POINTPAY COLOMBIA S.A.S.</w:t>
      </w:r>
    </w:p>
    <w:p w14:paraId="0168FDDD"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Demandado: DIRECCIÓN DE IMPUESTOS Y ADUANAS NACIONALES - DIAN</w:t>
      </w:r>
    </w:p>
    <w:p w14:paraId="33DFC64D"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2AC74899"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FALLO</w:t>
      </w:r>
    </w:p>
    <w:p w14:paraId="3A38E5A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3CEB4C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BFA49E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Sala decide el recurso de apelación interpuesto por la sociedad demandante contra la sentencia del 8 de junio de 2017 proferida por la Sección Cuarta, Subsección «</w:t>
      </w:r>
      <w:r w:rsidRPr="00ED47DA">
        <w:rPr>
          <w:rFonts w:eastAsia="Times New Roman" w:cs="Times New Roman"/>
          <w:i/>
          <w:iCs/>
          <w:szCs w:val="24"/>
          <w:lang w:val="es-CO" w:eastAsia="es-ES"/>
        </w:rPr>
        <w:t>B</w:t>
      </w:r>
      <w:r w:rsidRPr="00ED47DA">
        <w:rPr>
          <w:rFonts w:eastAsia="Times New Roman" w:cs="Times New Roman"/>
          <w:szCs w:val="24"/>
          <w:lang w:val="es-CO" w:eastAsia="es-ES"/>
        </w:rPr>
        <w:t>» del Tribunal Administrativo de Cundinamarca, que negó las pretensiones de la demanda y no condenó en costas.</w:t>
      </w:r>
    </w:p>
    <w:p w14:paraId="6BF1F650"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3C833B4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ANTECEDENTES</w:t>
      </w:r>
    </w:p>
    <w:p w14:paraId="1185A89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FA1C9F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14 de enero de 2011, POINTPAY COLOMBIA S.A.S</w:t>
      </w:r>
      <w:bookmarkStart w:id="0" w:name="_ftnref1"/>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w:t>
      </w:r>
      <w:r w:rsidRPr="00ED47DA">
        <w:rPr>
          <w:rFonts w:eastAsia="Times New Roman" w:cs="Times New Roman"/>
          <w:szCs w:val="24"/>
          <w:lang w:val="es-CO" w:eastAsia="es-ES"/>
        </w:rPr>
        <w:fldChar w:fldCharType="end"/>
      </w:r>
      <w:bookmarkEnd w:id="0"/>
      <w:r w:rsidRPr="00ED47DA">
        <w:rPr>
          <w:rFonts w:eastAsia="Times New Roman" w:cs="Times New Roman"/>
          <w:szCs w:val="24"/>
          <w:lang w:val="es-CO" w:eastAsia="es-ES"/>
        </w:rPr>
        <w:t>. presentó la declaración del impuesto sobre las ventas del sexto (6º) bimestre de 2010</w:t>
      </w:r>
      <w:bookmarkStart w:id="1" w:name="_ftnref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[2]</w:t>
      </w:r>
      <w:r w:rsidRPr="00ED47DA">
        <w:rPr>
          <w:rFonts w:eastAsia="Times New Roman" w:cs="Times New Roman"/>
          <w:szCs w:val="24"/>
          <w:lang w:val="es-CO" w:eastAsia="es-ES"/>
        </w:rPr>
        <w:fldChar w:fldCharType="end"/>
      </w:r>
      <w:bookmarkEnd w:id="1"/>
      <w:r w:rsidRPr="00ED47DA">
        <w:rPr>
          <w:rFonts w:eastAsia="Times New Roman" w:cs="Times New Roman"/>
          <w:szCs w:val="24"/>
          <w:lang w:val="es-CO" w:eastAsia="es-ES"/>
        </w:rPr>
        <w:t>, corregida el 13 de diciembre de 2012</w:t>
      </w:r>
      <w:bookmarkStart w:id="2" w:name="_ftnref3"/>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"_ftn3"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[3]</w:t>
      </w:r>
      <w:r w:rsidRPr="00ED47DA">
        <w:rPr>
          <w:rFonts w:eastAsia="Times New Roman" w:cs="Times New Roman"/>
          <w:szCs w:val="24"/>
          <w:lang w:val="es-CO" w:eastAsia="es-ES"/>
        </w:rPr>
        <w:fldChar w:fldCharType="end"/>
      </w:r>
      <w:bookmarkEnd w:id="2"/>
      <w:r w:rsidRPr="00ED47DA">
        <w:rPr>
          <w:rFonts w:eastAsia="Times New Roman" w:cs="Times New Roman"/>
          <w:szCs w:val="24"/>
          <w:lang w:val="es-CO" w:eastAsia="es-ES"/>
        </w:rPr>
        <w:t>, en la cual registró ingresos brutos por operaciones no gravadas por $939.380.000 y un total saldo a pagar de $939.000.</w:t>
      </w:r>
    </w:p>
    <w:p w14:paraId="0CCD5D5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D82F2A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19 de diciembre de 2012, la División de Gestión de Fiscalización de la Dirección Seccional de Impuestos de Bogotá formuló el Requerimiento Especial 32202012000330</w:t>
      </w:r>
      <w:bookmarkStart w:id="3" w:name="_ftnref4"/>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"_ftn4"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[4]</w:t>
      </w:r>
      <w:r w:rsidRPr="00ED47DA">
        <w:rPr>
          <w:rFonts w:eastAsia="Times New Roman" w:cs="Times New Roman"/>
          <w:szCs w:val="24"/>
          <w:lang w:val="es-CO" w:eastAsia="es-ES"/>
        </w:rPr>
        <w:fldChar w:fldCharType="end"/>
      </w:r>
      <w:bookmarkEnd w:id="3"/>
      <w:r w:rsidRPr="00ED47DA">
        <w:rPr>
          <w:rFonts w:eastAsia="Times New Roman" w:cs="Times New Roman"/>
          <w:szCs w:val="24"/>
          <w:lang w:val="es-CO" w:eastAsia="es-ES"/>
        </w:rPr>
        <w:t>, en el cual propuso desconocer ingresos brutos operacionales no gravados por la suma de $934.067.000, determinar un impuesto a pagar de $149.451.000, imponer sanción por inexactitud de $240.061.000 y fijar el total saldo a pagar en 389.512.000.</w:t>
      </w:r>
    </w:p>
    <w:p w14:paraId="63A3C9E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D85AFE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19 de septiembre de 2013, la División de Gestión de Liquidación de la citada dirección seccional expidió la Liquidación Oficial de Revisión 322412013000434</w:t>
      </w:r>
      <w:bookmarkStart w:id="4" w:name="_ftnref5"/>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"_ftn5"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[5]</w:t>
      </w:r>
      <w:r w:rsidRPr="00ED47DA">
        <w:rPr>
          <w:rFonts w:eastAsia="Times New Roman" w:cs="Times New Roman"/>
          <w:szCs w:val="24"/>
          <w:lang w:val="es-CO" w:eastAsia="es-ES"/>
        </w:rPr>
        <w:fldChar w:fldCharType="end"/>
      </w:r>
      <w:bookmarkEnd w:id="4"/>
      <w:r w:rsidRPr="00ED47DA">
        <w:rPr>
          <w:rFonts w:eastAsia="Times New Roman" w:cs="Times New Roman"/>
          <w:szCs w:val="24"/>
          <w:lang w:val="es-CO" w:eastAsia="es-ES"/>
        </w:rPr>
        <w:t>, que acogió las modificaciones propuestas en el requerimiento especial.</w:t>
      </w:r>
    </w:p>
    <w:p w14:paraId="2CBB37D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5593E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Contra el acto de determinación señalado se interpuso recurso de reconsideración</w:t>
      </w:r>
      <w:bookmarkStart w:id="5" w:name="_ftnref6"/>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"_ftn6"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[6]</w:t>
      </w:r>
      <w:r w:rsidRPr="00ED47DA">
        <w:rPr>
          <w:rFonts w:eastAsia="Times New Roman" w:cs="Times New Roman"/>
          <w:szCs w:val="24"/>
          <w:lang w:val="es-CO" w:eastAsia="es-ES"/>
        </w:rPr>
        <w:fldChar w:fldCharType="end"/>
      </w:r>
      <w:bookmarkEnd w:id="5"/>
      <w:r w:rsidRPr="00ED47DA">
        <w:rPr>
          <w:rFonts w:eastAsia="Times New Roman" w:cs="Times New Roman"/>
          <w:szCs w:val="24"/>
          <w:lang w:val="es-CO" w:eastAsia="es-ES"/>
        </w:rPr>
        <w:t>, que fue decidido por la Resolución 900.289 del 15 de septiembre de 2014</w:t>
      </w:r>
      <w:bookmarkStart w:id="6" w:name="_ftnref7"/>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"_ftn7"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[7]</w:t>
      </w:r>
      <w:r w:rsidRPr="00ED47DA">
        <w:rPr>
          <w:rFonts w:eastAsia="Times New Roman" w:cs="Times New Roman"/>
          <w:szCs w:val="24"/>
          <w:lang w:val="es-CO" w:eastAsia="es-ES"/>
        </w:rPr>
        <w:fldChar w:fldCharType="end"/>
      </w:r>
      <w:bookmarkEnd w:id="6"/>
      <w:r w:rsidRPr="00ED47DA">
        <w:rPr>
          <w:rFonts w:eastAsia="Times New Roman" w:cs="Times New Roman"/>
          <w:szCs w:val="24"/>
          <w:lang w:val="es-CO" w:eastAsia="es-ES"/>
        </w:rPr>
        <w:t> de la Subdirección de Gestión de Recursos Jurídicos de la Dirección de Gestión Jurídica de la DIAN, en el sentido de confirmar la liquidación de revisión.</w:t>
      </w:r>
    </w:p>
    <w:p w14:paraId="6BC035E0"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47DFD01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DEMANDA</w:t>
      </w:r>
    </w:p>
    <w:p w14:paraId="703F6DD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C66406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demandante, en ejercicio del medio de control de nulidad y restablecimiento del derecho, solicitó las siguientes declaraciones:</w:t>
      </w:r>
    </w:p>
    <w:p w14:paraId="09C275BC"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szCs w:val="24"/>
          <w:lang w:eastAsia="es-ES"/>
        </w:rPr>
        <w:t> </w:t>
      </w:r>
    </w:p>
    <w:p w14:paraId="042B6280"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«A.- Que se declare la nulidad de la Liquidación Oficial de Revisión No. 322412013000434 del 19 de septiembre de 2013, notificada el 23 de septiembre de 2013, proferida por la División de Gestión de Liquidación de la Dirección Seccional de Impuestos, que modificó la declaración del impuesto sobre las ventas de POINTPAY COLOMBIA S.A.S., por el sexto (6º) bimestre del año gravable 2010.</w:t>
      </w:r>
    </w:p>
    <w:p w14:paraId="0F6E7AA1"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 xml:space="preserve">B.- Que se declare la nulidad de la Resolución No. 900.289 del 15 de septiembre de 2014, notificada personalmente el 25 de septiembre de 2014, proferida por la Subdirección de Gestión de Recursos Jurídicos de la Dirección de Gestión Jurídica de la Dirección Seccional </w:t>
      </w:r>
      <w:r w:rsidRPr="00ED47DA">
        <w:rPr>
          <w:rFonts w:eastAsia="Times New Roman" w:cs="Times New Roman"/>
          <w:i/>
          <w:iCs/>
          <w:szCs w:val="24"/>
          <w:lang w:val="es-CO" w:eastAsia="es-ES"/>
        </w:rPr>
        <w:lastRenderedPageBreak/>
        <w:t>de Impuestos, por medio de la cual se confirmó la Liquidación Oficial de Revisión mencionada en el literal anterior.</w:t>
      </w:r>
    </w:p>
    <w:p w14:paraId="1C6339D3"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 xml:space="preserve">C.- </w:t>
      </w:r>
      <w:proofErr w:type="gramStart"/>
      <w:r w:rsidRPr="00ED47DA">
        <w:rPr>
          <w:rFonts w:eastAsia="Times New Roman" w:cs="Times New Roman"/>
          <w:i/>
          <w:iCs/>
          <w:szCs w:val="24"/>
          <w:lang w:val="es-CO" w:eastAsia="es-ES"/>
        </w:rPr>
        <w:t>Que</w:t>
      </w:r>
      <w:proofErr w:type="gramEnd"/>
      <w:r w:rsidRPr="00ED47DA">
        <w:rPr>
          <w:rFonts w:eastAsia="Times New Roman" w:cs="Times New Roman"/>
          <w:i/>
          <w:iCs/>
          <w:szCs w:val="24"/>
          <w:lang w:val="es-CO" w:eastAsia="es-ES"/>
        </w:rPr>
        <w:t xml:space="preserve"> a título de Restablecimiento del Derecho, se declare que POINTPAY COLOMBIA S.A.S., presentó en debida forma su declaración del impuesto sobre las ventas del sexto (6º) bimestre del año gravable 2010, por lo que la misma se encuentra en firme, no habiendo lugar a la determinación de un mayor impuesto, así como tampoco a la imposición de una sanción por inexactitud a su cargo.</w:t>
      </w:r>
    </w:p>
    <w:p w14:paraId="25AE0422"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D.- De conformidad con lo dispuesto en los Arts. 188 del C.P.A.C.A y 365 del Código General del Proceso, solicito se condene en costas a la entidad demanda por actuación arbitraria y negligente».</w:t>
      </w:r>
    </w:p>
    <w:p w14:paraId="1FE153D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259F72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Invocó como disposiciones violadas, las siguientes:</w:t>
      </w:r>
    </w:p>
    <w:p w14:paraId="706B9F22"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eastAsia="es-ES"/>
        </w:rPr>
        <w:t> </w:t>
      </w:r>
    </w:p>
    <w:p w14:paraId="6BC4C0E1"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83, 95-9 y 363 de la Constitución Política;</w:t>
      </w:r>
    </w:p>
    <w:p w14:paraId="7628565F"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w:t>
      </w:r>
      <w:hyperlink r:id="rId4" w:tooltip="Estatuto Tributario CETA" w:history="1">
        <w:r w:rsidRPr="00ED47DA">
          <w:rPr>
            <w:rFonts w:eastAsia="Times New Roman" w:cs="Times New Roman"/>
            <w:szCs w:val="24"/>
            <w:u w:val="single"/>
            <w:lang w:val="es-CO" w:eastAsia="es-ES"/>
          </w:rPr>
          <w:t>102-4</w:t>
        </w:r>
      </w:hyperlink>
      <w:r w:rsidRPr="00ED47DA">
        <w:rPr>
          <w:rFonts w:eastAsia="Times New Roman" w:cs="Times New Roman"/>
          <w:szCs w:val="24"/>
          <w:lang w:val="es-CO" w:eastAsia="es-ES"/>
        </w:rPr>
        <w:t>, </w:t>
      </w:r>
      <w:hyperlink r:id="rId5" w:tooltip="Estatuto Tributario CETA" w:history="1">
        <w:r w:rsidRPr="00ED47DA">
          <w:rPr>
            <w:rFonts w:eastAsia="Times New Roman" w:cs="Times New Roman"/>
            <w:szCs w:val="24"/>
            <w:u w:val="single"/>
            <w:lang w:val="es-CO" w:eastAsia="es-ES"/>
          </w:rPr>
          <w:t>647</w:t>
        </w:r>
      </w:hyperlink>
      <w:r w:rsidRPr="00ED47DA">
        <w:rPr>
          <w:rFonts w:eastAsia="Times New Roman" w:cs="Times New Roman"/>
          <w:szCs w:val="24"/>
          <w:lang w:val="es-CO" w:eastAsia="es-ES"/>
        </w:rPr>
        <w:t>, </w:t>
      </w:r>
      <w:hyperlink r:id="rId6" w:tooltip="Estatuto Tributario CETA" w:history="1">
        <w:r w:rsidRPr="00ED47DA">
          <w:rPr>
            <w:rFonts w:eastAsia="Times New Roman" w:cs="Times New Roman"/>
            <w:szCs w:val="24"/>
            <w:u w:val="single"/>
            <w:lang w:val="es-CO" w:eastAsia="es-ES"/>
          </w:rPr>
          <w:t>683</w:t>
        </w:r>
      </w:hyperlink>
      <w:r w:rsidRPr="00ED47DA">
        <w:rPr>
          <w:rFonts w:eastAsia="Times New Roman" w:cs="Times New Roman"/>
          <w:szCs w:val="24"/>
          <w:lang w:val="es-CO" w:eastAsia="es-ES"/>
        </w:rPr>
        <w:t> y </w:t>
      </w:r>
      <w:hyperlink r:id="rId7" w:tooltip="Estatuto Tributario CETA" w:history="1">
        <w:r w:rsidRPr="00ED47DA">
          <w:rPr>
            <w:rFonts w:eastAsia="Times New Roman" w:cs="Times New Roman"/>
            <w:szCs w:val="24"/>
            <w:u w:val="single"/>
            <w:lang w:val="es-CO" w:eastAsia="es-ES"/>
          </w:rPr>
          <w:t>742</w:t>
        </w:r>
      </w:hyperlink>
      <w:r w:rsidRPr="00ED47DA">
        <w:rPr>
          <w:rFonts w:eastAsia="Times New Roman" w:cs="Times New Roman"/>
          <w:szCs w:val="24"/>
          <w:lang w:val="es-CO" w:eastAsia="es-ES"/>
        </w:rPr>
        <w:t> del Estatuto Tributario;</w:t>
      </w:r>
    </w:p>
    <w:p w14:paraId="0486643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193 y 197 de la Ley 1607 de 2012 y,</w:t>
      </w:r>
    </w:p>
    <w:p w14:paraId="32C03707"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 264 de la Ley 223 de 1995.</w:t>
      </w:r>
    </w:p>
    <w:p w14:paraId="130BCA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65A063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Como concepto de la violación expuso, en síntesis, lo siguiente:</w:t>
      </w:r>
    </w:p>
    <w:p w14:paraId="06AE0C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E2663D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la operación realizada por la compañía corresponde a una compraventa de medios de pago de servicios de telecomunicaciones, y no a la prestación de un servicio gravado con el impuesto sobre las ventas.</w:t>
      </w:r>
    </w:p>
    <w:p w14:paraId="01D1C8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80CD2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Expuso que los distribuidores de productos prepago no son intermediarios, y que la obligación con el operador del servicio se concreta en el pago de productos virtuales que son entregados en propiedad para su reventa o cualquier otro fin.</w:t>
      </w:r>
    </w:p>
    <w:p w14:paraId="4EF9BB1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D8B463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Explicó que los medios de pago adquiridos son bienes intangibles, cuya comercialización o distribución no causa el impuesto sobre las ventas, pues no dependen del operador y forman parte del inventario del distribuidor, quien asume una posición propia sin que se cause el impuesto sobre las ventas, por la ausencia de hecho generador.</w:t>
      </w:r>
    </w:p>
    <w:p w14:paraId="43114BD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996BF1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Argumentó que los medios de pagos cuestionados soportan la existencia de un crédito, que se concreta en la posibilidad del usuario del servicio de telecomunicaciones de reclamar del operador, durante un plazo determinado, la prestación de un servicio que se pagó por anticipado.</w:t>
      </w:r>
    </w:p>
    <w:p w14:paraId="772C81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16C6BC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Anotó que según el Oficio DIAN 100202208-1598 del 24 de diciembre de 2014, la compraventa de medios de pago no está gravada con IVA, pues se trata de un bien incorporal, siempre que en la operación se transfiera el derecho de dominio, como ocurrió en las operaciones realizadas por la compañía.</w:t>
      </w:r>
    </w:p>
    <w:p w14:paraId="376EE5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46E869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Manifestó que la sanción por inexactitud es improcedente, porque no se desvirtuó la presunción de veracidad de la declaración tributaria, las motivaciones de la DIAN son erradas, no se cumplen los supuestos para su imposición, pues no se demostró la existencia de maniobras fraudulentas que disminuyeran la carga fiscal de la sociedad, y se presenta una diferencia de criterio sobre la interpretación del derecho aplicable.</w:t>
      </w:r>
    </w:p>
    <w:p w14:paraId="0F2DA17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4978FC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OPOSICIÓN</w:t>
      </w:r>
    </w:p>
    <w:p w14:paraId="25734DF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38399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DIAN se opuso a las pretensiones de la demanda, con fundamento en lo siguiente:</w:t>
      </w:r>
    </w:p>
    <w:p w14:paraId="7A94A0F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2F09BA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Afirmó que en la investigación fiscal se demostró que la operación realizada por la contribuyente es una prestación de servicios, y que el tiempo al aire o recarga electrónica para el consumo de los usuarios es del dominio del operador, quien establece la comisión o remuneración de los intermediarios del servicio, a título de descuento.</w:t>
      </w:r>
    </w:p>
    <w:p w14:paraId="5390CAE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4C513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lastRenderedPageBreak/>
        <w:t>Explicó que el tiempo al aire hace parte del servicio de telecomunicaciones que prestan los operadores directamente o a través de sus intermediarios, y que la actora tiene una obligación de hacer en relación con la prestación del servicio al usuario final.</w:t>
      </w:r>
    </w:p>
    <w:p w14:paraId="4790B52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5837DC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Adujo que la </w:t>
      </w:r>
      <w:proofErr w:type="gramStart"/>
      <w:r w:rsidRPr="00ED47DA">
        <w:rPr>
          <w:rFonts w:eastAsia="Times New Roman" w:cs="Times New Roman"/>
          <w:szCs w:val="24"/>
          <w:lang w:val="es-CO" w:eastAsia="es-ES"/>
        </w:rPr>
        <w:t>tarjeta prepago</w:t>
      </w:r>
      <w:proofErr w:type="gramEnd"/>
      <w:r w:rsidRPr="00ED47DA">
        <w:rPr>
          <w:rFonts w:eastAsia="Times New Roman" w:cs="Times New Roman"/>
          <w:szCs w:val="24"/>
          <w:lang w:val="es-CO" w:eastAsia="es-ES"/>
        </w:rPr>
        <w:t xml:space="preserve"> es un medio para que los usuarios finales accedan al servicio de telefonía móvil, y que el descuento obtenido por los intermediarios al adquirir recargas en línea, es una remuneración gravada que conforma la base gravable del impuesto sobre las ventas.</w:t>
      </w:r>
    </w:p>
    <w:p w14:paraId="707C18F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3D7DE3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Alegó que se debe mantener la sanción por inexactitud, porque la actora omitió ingresos gravados de los cuales se generó un menor impuesto a cargo de la actora, y que no existe diferencia de criterios, sino un desconocimiento del derecho aplicable.</w:t>
      </w:r>
    </w:p>
    <w:p w14:paraId="6B745C8F"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A0FDAD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AUDIENCIA INICIAL</w:t>
      </w:r>
    </w:p>
    <w:p w14:paraId="7D4ABA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6E8598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la audiencia inicial del 27 de abril de 2016</w:t>
      </w:r>
      <w:bookmarkStart w:id="7" w:name="_ftnref8"/>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"_ftn8"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[8]</w:t>
      </w:r>
      <w:r w:rsidRPr="00ED47DA">
        <w:rPr>
          <w:rFonts w:eastAsia="Times New Roman" w:cs="Times New Roman"/>
          <w:szCs w:val="24"/>
          <w:lang w:val="es-CO" w:eastAsia="es-ES"/>
        </w:rPr>
        <w:fldChar w:fldCharType="end"/>
      </w:r>
      <w:bookmarkEnd w:id="7"/>
      <w:r w:rsidRPr="00ED47DA">
        <w:rPr>
          <w:rFonts w:eastAsia="Times New Roman" w:cs="Times New Roman"/>
          <w:szCs w:val="24"/>
          <w:lang w:val="es-CO" w:eastAsia="es-ES"/>
        </w:rPr>
        <w:t>, el Tribunal Administrativo de Cundinamarca no advirtió irregularidades o nulidades que afecten lo actuado, indicó que no se presentaron excepciones previas, decretó como pruebas las aportadas con la demanda y con su contestación, y fijó el litigio en determinar la legalidad de los actos administrativos que liquidaron «</w:t>
      </w:r>
      <w:r w:rsidRPr="00ED47DA">
        <w:rPr>
          <w:rFonts w:eastAsia="Times New Roman" w:cs="Times New Roman"/>
          <w:i/>
          <w:iCs/>
          <w:szCs w:val="24"/>
          <w:lang w:val="es-CO" w:eastAsia="es-ES"/>
        </w:rPr>
        <w:t>el Impuesto Sobre las Ventas correspondiente al 6º bimestre del año fiscal 2010, a cargo de la sociedad actora</w:t>
      </w:r>
      <w:r w:rsidRPr="00ED47DA">
        <w:rPr>
          <w:rFonts w:eastAsia="Times New Roman" w:cs="Times New Roman"/>
          <w:szCs w:val="24"/>
          <w:lang w:val="es-CO" w:eastAsia="es-ES"/>
        </w:rPr>
        <w:t>».</w:t>
      </w:r>
    </w:p>
    <w:p w14:paraId="0ABEC857"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54186B99"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SENTENCIA APELADA</w:t>
      </w:r>
    </w:p>
    <w:p w14:paraId="47E4BD0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D3567D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Tribunal Administrativo de Cundinamarca negó las pretensiones de la demanda, con fundamento en las siguientes consideraciones:</w:t>
      </w:r>
    </w:p>
    <w:p w14:paraId="74DDDEA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EB378F1" w14:textId="77777777" w:rsidR="00ED47DA" w:rsidRPr="006D1D76" w:rsidRDefault="00ED47DA" w:rsidP="00ED47DA">
      <w:pPr>
        <w:spacing w:line="240" w:lineRule="auto"/>
        <w:rPr>
          <w:rFonts w:eastAsia="Times New Roman" w:cs="Times New Roman"/>
          <w:sz w:val="36"/>
          <w:szCs w:val="36"/>
          <w:lang w:eastAsia="es-ES"/>
        </w:rPr>
      </w:pPr>
      <w:r w:rsidRPr="006D1D76">
        <w:rPr>
          <w:rFonts w:eastAsia="Times New Roman" w:cs="Times New Roman"/>
          <w:sz w:val="36"/>
          <w:szCs w:val="36"/>
          <w:highlight w:val="yellow"/>
          <w:lang w:val="es-CO" w:eastAsia="es-ES"/>
        </w:rPr>
        <w:t>Relató que en el proceso se determinó que la actora adquirió recargas en línea de diferentes operadores, que posteriormente fueron comercializadas, sobre las que obtuvo descuentos porcentuales sobre el valor final de la operación.</w:t>
      </w:r>
    </w:p>
    <w:p w14:paraId="4633B275" w14:textId="77777777" w:rsidR="00ED47DA" w:rsidRPr="006D1D76" w:rsidRDefault="00ED47DA" w:rsidP="00ED47DA">
      <w:pPr>
        <w:spacing w:line="240" w:lineRule="auto"/>
        <w:rPr>
          <w:rFonts w:eastAsia="Times New Roman" w:cs="Times New Roman"/>
          <w:sz w:val="36"/>
          <w:szCs w:val="36"/>
          <w:lang w:eastAsia="es-ES"/>
        </w:rPr>
      </w:pPr>
      <w:r w:rsidRPr="006D1D76">
        <w:rPr>
          <w:rFonts w:eastAsia="Times New Roman" w:cs="Times New Roman"/>
          <w:sz w:val="36"/>
          <w:szCs w:val="36"/>
          <w:lang w:eastAsia="es-ES"/>
        </w:rPr>
        <w:t> </w:t>
      </w:r>
    </w:p>
    <w:p w14:paraId="4852048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la sociedad demandante facilitó la comercialización del servicio de telefonía móvil ofrecido por terceros bajo la modalidad de intermediación, lo que es acorde con su objeto social y constituye una actividad gravada con el impuesto sobre las ventas.</w:t>
      </w:r>
    </w:p>
    <w:p w14:paraId="0D856B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26A315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Afirmó que el margen de utilidad obtenido por la actora a título de descuento se generó por una prestación de servicios gravada, siendo responsable la actora solo respecto de la remuneración percibida, como lo estimó la administración en los actos demandados.</w:t>
      </w:r>
    </w:p>
    <w:p w14:paraId="4EF3A4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3F04C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Argumentó que, como la actora omitió declarar ingresos gravados y disminuyó su carga fiscal en desconocimiento el derecho aplicable, se debe imponer sanción por inexactitud.</w:t>
      </w:r>
    </w:p>
    <w:p w14:paraId="64A6D43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F27ACE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RECURSO DE APELACIÓN</w:t>
      </w:r>
    </w:p>
    <w:p w14:paraId="6021D85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D7640B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sociedad demandante apeló la sentencia proferida por el Tribunal Administrativo de Cundinamarca, por las razones que se exponen a continuación:</w:t>
      </w:r>
    </w:p>
    <w:p w14:paraId="0C9DEA5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1343CD0" w14:textId="77777777" w:rsidR="00ED47DA" w:rsidRPr="006D1D76" w:rsidRDefault="00ED47DA" w:rsidP="00ED47DA">
      <w:pPr>
        <w:spacing w:line="240" w:lineRule="auto"/>
        <w:rPr>
          <w:rFonts w:eastAsia="Times New Roman" w:cs="Times New Roman"/>
          <w:sz w:val="32"/>
          <w:szCs w:val="32"/>
          <w:lang w:eastAsia="es-ES"/>
        </w:rPr>
      </w:pPr>
      <w:r w:rsidRPr="006D1D76">
        <w:rPr>
          <w:rFonts w:eastAsia="Times New Roman" w:cs="Times New Roman"/>
          <w:sz w:val="32"/>
          <w:szCs w:val="32"/>
          <w:lang w:val="es-CO" w:eastAsia="es-ES"/>
        </w:rPr>
        <w:t>Destacó que el </w:t>
      </w:r>
      <w:r w:rsidRPr="006D1D76">
        <w:rPr>
          <w:rFonts w:eastAsia="Times New Roman" w:cs="Times New Roman"/>
          <w:i/>
          <w:iCs/>
          <w:sz w:val="32"/>
          <w:szCs w:val="32"/>
          <w:lang w:val="es-CO" w:eastAsia="es-ES"/>
        </w:rPr>
        <w:t>a-quo </w:t>
      </w:r>
      <w:r w:rsidRPr="006D1D76">
        <w:rPr>
          <w:rFonts w:eastAsia="Times New Roman" w:cs="Times New Roman"/>
          <w:sz w:val="32"/>
          <w:szCs w:val="32"/>
          <w:lang w:val="es-CO" w:eastAsia="es-ES"/>
        </w:rPr>
        <w:t>reconoció que la operación realizada por la compañía es la compraventa de recargas en línea a los operadores del servicio, circunstancia que no implica la ejecución de una obligación de hacer, o la prestación de un servicio gravado.</w:t>
      </w:r>
    </w:p>
    <w:p w14:paraId="6C0DC14A" w14:textId="77777777" w:rsidR="00ED47DA" w:rsidRPr="006D1D76" w:rsidRDefault="00ED47DA" w:rsidP="00ED47DA">
      <w:pPr>
        <w:spacing w:line="240" w:lineRule="auto"/>
        <w:rPr>
          <w:rFonts w:eastAsia="Times New Roman" w:cs="Times New Roman"/>
          <w:sz w:val="32"/>
          <w:szCs w:val="32"/>
          <w:lang w:eastAsia="es-ES"/>
        </w:rPr>
      </w:pPr>
      <w:r w:rsidRPr="006D1D76">
        <w:rPr>
          <w:rFonts w:eastAsia="Times New Roman" w:cs="Times New Roman"/>
          <w:sz w:val="32"/>
          <w:szCs w:val="32"/>
          <w:lang w:eastAsia="es-ES"/>
        </w:rPr>
        <w:t> </w:t>
      </w:r>
    </w:p>
    <w:p w14:paraId="66BD29E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Anotó que la compañía no prestó ningún servicio, pues quien lo hace es directamente el operador, y que no realiza operaciones por cuenta de terceros, porque asume una posición propia en la negociación.</w:t>
      </w:r>
    </w:p>
    <w:p w14:paraId="01FD135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t> </w:t>
      </w:r>
    </w:p>
    <w:p w14:paraId="64DB4EE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facilitar la comercialización de un servicio no significa prestarlo, y que el Tribunal se contradice al afirmar que la transacción realizada por la sociedad es una compraventa, y a renglón seguido que se trató de la prestación de servicios gravados.</w:t>
      </w:r>
    </w:p>
    <w:p w14:paraId="4C6E3E5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C5AABA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Aludió al Oficio DIAN 100202208-1598 del 24 de diciembre de 2014 y asumió que desde diciembre de 2014 las operaciones de recargas en línea no estarían sometidas a IVA.</w:t>
      </w:r>
    </w:p>
    <w:p w14:paraId="7D7919C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9DE28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Reiteró que no procede la sanción por inexactitud, porque no se desvirtuó la presunción de veracidad de la declaración tributaria, no se cumplen los supuestos para su imposición, pues no se presentaron maniobras fraudulentas tendientes a disminuir la carga fiscal de la sociedad, y existe una diferencia de criterio sobre la interpretación del derecho aplicable.</w:t>
      </w:r>
    </w:p>
    <w:p w14:paraId="4ACD4E2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413BD4D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ALEGATOS DE CONCLUSIÓN</w:t>
      </w:r>
    </w:p>
    <w:p w14:paraId="2F60BE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D81CD1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La sociedad demandante</w:t>
      </w:r>
      <w:r w:rsidRPr="00ED47DA">
        <w:rPr>
          <w:rFonts w:eastAsia="Times New Roman" w:cs="Times New Roman"/>
          <w:szCs w:val="24"/>
          <w:lang w:val="es-CO" w:eastAsia="es-ES"/>
        </w:rPr>
        <w:t> reiteró los argumentos de la demanda y del recurso de apelación.</w:t>
      </w:r>
    </w:p>
    <w:p w14:paraId="67A6F92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BB10D4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La DIAN</w:t>
      </w:r>
      <w:r w:rsidRPr="00ED47DA">
        <w:rPr>
          <w:rFonts w:eastAsia="Times New Roman" w:cs="Times New Roman"/>
          <w:szCs w:val="24"/>
          <w:lang w:val="es-CO" w:eastAsia="es-ES"/>
        </w:rPr>
        <w:t> insistió en que la operación desarrollada por la actora es una prestación de servicios, y no una venta de intangibles.</w:t>
      </w:r>
    </w:p>
    <w:p w14:paraId="225855C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1DEC6F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El Ministerio Público </w:t>
      </w:r>
      <w:r w:rsidRPr="00ED47DA">
        <w:rPr>
          <w:rFonts w:eastAsia="Times New Roman" w:cs="Times New Roman"/>
          <w:szCs w:val="24"/>
          <w:lang w:val="es-CO" w:eastAsia="es-ES"/>
        </w:rPr>
        <w:t>solicitó revocar la sentencia de primera instancia y acceder a las pretensiones de la demanda, porque la actividad desarrollada por la sociedad demandante no corresponde a un servicio de intermediación.</w:t>
      </w:r>
    </w:p>
    <w:p w14:paraId="4A831917"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226665C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CONSIDERACIONES DE LA SALA</w:t>
      </w:r>
    </w:p>
    <w:p w14:paraId="4D5AE4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30E027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Decide la Sala sobre la legalidad de los actos administrativos que determinaron el impuesto sobre las ventas del sexto (6º) bimestre del año gravable 2010, a cargo de POINTPAY COLOMBIA S.A.S.</w:t>
      </w:r>
    </w:p>
    <w:p w14:paraId="3B814D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A9818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los términos del recurso de apelación, la Sala debe determinar si las actividades desarrolladas por la actora constituyen un servicio de intermediación gravado con el impuesto sobre las ventas, o una compraventa de intangibles.</w:t>
      </w:r>
    </w:p>
    <w:p w14:paraId="67DE999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1B6EF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Teniendo en cuenta que en casos con supuestos fácticos similares al que se decide se estableció que la comercialización de servicios de telefonía celular prepago (tarjetas prepago) constituye un servicio de intermediación sujeto al impuesto sobre las ventas, se reiterará, en lo pertinente, la posición asumida por la Sección sobre el particular</w:t>
      </w:r>
      <w:bookmarkStart w:id="8" w:name="_ftnref9"/>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"_ftn9"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[9]</w:t>
      </w:r>
      <w:r w:rsidRPr="00ED47DA">
        <w:rPr>
          <w:rFonts w:eastAsia="Times New Roman" w:cs="Times New Roman"/>
          <w:szCs w:val="24"/>
          <w:lang w:val="es-CO" w:eastAsia="es-ES"/>
        </w:rPr>
        <w:fldChar w:fldCharType="end"/>
      </w:r>
      <w:bookmarkEnd w:id="8"/>
      <w:r w:rsidRPr="00ED47DA">
        <w:rPr>
          <w:rFonts w:eastAsia="Times New Roman" w:cs="Times New Roman"/>
          <w:szCs w:val="24"/>
          <w:lang w:val="es-CO" w:eastAsia="es-ES"/>
        </w:rPr>
        <w:t>.</w:t>
      </w:r>
    </w:p>
    <w:p w14:paraId="4210C8D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8F4D68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demandante argumentó que la operación cuestionada en los actos administrativos demandados es una compraventa de intangibles no gravada, mientras la DIAN sostuvo que dicha operación es un servicio de intermediación sujeto al impuesto sobre las ventas.</w:t>
      </w:r>
    </w:p>
    <w:p w14:paraId="03D733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1CFD3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Sobre argumentos similares a los planteados por las partes, la Sala precisó que:</w:t>
      </w:r>
    </w:p>
    <w:p w14:paraId="4CFA15EE"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eastAsia="es-ES"/>
        </w:rPr>
        <w:t> </w:t>
      </w:r>
    </w:p>
    <w:p w14:paraId="31282E71"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El </w:t>
      </w:r>
      <w:hyperlink r:id="rId8" w:tooltip="Estatuto Tributario CETA" w:history="1">
        <w:r w:rsidRPr="00ED47DA">
          <w:rPr>
            <w:rFonts w:eastAsia="Times New Roman" w:cs="Times New Roman"/>
            <w:szCs w:val="24"/>
            <w:u w:val="single"/>
            <w:lang w:val="es-CO" w:eastAsia="es-ES"/>
          </w:rPr>
          <w:t>artículo 420</w:t>
        </w:r>
      </w:hyperlink>
      <w:r w:rsidRPr="00ED47DA">
        <w:rPr>
          <w:rFonts w:eastAsia="Times New Roman" w:cs="Times New Roman"/>
          <w:szCs w:val="24"/>
          <w:lang w:val="es-CO" w:eastAsia="es-ES"/>
        </w:rPr>
        <w:t> del Estatuto Tributario dispone que el IVA opera sobre los servicios prestados en el territorio nacional, entendidos como «</w:t>
      </w:r>
      <w:r w:rsidRPr="00ED47DA">
        <w:rPr>
          <w:rFonts w:eastAsia="Times New Roman" w:cs="Times New Roman"/>
          <w:b/>
          <w:bCs/>
          <w:i/>
          <w:iCs/>
          <w:szCs w:val="24"/>
          <w:lang w:val="es-CO" w:eastAsia="es-ES"/>
        </w:rPr>
        <w:t>toda actividad, labor o trabajo</w:t>
      </w:r>
      <w:r w:rsidRPr="00ED47DA">
        <w:rPr>
          <w:rFonts w:eastAsia="Times New Roman" w:cs="Times New Roman"/>
          <w:i/>
          <w:iCs/>
          <w:szCs w:val="24"/>
          <w:lang w:val="es-CO" w:eastAsia="es-ES"/>
        </w:rPr>
        <w:t> prestado por una persona natural o jurídica, o por una sociedad de hecho, </w:t>
      </w:r>
      <w:r w:rsidRPr="00ED47DA">
        <w:rPr>
          <w:rFonts w:eastAsia="Times New Roman" w:cs="Times New Roman"/>
          <w:b/>
          <w:bCs/>
          <w:i/>
          <w:iCs/>
          <w:szCs w:val="24"/>
          <w:lang w:val="es-CO" w:eastAsia="es-ES"/>
        </w:rPr>
        <w:t>sin relación laboral</w:t>
      </w:r>
      <w:r w:rsidRPr="00ED47DA">
        <w:rPr>
          <w:rFonts w:eastAsia="Times New Roman" w:cs="Times New Roman"/>
          <w:i/>
          <w:iCs/>
          <w:szCs w:val="24"/>
          <w:lang w:val="es-CO" w:eastAsia="es-ES"/>
        </w:rPr>
        <w:t> con quien contrata la ejecución, </w:t>
      </w:r>
      <w:r w:rsidRPr="00ED47DA">
        <w:rPr>
          <w:rFonts w:eastAsia="Times New Roman" w:cs="Times New Roman"/>
          <w:b/>
          <w:bCs/>
          <w:i/>
          <w:iCs/>
          <w:szCs w:val="24"/>
          <w:u w:val="single"/>
          <w:lang w:val="es-CO" w:eastAsia="es-ES"/>
        </w:rPr>
        <w:t>que se concreta en una obligación de hacer</w:t>
      </w:r>
      <w:r w:rsidRPr="00ED47DA">
        <w:rPr>
          <w:rFonts w:eastAsia="Times New Roman" w:cs="Times New Roman"/>
          <w:i/>
          <w:iCs/>
          <w:szCs w:val="24"/>
          <w:lang w:val="es-CO" w:eastAsia="es-ES"/>
        </w:rPr>
        <w:t>, sin importar que en la misma predomine el factor material o intelectual, </w:t>
      </w:r>
      <w:r w:rsidRPr="00ED47DA">
        <w:rPr>
          <w:rFonts w:eastAsia="Times New Roman" w:cs="Times New Roman"/>
          <w:b/>
          <w:bCs/>
          <w:i/>
          <w:iCs/>
          <w:szCs w:val="24"/>
          <w:lang w:val="es-CO" w:eastAsia="es-ES"/>
        </w:rPr>
        <w:t>y que genera una contraprestación en dinero</w:t>
      </w:r>
      <w:r w:rsidRPr="00ED47DA">
        <w:rPr>
          <w:rFonts w:eastAsia="Times New Roman" w:cs="Times New Roman"/>
          <w:i/>
          <w:iCs/>
          <w:szCs w:val="24"/>
          <w:lang w:val="es-CO" w:eastAsia="es-ES"/>
        </w:rPr>
        <w:t> o en especie, independientemente de su denominación o forma de remuneración</w:t>
      </w:r>
      <w:bookmarkStart w:id="9" w:name="_ftnref10"/>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"_ftn10"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[10]</w:t>
      </w:r>
      <w:r w:rsidRPr="00ED47DA">
        <w:rPr>
          <w:rFonts w:eastAsia="Times New Roman" w:cs="Times New Roman"/>
          <w:szCs w:val="24"/>
          <w:lang w:eastAsia="es-ES"/>
        </w:rPr>
        <w:fldChar w:fldCharType="end"/>
      </w:r>
      <w:bookmarkEnd w:id="9"/>
      <w:r w:rsidRPr="00ED47DA">
        <w:rPr>
          <w:rFonts w:eastAsia="Times New Roman" w:cs="Times New Roman"/>
          <w:szCs w:val="24"/>
          <w:lang w:val="es-CO" w:eastAsia="es-ES"/>
        </w:rPr>
        <w:t>».(Se resalta).</w:t>
      </w:r>
    </w:p>
    <w:p w14:paraId="6D8A7CD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La actividad relacionada con recargas en línea es una prestación de servicios que se concreta en obligaciones de hacer, como lo es la intermediación</w:t>
      </w:r>
      <w:bookmarkStart w:id="10" w:name="_ftnref11"/>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[11]</w:t>
      </w:r>
      <w:r w:rsidRPr="00ED47DA">
        <w:rPr>
          <w:rFonts w:eastAsia="Times New Roman" w:cs="Times New Roman"/>
          <w:szCs w:val="24"/>
          <w:lang w:eastAsia="es-ES"/>
        </w:rPr>
        <w:fldChar w:fldCharType="end"/>
      </w:r>
      <w:bookmarkEnd w:id="10"/>
      <w:r w:rsidRPr="00ED47DA">
        <w:rPr>
          <w:rFonts w:eastAsia="Times New Roman" w:cs="Times New Roman"/>
          <w:szCs w:val="24"/>
          <w:lang w:val="es-CO" w:eastAsia="es-ES"/>
        </w:rPr>
        <w:t> en la comercialización de recargas en línea a cambio de una contraprestación, mediante el suministro de infraestructura tecnológica, equipos, personal directivo, comercial y de mantenimiento para ser utilizados como puente entre los operadores del servicio, los tenderos y el usuario final.</w:t>
      </w:r>
    </w:p>
    <w:p w14:paraId="74E525F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lastRenderedPageBreak/>
        <w:t>·      En relación con la contraprestación, «</w:t>
      </w:r>
      <w:r w:rsidRPr="00ED47DA">
        <w:rPr>
          <w:rFonts w:eastAsia="Times New Roman" w:cs="Times New Roman"/>
          <w:i/>
          <w:iCs/>
          <w:szCs w:val="24"/>
          <w:lang w:val="es-CO" w:eastAsia="es-ES"/>
        </w:rPr>
        <w:t>el operador le vende al intermediario la recarga en línea por un menor valor al asignado para la venta al público, que </w:t>
      </w:r>
      <w:r w:rsidRPr="00ED47DA">
        <w:rPr>
          <w:rFonts w:eastAsia="Times New Roman" w:cs="Times New Roman"/>
          <w:b/>
          <w:bCs/>
          <w:i/>
          <w:iCs/>
          <w:szCs w:val="24"/>
          <w:lang w:val="es-CO" w:eastAsia="es-ES"/>
        </w:rPr>
        <w:t>aunque se le dé la connotación de “descuento”, para efectos de IVA, constituye la contraprestación por la intermediación en la comercialización</w:t>
      </w:r>
      <w:bookmarkStart w:id="11" w:name="_ftnref1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"_ftn12"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[12]</w:t>
      </w:r>
      <w:r w:rsidRPr="00ED47DA">
        <w:rPr>
          <w:rFonts w:eastAsia="Times New Roman" w:cs="Times New Roman"/>
          <w:szCs w:val="24"/>
          <w:lang w:val="es-CO" w:eastAsia="es-ES"/>
        </w:rPr>
        <w:fldChar w:fldCharType="end"/>
      </w:r>
      <w:bookmarkEnd w:id="11"/>
      <w:r w:rsidRPr="00ED47DA">
        <w:rPr>
          <w:rFonts w:eastAsia="Times New Roman" w:cs="Times New Roman"/>
          <w:szCs w:val="24"/>
          <w:lang w:val="es-CO" w:eastAsia="es-ES"/>
        </w:rPr>
        <w:t>»; además, como dicha contraprestación se origina en la prestación de un servicio, no hace parte de los supuestos del artículo 157 de la Ley 1607 de 2012</w:t>
      </w:r>
      <w:bookmarkStart w:id="12" w:name="_ftnref13"/>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"_ftn13"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[13]</w:t>
      </w:r>
      <w:r w:rsidRPr="00ED47DA">
        <w:rPr>
          <w:rFonts w:eastAsia="Times New Roman" w:cs="Times New Roman"/>
          <w:szCs w:val="24"/>
          <w:lang w:eastAsia="es-ES"/>
        </w:rPr>
        <w:fldChar w:fldCharType="end"/>
      </w:r>
      <w:bookmarkEnd w:id="12"/>
      <w:r w:rsidRPr="00ED47DA">
        <w:rPr>
          <w:rFonts w:eastAsia="Times New Roman" w:cs="Times New Roman"/>
          <w:szCs w:val="24"/>
          <w:lang w:val="es-CO" w:eastAsia="es-ES"/>
        </w:rPr>
        <w:t>, respecto de la venta de medios de pago de servicios de telecomunicaciones.</w:t>
      </w:r>
    </w:p>
    <w:p w14:paraId="15EF56EB"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Si bien el </w:t>
      </w:r>
      <w:hyperlink r:id="rId9" w:tooltip="Estatuto Tributario CETA" w:history="1">
        <w:r w:rsidRPr="00ED47DA">
          <w:rPr>
            <w:rFonts w:eastAsia="Times New Roman" w:cs="Times New Roman"/>
            <w:szCs w:val="24"/>
            <w:u w:val="single"/>
            <w:lang w:val="es-CO" w:eastAsia="es-ES"/>
          </w:rPr>
          <w:t>artículo 429</w:t>
        </w:r>
      </w:hyperlink>
      <w:r w:rsidRPr="00ED47DA">
        <w:rPr>
          <w:rFonts w:eastAsia="Times New Roman" w:cs="Times New Roman"/>
          <w:szCs w:val="24"/>
          <w:lang w:val="es-CO" w:eastAsia="es-ES"/>
        </w:rPr>
        <w:t> del Estatuto Tributario</w:t>
      </w:r>
      <w:bookmarkStart w:id="13" w:name="_ftnref14"/>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"_ftn14"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[14]</w:t>
      </w:r>
      <w:r w:rsidRPr="00ED47DA">
        <w:rPr>
          <w:rFonts w:eastAsia="Times New Roman" w:cs="Times New Roman"/>
          <w:szCs w:val="24"/>
          <w:lang w:eastAsia="es-ES"/>
        </w:rPr>
        <w:fldChar w:fldCharType="end"/>
      </w:r>
      <w:bookmarkEnd w:id="13"/>
      <w:r w:rsidRPr="00ED47DA">
        <w:rPr>
          <w:rFonts w:eastAsia="Times New Roman" w:cs="Times New Roman"/>
          <w:szCs w:val="24"/>
          <w:lang w:val="es-CO" w:eastAsia="es-ES"/>
        </w:rPr>
        <w:t> establece que la compra de recargas en línea de los intermediarios a los operadores de comunicaciones no está gravada, pues el impuesto se causa en cabeza del operador cuando se presta el servicio, no ocurre lo mismo con la intermediación, que es independiente del servicio de comunicación que prestan dichos operadores, y no ha sido excluido o exonerado del tributo.</w:t>
      </w:r>
    </w:p>
    <w:p w14:paraId="19E640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14635A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el caso concreto, se observa que entre las actividades del objeto social de la actora se encuentra «</w:t>
      </w:r>
      <w:r w:rsidRPr="00ED47DA">
        <w:rPr>
          <w:rFonts w:eastAsia="Times New Roman" w:cs="Times New Roman"/>
          <w:i/>
          <w:iCs/>
          <w:szCs w:val="24"/>
          <w:lang w:val="es-CO" w:eastAsia="es-ES"/>
        </w:rPr>
        <w:t>D) LA COMPRAVENTA Y COMERCIALIZACIÓN DE PRODUCTOS DE TELECOMUNICACIONES (RECARGAS, SMS, PINES, ETC), ASÍ COMO DE CUALQUIER PRODUCTO QUE SE PUEDA COMERCIALIZAR VÍA ELECTRÓNICA, HACIENDO USO DE LOS DIFERENTES MEDIOS TECNOLÓGICOS UTILIZADOS POR LA COMPAÑÍA PARA ESTE FIN</w:t>
      </w:r>
      <w:r w:rsidRPr="00ED47DA">
        <w:rPr>
          <w:rFonts w:eastAsia="Times New Roman" w:cs="Times New Roman"/>
          <w:szCs w:val="24"/>
          <w:lang w:val="es-CO" w:eastAsia="es-ES"/>
        </w:rPr>
        <w:t>».</w:t>
      </w:r>
    </w:p>
    <w:p w14:paraId="6D8489B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A38FE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desarrollo de su objeto social, está demostrado que la demandante realizó transacciones de recargas en línea con diferentes operadores (COMCEL, TIGO, UFF, MOVILWAY y SOLIDDA), como consta en las ofertas comerciales</w:t>
      </w:r>
      <w:bookmarkStart w:id="14" w:name="_ftnref15"/>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"_ftn15"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[15]</w:t>
      </w:r>
      <w:r w:rsidRPr="00ED47DA">
        <w:rPr>
          <w:rFonts w:eastAsia="Times New Roman" w:cs="Times New Roman"/>
          <w:szCs w:val="24"/>
          <w:lang w:val="es-CO" w:eastAsia="es-ES"/>
        </w:rPr>
        <w:fldChar w:fldCharType="end"/>
      </w:r>
      <w:bookmarkEnd w:id="14"/>
      <w:r w:rsidRPr="00ED47DA">
        <w:rPr>
          <w:rFonts w:eastAsia="Times New Roman" w:cs="Times New Roman"/>
          <w:szCs w:val="24"/>
          <w:lang w:val="es-CO" w:eastAsia="es-ES"/>
        </w:rPr>
        <w:t>, facturas, comprobantes de pago, extractos de diferentes entidades bancarias</w:t>
      </w:r>
      <w:bookmarkStart w:id="15" w:name="_ftnref16"/>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"_ftn16"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[16]</w:t>
      </w:r>
      <w:r w:rsidRPr="00ED47DA">
        <w:rPr>
          <w:rFonts w:eastAsia="Times New Roman" w:cs="Times New Roman"/>
          <w:szCs w:val="24"/>
          <w:lang w:val="es-CO" w:eastAsia="es-ES"/>
        </w:rPr>
        <w:fldChar w:fldCharType="end"/>
      </w:r>
      <w:bookmarkEnd w:id="15"/>
      <w:r w:rsidRPr="00ED47DA">
        <w:rPr>
          <w:rFonts w:eastAsia="Times New Roman" w:cs="Times New Roman"/>
          <w:szCs w:val="24"/>
          <w:lang w:val="es-CO" w:eastAsia="es-ES"/>
        </w:rPr>
        <w:t>, y demás documentos incorporados en el expediente.</w:t>
      </w:r>
    </w:p>
    <w:p w14:paraId="6DD4CF7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827B85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Así mismo, obran los contratos de cuentas en participación suscritos entre la demandante y </w:t>
      </w:r>
      <w:proofErr w:type="spellStart"/>
      <w:r w:rsidRPr="00ED47DA">
        <w:rPr>
          <w:rFonts w:eastAsia="Times New Roman" w:cs="Times New Roman"/>
          <w:szCs w:val="24"/>
          <w:lang w:val="es-CO" w:eastAsia="es-ES"/>
        </w:rPr>
        <w:t>Neisy</w:t>
      </w:r>
      <w:proofErr w:type="spellEnd"/>
      <w:r w:rsidRPr="00ED47DA">
        <w:rPr>
          <w:rFonts w:eastAsia="Times New Roman" w:cs="Times New Roman"/>
          <w:szCs w:val="24"/>
          <w:lang w:val="es-CO" w:eastAsia="es-ES"/>
        </w:rPr>
        <w:t xml:space="preserve"> Gómez </w:t>
      </w:r>
      <w:proofErr w:type="spellStart"/>
      <w:r w:rsidRPr="00ED47DA">
        <w:rPr>
          <w:rFonts w:eastAsia="Times New Roman" w:cs="Times New Roman"/>
          <w:szCs w:val="24"/>
          <w:lang w:val="es-CO" w:eastAsia="es-ES"/>
        </w:rPr>
        <w:t>Gonzalez</w:t>
      </w:r>
      <w:bookmarkStart w:id="16" w:name="_ftnref17"/>
      <w:proofErr w:type="spellEnd"/>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"_ftn17"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[17]</w:t>
      </w:r>
      <w:r w:rsidRPr="00ED47DA">
        <w:rPr>
          <w:rFonts w:eastAsia="Times New Roman" w:cs="Times New Roman"/>
          <w:szCs w:val="24"/>
          <w:lang w:val="es-CO" w:eastAsia="es-ES"/>
        </w:rPr>
        <w:fldChar w:fldCharType="end"/>
      </w:r>
      <w:bookmarkEnd w:id="16"/>
      <w:r w:rsidRPr="00ED47DA">
        <w:rPr>
          <w:rFonts w:eastAsia="Times New Roman" w:cs="Times New Roman"/>
          <w:szCs w:val="24"/>
          <w:lang w:val="es-CO" w:eastAsia="es-ES"/>
        </w:rPr>
        <w:t>, y MOVILWAY COLOMBIA S.A.S</w:t>
      </w:r>
      <w:bookmarkStart w:id="17" w:name="_ftnref18"/>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"_ftn18"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[18]</w:t>
      </w:r>
      <w:r w:rsidRPr="00ED47DA">
        <w:rPr>
          <w:rFonts w:eastAsia="Times New Roman" w:cs="Times New Roman"/>
          <w:szCs w:val="24"/>
          <w:lang w:val="es-CO" w:eastAsia="es-ES"/>
        </w:rPr>
        <w:fldChar w:fldCharType="end"/>
      </w:r>
      <w:bookmarkEnd w:id="17"/>
      <w:r w:rsidRPr="00ED47DA">
        <w:rPr>
          <w:rFonts w:eastAsia="Times New Roman" w:cs="Times New Roman"/>
          <w:szCs w:val="24"/>
          <w:lang w:val="es-CO" w:eastAsia="es-ES"/>
        </w:rPr>
        <w:t>., en los cuales las partes se comprometen a «</w:t>
      </w:r>
      <w:r w:rsidRPr="00ED47DA">
        <w:rPr>
          <w:rFonts w:eastAsia="Times New Roman" w:cs="Times New Roman"/>
          <w:i/>
          <w:iCs/>
          <w:szCs w:val="24"/>
          <w:lang w:val="es-CO" w:eastAsia="es-ES"/>
        </w:rPr>
        <w:t>integrar esfuerzos y recursos para lograr la distribución de sus productos</w:t>
      </w:r>
      <w:r w:rsidRPr="00ED47DA">
        <w:rPr>
          <w:rFonts w:eastAsia="Times New Roman" w:cs="Times New Roman"/>
          <w:szCs w:val="24"/>
          <w:lang w:val="es-CO" w:eastAsia="es-ES"/>
        </w:rPr>
        <w:t>» y se pactó la respectiva utilidad.</w:t>
      </w:r>
    </w:p>
    <w:p w14:paraId="46D7866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54BB1A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Al analizar las pruebas aludidas</w:t>
      </w:r>
      <w:bookmarkStart w:id="18" w:name="_ftnref19"/>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"_ftn19"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[19]</w:t>
      </w:r>
      <w:r w:rsidRPr="00ED47DA">
        <w:rPr>
          <w:rFonts w:eastAsia="Times New Roman" w:cs="Times New Roman"/>
          <w:szCs w:val="24"/>
          <w:lang w:val="es-CO" w:eastAsia="es-ES"/>
        </w:rPr>
        <w:fldChar w:fldCharType="end"/>
      </w:r>
      <w:bookmarkEnd w:id="18"/>
      <w:r w:rsidRPr="00ED47DA">
        <w:rPr>
          <w:rFonts w:eastAsia="Times New Roman" w:cs="Times New Roman"/>
          <w:szCs w:val="24"/>
          <w:lang w:val="es-CO" w:eastAsia="es-ES"/>
        </w:rPr>
        <w:t>, la DIAN determino que el valor otorgado como descuento en las operaciones realizadas por la actora ascendió a $934.067.000 (ingreso gravable), lo que generó un IVA de $149.451.000, sumas no discutidas en el proceso que se discriminaron así:</w:t>
      </w:r>
    </w:p>
    <w:p w14:paraId="53EB08C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875"/>
        <w:gridCol w:w="1836"/>
        <w:gridCol w:w="3415"/>
        <w:gridCol w:w="2210"/>
      </w:tblGrid>
      <w:tr w:rsidR="00ED47DA" w:rsidRPr="00ED47DA" w14:paraId="454B9385" w14:textId="77777777" w:rsidTr="00ED47DA">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BD254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COMPRAS – RECARGAS – NOVIEMBRE 2010 - 6º BIMESTRE</w:t>
            </w:r>
          </w:p>
        </w:tc>
      </w:tr>
      <w:tr w:rsidR="00ED47DA" w:rsidRPr="00ED47DA" w14:paraId="1972B5E7"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672BD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A68E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V/R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66E83E"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V/R DESCUENTO ENTREGADO EN MINUTOS (ingreso)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E85E3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IVA DESCONOCIDO</w:t>
            </w:r>
          </w:p>
        </w:tc>
      </w:tr>
      <w:tr w:rsidR="00ED47DA" w:rsidRPr="00ED47DA" w14:paraId="60905022"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B91D8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COMCEL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AFCB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$3.132.700.000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0F30E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$278.450.600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D32DC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$44.552.096</w:t>
            </w:r>
          </w:p>
        </w:tc>
      </w:tr>
      <w:tr w:rsidR="00ED47DA" w:rsidRPr="00ED47DA" w14:paraId="3D6D4AD4"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F199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MOVILWAY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64BB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$556.258.275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6B80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$42.258.275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234DD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$6.761.324</w:t>
            </w:r>
          </w:p>
        </w:tc>
      </w:tr>
      <w:tr w:rsidR="00ED47DA" w:rsidRPr="00ED47DA" w14:paraId="4E8BB2EE"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DC832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SOLIDDA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A13F3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$3.225.000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33A6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E58E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$36.000</w:t>
            </w:r>
          </w:p>
        </w:tc>
      </w:tr>
      <w:tr w:rsidR="00ED47DA" w:rsidRPr="00ED47DA" w14:paraId="62920A59"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5C2DD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TIGO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57D26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$459.734.092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3044F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$43.364.092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369E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$6.938.255</w:t>
            </w:r>
          </w:p>
        </w:tc>
      </w:tr>
      <w:tr w:rsidR="00ED47DA" w:rsidRPr="00ED47DA" w14:paraId="6E6923B3"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A3E3D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UFF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9152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$3.270.000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CAB9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$270.000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0A65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$43.200</w:t>
            </w:r>
          </w:p>
        </w:tc>
      </w:tr>
      <w:tr w:rsidR="00ED47DA" w:rsidRPr="00ED47DA" w14:paraId="080334C4"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8B85A9"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93732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$4.155.187.367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528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$364.567.967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3BE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$58.330.875</w:t>
            </w:r>
          </w:p>
        </w:tc>
      </w:tr>
      <w:tr w:rsidR="00ED47DA" w:rsidRPr="00ED47DA" w14:paraId="2D453466" w14:textId="77777777" w:rsidTr="00ED47DA">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0BFF1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COMPRAS – RECARGAS – DICIEMBRE 2010 - 6º BIMESTRE</w:t>
            </w:r>
          </w:p>
        </w:tc>
      </w:tr>
      <w:tr w:rsidR="00ED47DA" w:rsidRPr="00ED47DA" w14:paraId="6A273F46"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F8056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COMCEL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3D37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$4.956.000.000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03C1D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$442.075.200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1020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$70.732.032</w:t>
            </w:r>
          </w:p>
        </w:tc>
      </w:tr>
      <w:tr w:rsidR="00ED47DA" w:rsidRPr="00ED47DA" w14:paraId="0B031AE1"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B348E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MOVILWAY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FC1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$818.932.332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AFE6C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$57.932.332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63E5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$9.269.173</w:t>
            </w:r>
          </w:p>
        </w:tc>
      </w:tr>
      <w:tr w:rsidR="00ED47DA" w:rsidRPr="00ED47DA" w14:paraId="236E2DFF"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2AD9D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SOLIDDA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3FE7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63AF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16C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6CA0BDE0"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E7624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TIGO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24B6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$731.491.723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03BA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$69.491.723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987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$11.118.676</w:t>
            </w:r>
          </w:p>
        </w:tc>
      </w:tr>
      <w:tr w:rsidR="00ED47DA" w:rsidRPr="00ED47DA" w14:paraId="59EDA1E7"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11BE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UFF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B9667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9D61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B6913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099B9905"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8FA3B"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45EB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$6.506.424.055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C2253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$569.499.255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A723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$91.119.881</w:t>
            </w:r>
          </w:p>
        </w:tc>
      </w:tr>
      <w:tr w:rsidR="00ED47DA" w:rsidRPr="00ED47DA" w14:paraId="10346D1D"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4A18C7"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b/>
                <w:bCs/>
                <w:szCs w:val="24"/>
                <w:lang w:val="es-CO" w:eastAsia="es-ES"/>
              </w:rPr>
              <w:t>TOTAL</w:t>
            </w:r>
            <w:proofErr w:type="gramEnd"/>
            <w:r w:rsidRPr="00ED47DA">
              <w:rPr>
                <w:rFonts w:eastAsia="Times New Roman" w:cs="Times New Roman"/>
                <w:b/>
                <w:bCs/>
                <w:szCs w:val="24"/>
                <w:lang w:val="es-CO" w:eastAsia="es-ES"/>
              </w:rPr>
              <w:t xml:space="preserve"> BIMESTRE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55A7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$10.661.611.422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8C6EB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$934.067.222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7FE9A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$149.450.756</w:t>
            </w:r>
          </w:p>
        </w:tc>
      </w:tr>
    </w:tbl>
    <w:p w14:paraId="464AAE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A07E5F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C0EC9E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A partir de los hechos señalados, la Sala considera que las operaciones desarrolladas por la actora durante el sexto (6º) bimestre del año gravable 2010 son servicios sujetos al impuesto sobre las ventas, que se concretaron en una obligación de hacer, pues está demostrado que la actora actuó </w:t>
      </w:r>
      <w:r w:rsidRPr="00ED47DA">
        <w:rPr>
          <w:rFonts w:eastAsia="Times New Roman" w:cs="Times New Roman"/>
          <w:szCs w:val="24"/>
          <w:lang w:val="es-CO" w:eastAsia="es-ES"/>
        </w:rPr>
        <w:lastRenderedPageBreak/>
        <w:t>como intermediaria entre operadores, tenderos y usuarios finales, en la comercialización de recargas en línea mediante el suministro de los recursos de que disponía, a cambio de una contraprestación.</w:t>
      </w:r>
    </w:p>
    <w:p w14:paraId="3E64056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E2FDE2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Finamente, en relación con el </w:t>
      </w:r>
      <w:proofErr w:type="gramStart"/>
      <w:r w:rsidRPr="00ED47DA">
        <w:rPr>
          <w:rFonts w:eastAsia="Times New Roman" w:cs="Times New Roman"/>
          <w:szCs w:val="24"/>
          <w:lang w:val="es-CO" w:eastAsia="es-ES"/>
        </w:rPr>
        <w:t>Oficio  DIAN</w:t>
      </w:r>
      <w:proofErr w:type="gramEnd"/>
      <w:r w:rsidRPr="00ED47DA">
        <w:rPr>
          <w:rFonts w:eastAsia="Times New Roman" w:cs="Times New Roman"/>
          <w:szCs w:val="24"/>
          <w:lang w:val="es-CO" w:eastAsia="es-ES"/>
        </w:rPr>
        <w:t xml:space="preserve"> 100202208-1598 de 2014, se advierte que es posterior a la actuación administrativa discutida. Además, la interpretación que del mismo hizo la contribuyente es contraria a la posición de la Sala.</w:t>
      </w:r>
    </w:p>
    <w:p w14:paraId="2D6ACF5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5A228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consecuencia, los cargos formulados en la demanda no están llamados a prosperar.</w:t>
      </w:r>
    </w:p>
    <w:p w14:paraId="68F40C4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58796C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Sanción por inexactitud - Reiteración Jurisprudencial</w:t>
      </w:r>
      <w:bookmarkStart w:id="19" w:name="_ftnref20"/>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"_ftn20"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[20]</w:t>
      </w:r>
      <w:r w:rsidRPr="00ED47DA">
        <w:rPr>
          <w:rFonts w:eastAsia="Times New Roman" w:cs="Times New Roman"/>
          <w:szCs w:val="24"/>
          <w:lang w:eastAsia="es-ES"/>
        </w:rPr>
        <w:fldChar w:fldCharType="end"/>
      </w:r>
      <w:bookmarkEnd w:id="19"/>
      <w:r w:rsidRPr="00ED47DA">
        <w:rPr>
          <w:rFonts w:eastAsia="Times New Roman" w:cs="Times New Roman"/>
          <w:szCs w:val="24"/>
          <w:lang w:val="es-CO" w:eastAsia="es-ES"/>
        </w:rPr>
        <w:t>.</w:t>
      </w:r>
    </w:p>
    <w:p w14:paraId="6DB0E0E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5B010C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w:t>
      </w:r>
      <w:hyperlink r:id="rId10" w:tooltip="Estatuto Tributario CETA" w:history="1">
        <w:r w:rsidRPr="00ED47DA">
          <w:rPr>
            <w:rFonts w:eastAsia="Times New Roman" w:cs="Times New Roman"/>
            <w:szCs w:val="24"/>
            <w:u w:val="single"/>
            <w:lang w:val="es-CO" w:eastAsia="es-ES"/>
          </w:rPr>
          <w:t>artículo 647</w:t>
        </w:r>
      </w:hyperlink>
      <w:r w:rsidRPr="00ED47DA">
        <w:rPr>
          <w:rFonts w:eastAsia="Times New Roman" w:cs="Times New Roman"/>
          <w:szCs w:val="24"/>
          <w:lang w:val="es-CO" w:eastAsia="es-ES"/>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14:paraId="3E7F56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62E707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este caso, en oposición a lo aducido por la actora, se considera que es procedente la sanción, porque en omitió ingresos gravados con el impuesto sobre las ventas, de los cuales se derivó un menor valor a pagar, lo que constituye inexactitud sancionable.</w:t>
      </w:r>
    </w:p>
    <w:p w14:paraId="2E9D51BC"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64555E3B"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Ahora bien, la Sala advierte que en desarrollo del artículo 29 de la Constitución, el artículo 282 de la Ley 1819 de 2016</w:t>
      </w:r>
      <w:bookmarkStart w:id="20" w:name="_ftnref21"/>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"_ftn21"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[21]</w:t>
      </w:r>
      <w:r w:rsidRPr="00ED47DA">
        <w:rPr>
          <w:rFonts w:eastAsia="Times New Roman" w:cs="Times New Roman"/>
          <w:szCs w:val="24"/>
          <w:lang w:val="es-CO" w:eastAsia="es-ES"/>
        </w:rPr>
        <w:fldChar w:fldCharType="end"/>
      </w:r>
      <w:bookmarkEnd w:id="20"/>
      <w:r w:rsidRPr="00ED47DA">
        <w:rPr>
          <w:rFonts w:eastAsia="Times New Roman" w:cs="Times New Roman"/>
          <w:szCs w:val="24"/>
          <w:lang w:val="es-CO" w:eastAsia="es-ES"/>
        </w:rPr>
        <w:t>, que modificó el </w:t>
      </w:r>
      <w:hyperlink r:id="rId11" w:tooltip="Estatuto Tributario CETA" w:history="1">
        <w:r w:rsidRPr="00ED47DA">
          <w:rPr>
            <w:rFonts w:eastAsia="Times New Roman" w:cs="Times New Roman"/>
            <w:szCs w:val="24"/>
            <w:u w:val="single"/>
            <w:lang w:val="es-CO" w:eastAsia="es-ES"/>
          </w:rPr>
          <w:t>artículo 640</w:t>
        </w:r>
      </w:hyperlink>
      <w:r w:rsidRPr="00ED47DA">
        <w:rPr>
          <w:rFonts w:eastAsia="Times New Roman" w:cs="Times New Roman"/>
          <w:szCs w:val="24"/>
          <w:lang w:val="es-CO" w:eastAsia="es-ES"/>
        </w:rPr>
        <w:t> del Estatuto Tributario, estableció en el parágrafo 5 que «</w:t>
      </w:r>
      <w:r w:rsidRPr="00ED47DA">
        <w:rPr>
          <w:rFonts w:eastAsia="Times New Roman" w:cs="Times New Roman"/>
          <w:i/>
          <w:iCs/>
          <w:szCs w:val="24"/>
          <w:lang w:val="es-CO" w:eastAsia="es-ES"/>
        </w:rPr>
        <w:t>el principio de favorabilidad aplicará para el régimen sancionatorio tributario, aun cuando la ley permisiva o favorable sea posterior».</w:t>
      </w:r>
    </w:p>
    <w:p w14:paraId="3A0CDB78"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1A4C62DD"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Al respecto, se observa que la sanción por inexactitud consagrada en el </w:t>
      </w:r>
      <w:hyperlink r:id="rId12" w:tooltip="Estatuto Tributario CETA" w:history="1">
        <w:r w:rsidRPr="00ED47DA">
          <w:rPr>
            <w:rFonts w:eastAsia="Times New Roman" w:cs="Times New Roman"/>
            <w:szCs w:val="24"/>
            <w:u w:val="single"/>
            <w:lang w:val="es-CO" w:eastAsia="es-ES"/>
          </w:rPr>
          <w:t>artículo 647</w:t>
        </w:r>
      </w:hyperlink>
      <w:r w:rsidRPr="00ED47DA">
        <w:rPr>
          <w:rFonts w:eastAsia="Times New Roman" w:cs="Times New Roman"/>
          <w:szCs w:val="24"/>
          <w:lang w:val="es-CO" w:eastAsia="es-ES"/>
        </w:rPr>
        <w:t> del Estatuto Tributario</w:t>
      </w:r>
      <w:bookmarkStart w:id="21" w:name="_ftnref2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"_ftn22"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[22]</w:t>
      </w:r>
      <w:r w:rsidRPr="00ED47DA">
        <w:rPr>
          <w:rFonts w:eastAsia="Times New Roman" w:cs="Times New Roman"/>
          <w:szCs w:val="24"/>
          <w:lang w:val="es-CO" w:eastAsia="es-ES"/>
        </w:rPr>
        <w:fldChar w:fldCharType="end"/>
      </w:r>
      <w:bookmarkEnd w:id="21"/>
      <w:r w:rsidRPr="00ED47DA">
        <w:rPr>
          <w:rFonts w:eastAsia="Times New Roman" w:cs="Times New Roman"/>
          <w:szCs w:val="24"/>
          <w:lang w:val="es-CO" w:eastAsia="es-ES"/>
        </w:rPr>
        <w:t>, fue modificada por la Ley 1819 de 2016</w:t>
      </w:r>
      <w:bookmarkStart w:id="22" w:name="_ftnref23"/>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"_ftn23"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[23]</w:t>
      </w:r>
      <w:r w:rsidRPr="00ED47DA">
        <w:rPr>
          <w:rFonts w:eastAsia="Times New Roman" w:cs="Times New Roman"/>
          <w:szCs w:val="24"/>
          <w:lang w:val="es-CO" w:eastAsia="es-ES"/>
        </w:rPr>
        <w:fldChar w:fldCharType="end"/>
      </w:r>
      <w:bookmarkEnd w:id="22"/>
      <w:r w:rsidRPr="00ED47DA">
        <w:rPr>
          <w:rFonts w:eastAsia="Times New Roman" w:cs="Times New Roman"/>
          <w:szCs w:val="24"/>
          <w:lang w:val="es-CO" w:eastAsia="es-ES"/>
        </w:rPr>
        <w:t>, al establecer una sanción más favorable, en tanto disminuyó el valor del 160% -establecido en la legislación anterior- al 100% de la diferencia entre el saldo a pagar o saldo a favor determinado en las liquidaciones oficiales y el declarado por el contribuyente.</w:t>
      </w:r>
    </w:p>
    <w:p w14:paraId="7F796AB5"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6FFFAB52"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En consideración a lo anterior, la Sala dará aplicación al principio de favorabilidad y establecerá el valor de la sanción por inexactitud en el 100% y no el 160% impuesto en los actos demandados, por lo cual practicará una nueva liquidación del impuesto sobre las ventas del 6º bimestre del año gravable 2010, la cual quedará así:</w:t>
      </w:r>
    </w:p>
    <w:p w14:paraId="3E5C558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2967"/>
        <w:gridCol w:w="1807"/>
        <w:gridCol w:w="1460"/>
        <w:gridCol w:w="1514"/>
      </w:tblGrid>
      <w:tr w:rsidR="00ED47DA" w:rsidRPr="00ED47DA" w14:paraId="51E7D69A" w14:textId="77777777" w:rsidTr="00ED47DA">
        <w:trPr>
          <w:trHeight w:val="300"/>
          <w:jc w:val="center"/>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14:paraId="77494BA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IVA SEXTO (6º) BIMESTRE - AÑO 2010</w:t>
            </w:r>
          </w:p>
        </w:tc>
      </w:tr>
      <w:tr w:rsidR="00ED47DA" w:rsidRPr="00ED47DA" w14:paraId="7558DAFF"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620ADE2"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CONCEPTO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EBB8C1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LIQ. PRIVADA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F967A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L.O.R.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096448" w14:textId="77777777" w:rsidR="00ED47DA" w:rsidRPr="00ED47DA" w:rsidRDefault="00ED47DA" w:rsidP="00ED47DA">
            <w:pPr>
              <w:spacing w:line="240" w:lineRule="auto"/>
              <w:jc w:val="center"/>
              <w:rPr>
                <w:rFonts w:eastAsia="Times New Roman" w:cs="Times New Roman"/>
                <w:szCs w:val="24"/>
                <w:lang w:eastAsia="es-ES"/>
              </w:rPr>
            </w:pPr>
            <w:proofErr w:type="gramStart"/>
            <w:r w:rsidRPr="00ED47DA">
              <w:rPr>
                <w:rFonts w:eastAsia="Times New Roman" w:cs="Times New Roman"/>
                <w:b/>
                <w:bCs/>
                <w:szCs w:val="24"/>
                <w:lang w:val="es-CO" w:eastAsia="es-ES"/>
              </w:rPr>
              <w:t>LIQ  C</w:t>
            </w:r>
            <w:proofErr w:type="gramEnd"/>
            <w:r w:rsidRPr="00ED47DA">
              <w:rPr>
                <w:rFonts w:eastAsia="Times New Roman" w:cs="Times New Roman"/>
                <w:b/>
                <w:bCs/>
                <w:szCs w:val="24"/>
                <w:lang w:val="es-CO" w:eastAsia="es-ES"/>
              </w:rPr>
              <w:t>  de E.</w:t>
            </w:r>
          </w:p>
        </w:tc>
      </w:tr>
      <w:tr w:rsidR="00ED47DA" w:rsidRPr="00ED47DA" w14:paraId="24294541"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CD6555B"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impuesto generado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595737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7BED0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4214E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581FC332"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E529156"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impuestos descontables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9E73B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C9D8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890F6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24F9F919"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902F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período fiscal</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77C2A2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16916E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7A0200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0B3B777F"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4D6094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por impuesto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2EB06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43311F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4474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29CFBB7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63F44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C9F9AB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FF448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$240.061.000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8F4FE6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$150.390.000</w:t>
            </w:r>
          </w:p>
        </w:tc>
      </w:tr>
      <w:tr w:rsidR="00ED47DA" w:rsidRPr="00ED47DA" w14:paraId="4F1E7AE1"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1568D42"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saldo a pagar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75E11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548E71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$389.512.000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D6AFA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$299.841.000</w:t>
            </w:r>
          </w:p>
        </w:tc>
      </w:tr>
    </w:tbl>
    <w:p w14:paraId="5F5CED5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0B0925A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4199"/>
        <w:gridCol w:w="1460"/>
        <w:gridCol w:w="1460"/>
      </w:tblGrid>
      <w:tr w:rsidR="00ED47DA" w:rsidRPr="00ED47DA" w14:paraId="748607D9" w14:textId="77777777" w:rsidTr="00ED47DA">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14:paraId="78F545D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SANCIÓN POR INEXACTITUD</w:t>
            </w:r>
          </w:p>
        </w:tc>
      </w:tr>
      <w:tr w:rsidR="00ED47DA" w:rsidRPr="00ED47DA" w14:paraId="679E5ED8"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4E804A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declarado por contribuyente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070E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DCAC96D" w14:textId="77777777" w:rsidR="00ED47DA" w:rsidRPr="00ED47DA" w:rsidRDefault="00ED47DA" w:rsidP="00ED47DA">
            <w:pPr>
              <w:spacing w:line="240" w:lineRule="auto"/>
              <w:jc w:val="left"/>
              <w:rPr>
                <w:rFonts w:eastAsia="Times New Roman" w:cs="Times New Roman"/>
                <w:szCs w:val="24"/>
                <w:lang w:eastAsia="es-ES"/>
              </w:rPr>
            </w:pPr>
          </w:p>
        </w:tc>
      </w:tr>
      <w:tr w:rsidR="00ED47DA" w:rsidRPr="00ED47DA" w14:paraId="507EA93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A9753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C de 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0366C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8B7E72" w14:textId="77777777" w:rsidR="00ED47DA" w:rsidRPr="00ED47DA" w:rsidRDefault="00ED47DA" w:rsidP="00ED47DA">
            <w:pPr>
              <w:spacing w:line="240" w:lineRule="auto"/>
              <w:jc w:val="left"/>
              <w:rPr>
                <w:rFonts w:eastAsia="Times New Roman" w:cs="Times New Roman"/>
                <w:szCs w:val="24"/>
                <w:lang w:eastAsia="es-ES"/>
              </w:rPr>
            </w:pPr>
          </w:p>
        </w:tc>
      </w:tr>
      <w:tr w:rsidR="00ED47DA" w:rsidRPr="00ED47DA" w14:paraId="082BFD5C"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2D851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Base de la 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B584183"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D61D3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06D614DB"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A36A3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Tarifa</w:t>
            </w:r>
            <w:proofErr w:type="gramStart"/>
            <w:r w:rsidRPr="00ED47DA">
              <w:rPr>
                <w:rFonts w:eastAsia="Times New Roman" w:cs="Times New Roman"/>
                <w:szCs w:val="24"/>
                <w:lang w:val="es-CO" w:eastAsia="es-ES"/>
              </w:rPr>
              <w:t>:  (</w:t>
            </w:r>
            <w:proofErr w:type="gramEnd"/>
            <w:r w:rsidRPr="00ED47DA">
              <w:rPr>
                <w:rFonts w:eastAsia="Times New Roman" w:cs="Times New Roman"/>
                <w:szCs w:val="24"/>
                <w:lang w:val="es-CO" w:eastAsia="es-ES"/>
              </w:rPr>
              <w:t>E.T. artículos 640 y 648)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2FB2BB"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2E85A1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100%</w:t>
            </w:r>
          </w:p>
        </w:tc>
      </w:tr>
      <w:tr w:rsidR="00ED47DA" w:rsidRPr="00ED47DA" w14:paraId="4056B0D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DEAD4D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4F55B83"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3C464A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4B692BFE"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8C9FA5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Sanción declarada por contribuyente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795F98E"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F93928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r>
      <w:tr w:rsidR="00ED47DA" w:rsidRPr="00ED47DA" w14:paraId="01C6ACDC"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CC99F25"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DEB092F"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CC398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$150.390.000</w:t>
            </w:r>
          </w:p>
        </w:tc>
      </w:tr>
    </w:tbl>
    <w:p w14:paraId="3DE220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t> </w:t>
      </w:r>
    </w:p>
    <w:p w14:paraId="270E713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01B10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Por las razones expuestas, la Sala revocará la sentencia apelada, para aplicar el principio de favorabilidad en la liquidación de la sanción por inexactitud.</w:t>
      </w:r>
    </w:p>
    <w:p w14:paraId="595C46D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4169F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Finalmente, frente a las costas (agencias en derecho y gastos del proceso), con fundamento en los artículos 188 del Código de Procedimiento Administrativo y de lo Contencioso Administrativo y 365 del Código General del Proceso</w:t>
      </w:r>
      <w:bookmarkStart w:id="23" w:name="_ftnref24"/>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"_ftn24"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[24]</w:t>
      </w:r>
      <w:r w:rsidRPr="00ED47DA">
        <w:rPr>
          <w:rFonts w:eastAsia="Times New Roman" w:cs="Times New Roman"/>
          <w:szCs w:val="24"/>
          <w:lang w:val="es-CO" w:eastAsia="es-ES"/>
        </w:rPr>
        <w:fldChar w:fldCharType="end"/>
      </w:r>
      <w:bookmarkEnd w:id="23"/>
      <w:r w:rsidRPr="00ED47DA">
        <w:rPr>
          <w:rFonts w:eastAsia="Times New Roman" w:cs="Times New Roman"/>
          <w:szCs w:val="24"/>
          <w:lang w:val="es-CO" w:eastAsia="es-ES"/>
        </w:rPr>
        <w:t>, la Sala no condenará en costas en esta instancia, comoquiera que no se encuentran probadas en el proceso.</w:t>
      </w:r>
    </w:p>
    <w:p w14:paraId="32FA01C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C220D8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mérito de lo expuesto, el Consejo de Estado, Sala de lo Contencioso Administrativo, Sección Cuarta, administrando justicia en nombre de la República y por autoridad de la ley,</w:t>
      </w:r>
    </w:p>
    <w:p w14:paraId="016DA14E" w14:textId="77777777" w:rsidR="00ED47DA" w:rsidRPr="00ED47DA" w:rsidRDefault="00ED47DA" w:rsidP="00ED47DA">
      <w:pPr>
        <w:spacing w:line="240" w:lineRule="auto"/>
        <w:jc w:val="center"/>
        <w:rPr>
          <w:rFonts w:eastAsia="Times New Roman" w:cs="Times New Roman"/>
          <w:szCs w:val="24"/>
          <w:lang w:eastAsia="es-ES"/>
        </w:rPr>
      </w:pPr>
      <w:bookmarkStart w:id="24" w:name="143"/>
      <w:bookmarkEnd w:id="24"/>
      <w:r w:rsidRPr="00ED47DA">
        <w:rPr>
          <w:rFonts w:eastAsia="Times New Roman" w:cs="Times New Roman"/>
          <w:szCs w:val="24"/>
          <w:lang w:eastAsia="es-ES"/>
        </w:rPr>
        <w:t> </w:t>
      </w:r>
    </w:p>
    <w:p w14:paraId="65D1D5B8"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FALLA</w:t>
      </w:r>
    </w:p>
    <w:p w14:paraId="3E00F06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51273D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1. REVOCAR </w:t>
      </w:r>
      <w:r w:rsidRPr="00ED47DA">
        <w:rPr>
          <w:rFonts w:eastAsia="Times New Roman" w:cs="Times New Roman"/>
          <w:szCs w:val="24"/>
          <w:lang w:val="es-CO" w:eastAsia="es-ES"/>
        </w:rPr>
        <w:t>la sentencia del 8 de junio de 2017, proferida por el Tribunal Administrativo de Cundinamarca, Sección Cuarta, Subsección «B». En su lugar, se dispone:</w:t>
      </w:r>
    </w:p>
    <w:p w14:paraId="6FF28DDD"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szCs w:val="24"/>
          <w:lang w:eastAsia="es-ES"/>
        </w:rPr>
        <w:t> </w:t>
      </w:r>
    </w:p>
    <w:p w14:paraId="47394F2C"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b/>
          <w:bCs/>
          <w:i/>
          <w:iCs/>
          <w:szCs w:val="24"/>
          <w:lang w:val="es-CO" w:eastAsia="es-ES"/>
        </w:rPr>
        <w:t>1) ANULAR </w:t>
      </w:r>
      <w:r w:rsidRPr="00ED47DA">
        <w:rPr>
          <w:rFonts w:eastAsia="Times New Roman" w:cs="Times New Roman"/>
          <w:i/>
          <w:iCs/>
          <w:szCs w:val="24"/>
          <w:lang w:val="es-CO" w:eastAsia="es-ES"/>
        </w:rPr>
        <w:t>la Liquidación Oficial de Revisión 322412013000434 del 19 de septiembre de 2013 expedida por la División de Gestión de Liquidación de la Dirección Seccional de Impuestos de Bogotá, y su confirmatoria, la Resolución 900.289 del 15 de septiembre de 2014 expedida de la Subdirección de Gestión de Recursos Jurídicos de la Dirección de Gestión Jurídica de la DIAN.</w:t>
      </w:r>
    </w:p>
    <w:p w14:paraId="7C9F166F"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2) A título de restablecimiento del derecho, determinar el total saldo a pagar a cargo de la Sociedad POINTPAY COLOMBIA S.A.S. por el impuesto sobre las ventas del sexto (6º) bimestre del año gravable 2010, en la suma de DOSCIENTOS NOVENTA Y NUEVE MILLONES OCHOCIENTOS CUARENTA Y UN MIL PESOS M/CTE ($299.841.000), de conformidad con la liquidación contenida en la parte motiva de esta providencia.</w:t>
      </w:r>
    </w:p>
    <w:p w14:paraId="7E2C9D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95D2B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2.</w:t>
      </w:r>
      <w:r w:rsidRPr="00ED47DA">
        <w:rPr>
          <w:rFonts w:eastAsia="Times New Roman" w:cs="Times New Roman"/>
          <w:szCs w:val="24"/>
          <w:lang w:val="es-CO" w:eastAsia="es-ES"/>
        </w:rPr>
        <w:t> Sin condena en costas en esta instancia.</w:t>
      </w:r>
    </w:p>
    <w:p w14:paraId="5EC0649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5E070C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Cópiese, notifíquese, comuníquese y devuélvase el expediente al Tribunal de origen y cúmplase.</w:t>
      </w:r>
    </w:p>
    <w:p w14:paraId="5E52DC9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BE5F22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presente providencia se aprobó en la sesión de la fecha.</w:t>
      </w:r>
    </w:p>
    <w:p w14:paraId="2F86FBA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8715F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05C566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JULIO ROBERTO PIZA RODRÍGUEZ</w:t>
      </w:r>
    </w:p>
    <w:p w14:paraId="516C65B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Presidente de la Sección</w:t>
      </w:r>
    </w:p>
    <w:p w14:paraId="468720A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8FD8F1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26699E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STELLA JEANNETTE CARVAJAL BASTO</w:t>
      </w:r>
    </w:p>
    <w:p w14:paraId="752B10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169A5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E2B685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MILTON CHAVES GARCÍA</w:t>
      </w:r>
    </w:p>
    <w:p w14:paraId="724F046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C680C9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EB74FA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 xml:space="preserve">JORGE OCTAVIO RAMÍREZ </w:t>
      </w:r>
      <w:proofErr w:type="spellStart"/>
      <w:r w:rsidRPr="00ED47DA">
        <w:rPr>
          <w:rFonts w:eastAsia="Times New Roman" w:cs="Times New Roman"/>
          <w:b/>
          <w:bCs/>
          <w:szCs w:val="24"/>
          <w:lang w:val="es-CO" w:eastAsia="es-ES"/>
        </w:rPr>
        <w:t>RAMÍREZ</w:t>
      </w:r>
      <w:proofErr w:type="spellEnd"/>
    </w:p>
    <w:p w14:paraId="797865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br w:type="textWrapping" w:clear="all"/>
      </w:r>
    </w:p>
    <w:p w14:paraId="1AD629A9" w14:textId="77777777" w:rsidR="00ED47DA" w:rsidRPr="00ED47DA" w:rsidRDefault="00FC2B2E" w:rsidP="00ED47DA">
      <w:pPr>
        <w:spacing w:line="240" w:lineRule="auto"/>
        <w:rPr>
          <w:rFonts w:eastAsia="Times New Roman" w:cs="Times New Roman"/>
          <w:szCs w:val="24"/>
          <w:lang w:eastAsia="es-ES"/>
        </w:rPr>
      </w:pPr>
      <w:r>
        <w:rPr>
          <w:rFonts w:eastAsia="Times New Roman" w:cs="Times New Roman"/>
          <w:szCs w:val="24"/>
          <w:lang w:eastAsia="es-ES"/>
        </w:rPr>
        <w:pict w14:anchorId="01E21A11">
          <v:rect id="_x0000_i1025" style="width:145.85pt;height:.6pt" o:hrpct="330" o:hrstd="t" o:hr="t" fillcolor="#a0a0a0" stroked="f"/>
        </w:pict>
      </w:r>
    </w:p>
    <w:bookmarkStart w:id="25" w:name="_ftn1"/>
    <w:p w14:paraId="2508EFC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w:t>
      </w:r>
      <w:r w:rsidRPr="00ED47DA">
        <w:rPr>
          <w:rFonts w:eastAsia="Times New Roman" w:cs="Times New Roman"/>
          <w:szCs w:val="24"/>
          <w:lang w:eastAsia="es-ES"/>
        </w:rPr>
        <w:fldChar w:fldCharType="end"/>
      </w:r>
      <w:bookmarkEnd w:id="25"/>
      <w:r w:rsidRPr="00ED47DA">
        <w:rPr>
          <w:rFonts w:eastAsia="Times New Roman" w:cs="Times New Roman"/>
          <w:szCs w:val="24"/>
          <w:lang w:val="es-CO" w:eastAsia="es-ES"/>
        </w:rPr>
        <w:t> Entre las actividades del objeto social de la sociedad se encuentra «</w:t>
      </w:r>
      <w:r w:rsidRPr="00ED47DA">
        <w:rPr>
          <w:rFonts w:eastAsia="Times New Roman" w:cs="Times New Roman"/>
          <w:i/>
          <w:iCs/>
          <w:szCs w:val="24"/>
          <w:lang w:val="es-CO" w:eastAsia="es-ES"/>
        </w:rPr>
        <w:t>D) LA COMPRAVENTA Y COMERCIALIZACIÓN DE PRODUCTOS DE TELECOMUNICACIONES (RECARGAS, SMS, PINES, ETC), ASÍ COMO DE CUALQUIER PRODUCTO QUE SE PUEDA COMERCIALIZAR VÍA ELECTRÓNICA, HACIENDO USO DE LOS DIFERENTES MEDIOS TECNOLÓGICOS UTILIZADOS POR LA COMPAÑÍA PARA ESTE FIN</w:t>
      </w:r>
      <w:r w:rsidRPr="00ED47DA">
        <w:rPr>
          <w:rFonts w:eastAsia="Times New Roman" w:cs="Times New Roman"/>
          <w:szCs w:val="24"/>
          <w:lang w:val="es-CO" w:eastAsia="es-ES"/>
        </w:rPr>
        <w:t xml:space="preserve">».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 a 12 del </w:t>
      </w:r>
      <w:proofErr w:type="spellStart"/>
      <w:r w:rsidRPr="00ED47DA">
        <w:rPr>
          <w:rFonts w:eastAsia="Times New Roman" w:cs="Times New Roman"/>
          <w:szCs w:val="24"/>
          <w:lang w:val="es-CO" w:eastAsia="es-ES"/>
        </w:rPr>
        <w:t>c.a.</w:t>
      </w:r>
      <w:proofErr w:type="spellEnd"/>
    </w:p>
    <w:p w14:paraId="62E314F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6" w:name="_ftn2"/>
    <w:p w14:paraId="3CA7E44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w:t>
      </w:r>
      <w:r w:rsidRPr="00ED47DA">
        <w:rPr>
          <w:rFonts w:eastAsia="Times New Roman" w:cs="Times New Roman"/>
          <w:szCs w:val="24"/>
          <w:lang w:eastAsia="es-ES"/>
        </w:rPr>
        <w:fldChar w:fldCharType="end"/>
      </w:r>
      <w:bookmarkEnd w:id="26"/>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w:t>
      </w:r>
      <w:proofErr w:type="spellEnd"/>
      <w:r w:rsidRPr="00ED47DA">
        <w:rPr>
          <w:rFonts w:eastAsia="Times New Roman" w:cs="Times New Roman"/>
          <w:szCs w:val="24"/>
          <w:lang w:val="es-CO" w:eastAsia="es-ES"/>
        </w:rPr>
        <w:t xml:space="preserve">. 13 del </w:t>
      </w:r>
      <w:proofErr w:type="spellStart"/>
      <w:r w:rsidRPr="00ED47DA">
        <w:rPr>
          <w:rFonts w:eastAsia="Times New Roman" w:cs="Times New Roman"/>
          <w:szCs w:val="24"/>
          <w:lang w:val="es-CO" w:eastAsia="es-ES"/>
        </w:rPr>
        <w:t>c.a.</w:t>
      </w:r>
      <w:proofErr w:type="spellEnd"/>
    </w:p>
    <w:p w14:paraId="0FED598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7" w:name="_ftn3"/>
    <w:p w14:paraId="1F8F57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"_ftnref3"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[3]</w:t>
      </w:r>
      <w:r w:rsidRPr="00ED47DA">
        <w:rPr>
          <w:rFonts w:eastAsia="Times New Roman" w:cs="Times New Roman"/>
          <w:szCs w:val="24"/>
          <w:lang w:eastAsia="es-ES"/>
        </w:rPr>
        <w:fldChar w:fldCharType="end"/>
      </w:r>
      <w:bookmarkEnd w:id="27"/>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w:t>
      </w:r>
      <w:proofErr w:type="spellEnd"/>
      <w:r w:rsidRPr="00ED47DA">
        <w:rPr>
          <w:rFonts w:eastAsia="Times New Roman" w:cs="Times New Roman"/>
          <w:szCs w:val="24"/>
          <w:lang w:val="es-CO" w:eastAsia="es-ES"/>
        </w:rPr>
        <w:t xml:space="preserve">. 1302 del </w:t>
      </w:r>
      <w:proofErr w:type="spellStart"/>
      <w:r w:rsidRPr="00ED47DA">
        <w:rPr>
          <w:rFonts w:eastAsia="Times New Roman" w:cs="Times New Roman"/>
          <w:szCs w:val="24"/>
          <w:lang w:val="es-CO" w:eastAsia="es-ES"/>
        </w:rPr>
        <w:t>c.a.</w:t>
      </w:r>
      <w:proofErr w:type="spellEnd"/>
    </w:p>
    <w:p w14:paraId="592DAD9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t> </w:t>
      </w:r>
    </w:p>
    <w:bookmarkStart w:id="28" w:name="_ftn4"/>
    <w:p w14:paraId="4869490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"_ftnref4"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[4]</w:t>
      </w:r>
      <w:r w:rsidRPr="00ED47DA">
        <w:rPr>
          <w:rFonts w:eastAsia="Times New Roman" w:cs="Times New Roman"/>
          <w:szCs w:val="24"/>
          <w:lang w:eastAsia="es-ES"/>
        </w:rPr>
        <w:fldChar w:fldCharType="end"/>
      </w:r>
      <w:bookmarkEnd w:id="28"/>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1310 a 1326 del </w:t>
      </w:r>
      <w:proofErr w:type="spellStart"/>
      <w:r w:rsidRPr="00ED47DA">
        <w:rPr>
          <w:rFonts w:eastAsia="Times New Roman" w:cs="Times New Roman"/>
          <w:szCs w:val="24"/>
          <w:lang w:val="es-CO" w:eastAsia="es-ES"/>
        </w:rPr>
        <w:t>c.a.</w:t>
      </w:r>
      <w:proofErr w:type="spellEnd"/>
    </w:p>
    <w:p w14:paraId="0A2477B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9" w:name="_ftn5"/>
    <w:p w14:paraId="3410F12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"_ftnref5"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[5]</w:t>
      </w:r>
      <w:r w:rsidRPr="00ED47DA">
        <w:rPr>
          <w:rFonts w:eastAsia="Times New Roman" w:cs="Times New Roman"/>
          <w:szCs w:val="24"/>
          <w:lang w:eastAsia="es-ES"/>
        </w:rPr>
        <w:fldChar w:fldCharType="end"/>
      </w:r>
      <w:bookmarkEnd w:id="29"/>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1381 a</w:t>
      </w:r>
    </w:p>
    <w:p w14:paraId="0900714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0" w:name="_ftn6"/>
    <w:p w14:paraId="7106CA9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"_ftnref6"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[6]</w:t>
      </w:r>
      <w:r w:rsidRPr="00ED47DA">
        <w:rPr>
          <w:rFonts w:eastAsia="Times New Roman" w:cs="Times New Roman"/>
          <w:szCs w:val="24"/>
          <w:lang w:eastAsia="es-ES"/>
        </w:rPr>
        <w:fldChar w:fldCharType="end"/>
      </w:r>
      <w:bookmarkEnd w:id="30"/>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1403 a 1423 del </w:t>
      </w:r>
      <w:proofErr w:type="spellStart"/>
      <w:r w:rsidRPr="00ED47DA">
        <w:rPr>
          <w:rFonts w:eastAsia="Times New Roman" w:cs="Times New Roman"/>
          <w:szCs w:val="24"/>
          <w:lang w:val="es-CO" w:eastAsia="es-ES"/>
        </w:rPr>
        <w:t>c.a.</w:t>
      </w:r>
      <w:proofErr w:type="spellEnd"/>
    </w:p>
    <w:p w14:paraId="2C980C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1" w:name="_ftn7"/>
    <w:p w14:paraId="60143E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"_ftnref7"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[7]</w:t>
      </w:r>
      <w:r w:rsidRPr="00ED47DA">
        <w:rPr>
          <w:rFonts w:eastAsia="Times New Roman" w:cs="Times New Roman"/>
          <w:szCs w:val="24"/>
          <w:lang w:eastAsia="es-ES"/>
        </w:rPr>
        <w:fldChar w:fldCharType="end"/>
      </w:r>
      <w:bookmarkEnd w:id="31"/>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1432 a 1444 del </w:t>
      </w:r>
      <w:proofErr w:type="spellStart"/>
      <w:r w:rsidRPr="00ED47DA">
        <w:rPr>
          <w:rFonts w:eastAsia="Times New Roman" w:cs="Times New Roman"/>
          <w:szCs w:val="24"/>
          <w:lang w:val="es-CO" w:eastAsia="es-ES"/>
        </w:rPr>
        <w:t>c.a.</w:t>
      </w:r>
      <w:proofErr w:type="spellEnd"/>
    </w:p>
    <w:p w14:paraId="03B60DE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2" w:name="_ftn8"/>
    <w:p w14:paraId="7A41201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"_ftnref8"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[8]</w:t>
      </w:r>
      <w:r w:rsidRPr="00ED47DA">
        <w:rPr>
          <w:rFonts w:eastAsia="Times New Roman" w:cs="Times New Roman"/>
          <w:szCs w:val="24"/>
          <w:lang w:eastAsia="es-ES"/>
        </w:rPr>
        <w:fldChar w:fldCharType="end"/>
      </w:r>
      <w:bookmarkEnd w:id="32"/>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172 a 178 del </w:t>
      </w:r>
      <w:proofErr w:type="spellStart"/>
      <w:r w:rsidRPr="00ED47DA">
        <w:rPr>
          <w:rFonts w:eastAsia="Times New Roman" w:cs="Times New Roman"/>
          <w:szCs w:val="24"/>
          <w:lang w:val="es-CO" w:eastAsia="es-ES"/>
        </w:rPr>
        <w:t>c.p.</w:t>
      </w:r>
      <w:proofErr w:type="spellEnd"/>
    </w:p>
    <w:p w14:paraId="2F7877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3" w:name="_ftn9"/>
    <w:p w14:paraId="3B7D35F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"_ftnref9"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[9]</w:t>
      </w:r>
      <w:r w:rsidRPr="00ED47DA">
        <w:rPr>
          <w:rFonts w:eastAsia="Times New Roman" w:cs="Times New Roman"/>
          <w:szCs w:val="24"/>
          <w:lang w:eastAsia="es-ES"/>
        </w:rPr>
        <w:fldChar w:fldCharType="end"/>
      </w:r>
      <w:bookmarkEnd w:id="33"/>
      <w:r w:rsidRPr="00ED47DA">
        <w:rPr>
          <w:rFonts w:eastAsia="Times New Roman" w:cs="Times New Roman"/>
          <w:szCs w:val="24"/>
          <w:lang w:val="es-CO" w:eastAsia="es-ES"/>
        </w:rPr>
        <w:t> Sentencias del 21 de febrero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22510</w:t>
      </w:r>
      <w:r w:rsidRPr="00ED47DA">
        <w:rPr>
          <w:rFonts w:eastAsia="Times New Roman" w:cs="Times New Roman"/>
          <w:szCs w:val="24"/>
          <w:lang w:val="es-CO" w:eastAsia="es-ES"/>
        </w:rPr>
        <w:t xml:space="preserve">, C.P. Jorge Octavio Ramírez </w:t>
      </w:r>
      <w:proofErr w:type="spellStart"/>
      <w:r w:rsidRPr="00ED47DA">
        <w:rPr>
          <w:rFonts w:eastAsia="Times New Roman" w:cs="Times New Roman"/>
          <w:szCs w:val="24"/>
          <w:lang w:val="es-CO" w:eastAsia="es-ES"/>
        </w:rPr>
        <w:t>Ramírez</w:t>
      </w:r>
      <w:proofErr w:type="spellEnd"/>
      <w:r w:rsidRPr="00ED47DA">
        <w:rPr>
          <w:rFonts w:eastAsia="Times New Roman" w:cs="Times New Roman"/>
          <w:szCs w:val="24"/>
          <w:lang w:val="es-CO" w:eastAsia="es-ES"/>
        </w:rPr>
        <w:t>, y del 2 de mayo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22346</w:t>
      </w:r>
      <w:r w:rsidRPr="00ED47DA">
        <w:rPr>
          <w:rFonts w:eastAsia="Times New Roman" w:cs="Times New Roman"/>
          <w:szCs w:val="24"/>
          <w:lang w:val="es-CO" w:eastAsia="es-ES"/>
        </w:rPr>
        <w:t>, C.P. Stella Jeannette Carvajal Basto, entre otras.</w:t>
      </w:r>
    </w:p>
    <w:p w14:paraId="4D8C67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4" w:name="_ftn10"/>
    <w:p w14:paraId="1E593BA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"_ftnref10"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[10]</w:t>
      </w:r>
      <w:r w:rsidRPr="00ED47DA">
        <w:rPr>
          <w:rFonts w:eastAsia="Times New Roman" w:cs="Times New Roman"/>
          <w:szCs w:val="24"/>
          <w:lang w:eastAsia="es-ES"/>
        </w:rPr>
        <w:fldChar w:fldCharType="end"/>
      </w:r>
      <w:bookmarkEnd w:id="34"/>
      <w:r w:rsidRPr="00ED47DA">
        <w:rPr>
          <w:rFonts w:eastAsia="Times New Roman" w:cs="Times New Roman"/>
          <w:szCs w:val="24"/>
          <w:lang w:val="es-CO" w:eastAsia="es-ES"/>
        </w:rPr>
        <w:t> Artículo 1, Decreto 1372 de 1992.</w:t>
      </w:r>
    </w:p>
    <w:p w14:paraId="605253C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5" w:name="_ftn11"/>
    <w:p w14:paraId="5164D8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[11]</w:t>
      </w:r>
      <w:r w:rsidRPr="00ED47DA">
        <w:rPr>
          <w:rFonts w:eastAsia="Times New Roman" w:cs="Times New Roman"/>
          <w:szCs w:val="24"/>
          <w:lang w:eastAsia="es-ES"/>
        </w:rPr>
        <w:fldChar w:fldCharType="end"/>
      </w:r>
      <w:bookmarkEnd w:id="35"/>
      <w:r w:rsidRPr="00ED47DA">
        <w:rPr>
          <w:rFonts w:eastAsia="Times New Roman" w:cs="Times New Roman"/>
          <w:szCs w:val="24"/>
          <w:lang w:val="es-CO" w:eastAsia="es-ES"/>
        </w:rPr>
        <w:t> Según el diccionario de la Real Academia Española, intermediar significa: Dicho de un proveedor, de un tendero, etc.: Que median entre dos o más personas, y especialmente entre el productor y el consumidor de géneros o mercancías.</w:t>
      </w:r>
    </w:p>
    <w:p w14:paraId="24D387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6" w:name="_ftn12"/>
    <w:p w14:paraId="620A34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"_ftnref12"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[12]</w:t>
      </w:r>
      <w:r w:rsidRPr="00ED47DA">
        <w:rPr>
          <w:rFonts w:eastAsia="Times New Roman" w:cs="Times New Roman"/>
          <w:szCs w:val="24"/>
          <w:lang w:eastAsia="es-ES"/>
        </w:rPr>
        <w:fldChar w:fldCharType="end"/>
      </w:r>
      <w:bookmarkEnd w:id="36"/>
      <w:r w:rsidRPr="00ED47DA">
        <w:rPr>
          <w:rFonts w:eastAsia="Times New Roman" w:cs="Times New Roman"/>
          <w:szCs w:val="24"/>
          <w:lang w:val="es-CO" w:eastAsia="es-ES"/>
        </w:rPr>
        <w:t> Sentencia del 2 de mayo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22346</w:t>
      </w:r>
      <w:r w:rsidRPr="00ED47DA">
        <w:rPr>
          <w:rFonts w:eastAsia="Times New Roman" w:cs="Times New Roman"/>
          <w:szCs w:val="24"/>
          <w:lang w:val="es-CO" w:eastAsia="es-ES"/>
        </w:rPr>
        <w:t>, C.P. Stella Jeannette Carvajal Basto. En igual sentido se pronunció la Sala en sentencia del 15 de noviembre de 2017,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19591</w:t>
      </w:r>
      <w:r w:rsidRPr="00ED47DA">
        <w:rPr>
          <w:rFonts w:eastAsia="Times New Roman" w:cs="Times New Roman"/>
          <w:szCs w:val="24"/>
          <w:lang w:val="es-CO" w:eastAsia="es-ES"/>
        </w:rPr>
        <w:t xml:space="preserve">, C.P. Jorge Octavio Ramírez </w:t>
      </w:r>
      <w:proofErr w:type="spellStart"/>
      <w:r w:rsidRPr="00ED47DA">
        <w:rPr>
          <w:rFonts w:eastAsia="Times New Roman" w:cs="Times New Roman"/>
          <w:szCs w:val="24"/>
          <w:lang w:val="es-CO" w:eastAsia="es-ES"/>
        </w:rPr>
        <w:t>Ramírez</w:t>
      </w:r>
      <w:proofErr w:type="spellEnd"/>
      <w:r w:rsidRPr="00ED47DA">
        <w:rPr>
          <w:rFonts w:eastAsia="Times New Roman" w:cs="Times New Roman"/>
          <w:szCs w:val="24"/>
          <w:lang w:val="es-CO" w:eastAsia="es-ES"/>
        </w:rPr>
        <w:t>.</w:t>
      </w:r>
    </w:p>
    <w:p w14:paraId="3C9479D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7" w:name="_ftn13"/>
    <w:p w14:paraId="2713EE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"_ftnref13"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[13]</w:t>
      </w:r>
      <w:r w:rsidRPr="00ED47DA">
        <w:rPr>
          <w:rFonts w:eastAsia="Times New Roman" w:cs="Times New Roman"/>
          <w:szCs w:val="24"/>
          <w:lang w:eastAsia="es-ES"/>
        </w:rPr>
        <w:fldChar w:fldCharType="end"/>
      </w:r>
      <w:bookmarkEnd w:id="37"/>
      <w:r w:rsidRPr="00ED47DA">
        <w:rPr>
          <w:rFonts w:eastAsia="Times New Roman" w:cs="Times New Roman"/>
          <w:szCs w:val="24"/>
          <w:lang w:val="es-CO" w:eastAsia="es-ES"/>
        </w:rPr>
        <w:t> </w:t>
      </w:r>
      <w:bookmarkStart w:id="38" w:name="30j0zll"/>
      <w:bookmarkEnd w:id="38"/>
      <w:r w:rsidRPr="00ED47DA">
        <w:rPr>
          <w:rFonts w:eastAsia="Times New Roman" w:cs="Times New Roman"/>
          <w:b/>
          <w:bCs/>
          <w:szCs w:val="24"/>
          <w:lang w:val="es-CO" w:eastAsia="es-ES"/>
        </w:rPr>
        <w:t>L. 1607/2012. «</w:t>
      </w:r>
      <w:r w:rsidRPr="00ED47DA">
        <w:rPr>
          <w:rFonts w:eastAsia="Times New Roman" w:cs="Times New Roman"/>
          <w:b/>
          <w:bCs/>
          <w:i/>
          <w:iCs/>
          <w:szCs w:val="24"/>
          <w:lang w:val="es-CO" w:eastAsia="es-ES"/>
        </w:rPr>
        <w:t>Artículo 157.</w:t>
      </w:r>
      <w:r w:rsidRPr="00ED47DA">
        <w:rPr>
          <w:rFonts w:eastAsia="Times New Roman" w:cs="Times New Roman"/>
          <w:i/>
          <w:iCs/>
          <w:szCs w:val="24"/>
          <w:lang w:val="es-CO" w:eastAsia="es-ES"/>
        </w:rPr>
        <w:t> Adiciónese el Estatuto Tributario con el siguiente artículo: </w:t>
      </w:r>
      <w:r w:rsidRPr="00ED47DA">
        <w:rPr>
          <w:rFonts w:eastAsia="Times New Roman" w:cs="Times New Roman"/>
          <w:b/>
          <w:bCs/>
          <w:i/>
          <w:iCs/>
          <w:szCs w:val="24"/>
          <w:lang w:val="es-CO" w:eastAsia="es-ES"/>
        </w:rPr>
        <w:t>“</w:t>
      </w:r>
      <w:hyperlink r:id="rId13" w:tooltip="Estatuto Tributario CETA" w:history="1">
        <w:r w:rsidRPr="00ED47DA">
          <w:rPr>
            <w:rFonts w:eastAsia="Times New Roman" w:cs="Times New Roman"/>
            <w:b/>
            <w:bCs/>
            <w:i/>
            <w:iCs/>
            <w:szCs w:val="24"/>
            <w:lang w:val="es-CO" w:eastAsia="es-ES"/>
          </w:rPr>
          <w:t>Artículo 102-4</w:t>
        </w:r>
      </w:hyperlink>
      <w:r w:rsidRPr="00ED47DA">
        <w:rPr>
          <w:rFonts w:eastAsia="Times New Roman" w:cs="Times New Roman"/>
          <w:b/>
          <w:bCs/>
          <w:i/>
          <w:iCs/>
          <w:szCs w:val="24"/>
          <w:lang w:val="es-CO" w:eastAsia="es-ES"/>
        </w:rPr>
        <w:t>. Ingresos brutos derivados de la compra venta de medios de pago en la prestación de servicios de telefonía móvil. </w:t>
      </w:r>
      <w:r w:rsidRPr="00ED47DA">
        <w:rPr>
          <w:rFonts w:eastAsia="Times New Roman" w:cs="Times New Roman"/>
          <w:i/>
          <w:iCs/>
          <w:szCs w:val="24"/>
          <w:lang w:val="es-CO" w:eastAsia="es-ES"/>
        </w:rPr>
        <w:t>Para efectos del impuesto sobre la renta y territoriales, en la actividad de compraventa de medios de pago de los servicios de telecomunicaciones, bajo la modalidad de prepago con cualquier tecnología, el ingreso bruto del vendedor estará constituido por la diferencia entre el precio de venta de los medios y su costo de adquisición. Parágrafo 1o</w:t>
      </w:r>
      <w:r w:rsidRPr="00ED47DA">
        <w:rPr>
          <w:rFonts w:eastAsia="Times New Roman" w:cs="Times New Roman"/>
          <w:b/>
          <w:bCs/>
          <w:i/>
          <w:iCs/>
          <w:szCs w:val="24"/>
          <w:lang w:val="es-CO" w:eastAsia="es-ES"/>
        </w:rPr>
        <w:t>.</w:t>
      </w:r>
      <w:r w:rsidRPr="00ED47DA">
        <w:rPr>
          <w:rFonts w:eastAsia="Times New Roman" w:cs="Times New Roman"/>
          <w:i/>
          <w:iCs/>
          <w:szCs w:val="24"/>
          <w:lang w:val="es-CO" w:eastAsia="es-ES"/>
        </w:rPr>
        <w:t> Para propósitos de la aplicación de la retención en la fuente a que haya lugar, el agente retenedor la practicará con base en la información que le emita el vendedor</w:t>
      </w:r>
      <w:r w:rsidRPr="00ED47DA">
        <w:rPr>
          <w:rFonts w:eastAsia="Times New Roman" w:cs="Times New Roman"/>
          <w:szCs w:val="24"/>
          <w:lang w:val="es-CO" w:eastAsia="es-ES"/>
        </w:rPr>
        <w:t>».</w:t>
      </w:r>
    </w:p>
    <w:p w14:paraId="429F34B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9" w:name="_ftn14"/>
    <w:p w14:paraId="70B751A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"_ftnref14"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[14]</w:t>
      </w:r>
      <w:r w:rsidRPr="00ED47DA">
        <w:rPr>
          <w:rFonts w:eastAsia="Times New Roman" w:cs="Times New Roman"/>
          <w:szCs w:val="24"/>
          <w:lang w:eastAsia="es-ES"/>
        </w:rPr>
        <w:fldChar w:fldCharType="end"/>
      </w:r>
      <w:bookmarkEnd w:id="39"/>
      <w:r w:rsidRPr="00ED47DA">
        <w:rPr>
          <w:rFonts w:eastAsia="Times New Roman" w:cs="Times New Roman"/>
          <w:szCs w:val="24"/>
          <w:lang w:val="es-CO" w:eastAsia="es-ES"/>
        </w:rPr>
        <w:t> </w:t>
      </w:r>
      <w:r w:rsidRPr="00ED47DA">
        <w:rPr>
          <w:rFonts w:eastAsia="Times New Roman" w:cs="Times New Roman"/>
          <w:b/>
          <w:bCs/>
          <w:szCs w:val="24"/>
          <w:lang w:val="es-CO" w:eastAsia="es-ES"/>
        </w:rPr>
        <w:t>E.T. «</w:t>
      </w:r>
      <w:hyperlink r:id="rId14" w:tooltip="Estatuto Tributario CETA" w:history="1">
        <w:r w:rsidRPr="00ED47DA">
          <w:rPr>
            <w:rFonts w:eastAsia="Times New Roman" w:cs="Times New Roman"/>
            <w:b/>
            <w:bCs/>
            <w:i/>
            <w:iCs/>
            <w:szCs w:val="24"/>
            <w:lang w:val="es-CO" w:eastAsia="es-ES"/>
          </w:rPr>
          <w:t>Artículo 429</w:t>
        </w:r>
      </w:hyperlink>
      <w:r w:rsidRPr="00ED47DA">
        <w:rPr>
          <w:rFonts w:eastAsia="Times New Roman" w:cs="Times New Roman"/>
          <w:b/>
          <w:bCs/>
          <w:i/>
          <w:iCs/>
          <w:szCs w:val="24"/>
          <w:lang w:val="es-CO" w:eastAsia="es-ES"/>
        </w:rPr>
        <w:t>. Momento de causación. </w:t>
      </w:r>
      <w:r w:rsidRPr="00ED47DA">
        <w:rPr>
          <w:rFonts w:eastAsia="Times New Roman" w:cs="Times New Roman"/>
          <w:i/>
          <w:iCs/>
          <w:szCs w:val="24"/>
          <w:lang w:val="es-CO" w:eastAsia="es-ES"/>
        </w:rPr>
        <w:t>El impuesto se causa: (…) En las prestaciones de servicios, en la fecha de emisión de la factura o documento equivalente, o en la fecha de terminación de los servicios o del pago o abono en cuenta, la que fuere anterior</w:t>
      </w:r>
      <w:r w:rsidRPr="00ED47DA">
        <w:rPr>
          <w:rFonts w:eastAsia="Times New Roman" w:cs="Times New Roman"/>
          <w:szCs w:val="24"/>
          <w:lang w:val="es-CO" w:eastAsia="es-ES"/>
        </w:rPr>
        <w:t>».</w:t>
      </w:r>
    </w:p>
    <w:p w14:paraId="43C59FA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0" w:name="_ftn15"/>
    <w:p w14:paraId="0F8ADE4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"_ftnref15"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[15]</w:t>
      </w:r>
      <w:r w:rsidRPr="00ED47DA">
        <w:rPr>
          <w:rFonts w:eastAsia="Times New Roman" w:cs="Times New Roman"/>
          <w:szCs w:val="24"/>
          <w:lang w:eastAsia="es-ES"/>
        </w:rPr>
        <w:fldChar w:fldCharType="end"/>
      </w:r>
      <w:bookmarkEnd w:id="40"/>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1353 a 1359 del </w:t>
      </w:r>
      <w:proofErr w:type="spellStart"/>
      <w:r w:rsidRPr="00ED47DA">
        <w:rPr>
          <w:rFonts w:eastAsia="Times New Roman" w:cs="Times New Roman"/>
          <w:szCs w:val="24"/>
          <w:lang w:val="es-CO" w:eastAsia="es-ES"/>
        </w:rPr>
        <w:t>c.a</w:t>
      </w:r>
      <w:proofErr w:type="spellEnd"/>
    </w:p>
    <w:p w14:paraId="5D7D1E8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1" w:name="_ftn16"/>
    <w:p w14:paraId="2408323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"_ftnref16"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[16]</w:t>
      </w:r>
      <w:r w:rsidRPr="00ED47DA">
        <w:rPr>
          <w:rFonts w:eastAsia="Times New Roman" w:cs="Times New Roman"/>
          <w:szCs w:val="24"/>
          <w:lang w:eastAsia="es-ES"/>
        </w:rPr>
        <w:fldChar w:fldCharType="end"/>
      </w:r>
      <w:bookmarkEnd w:id="41"/>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99 a 1300 del </w:t>
      </w:r>
      <w:proofErr w:type="spellStart"/>
      <w:r w:rsidRPr="00ED47DA">
        <w:rPr>
          <w:rFonts w:eastAsia="Times New Roman" w:cs="Times New Roman"/>
          <w:szCs w:val="24"/>
          <w:lang w:val="es-CO" w:eastAsia="es-ES"/>
        </w:rPr>
        <w:t>c.a.</w:t>
      </w:r>
      <w:proofErr w:type="spellEnd"/>
    </w:p>
    <w:p w14:paraId="697B9C1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2" w:name="_ftn17"/>
    <w:p w14:paraId="4620AB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"_ftnref17"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[17]</w:t>
      </w:r>
      <w:r w:rsidRPr="00ED47DA">
        <w:rPr>
          <w:rFonts w:eastAsia="Times New Roman" w:cs="Times New Roman"/>
          <w:szCs w:val="24"/>
          <w:lang w:eastAsia="es-ES"/>
        </w:rPr>
        <w:fldChar w:fldCharType="end"/>
      </w:r>
      <w:bookmarkEnd w:id="42"/>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93 a 95 del </w:t>
      </w:r>
      <w:proofErr w:type="spellStart"/>
      <w:r w:rsidRPr="00ED47DA">
        <w:rPr>
          <w:rFonts w:eastAsia="Times New Roman" w:cs="Times New Roman"/>
          <w:szCs w:val="24"/>
          <w:lang w:val="es-CO" w:eastAsia="es-ES"/>
        </w:rPr>
        <w:t>c.a.</w:t>
      </w:r>
      <w:proofErr w:type="spellEnd"/>
    </w:p>
    <w:p w14:paraId="6E51B30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3" w:name="_ftn18"/>
    <w:p w14:paraId="4F4D190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"_ftnref18"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[18]</w:t>
      </w:r>
      <w:r w:rsidRPr="00ED47DA">
        <w:rPr>
          <w:rFonts w:eastAsia="Times New Roman" w:cs="Times New Roman"/>
          <w:szCs w:val="24"/>
          <w:lang w:eastAsia="es-ES"/>
        </w:rPr>
        <w:fldChar w:fldCharType="end"/>
      </w:r>
      <w:bookmarkEnd w:id="43"/>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1360 a 1379 del </w:t>
      </w:r>
      <w:proofErr w:type="spellStart"/>
      <w:r w:rsidRPr="00ED47DA">
        <w:rPr>
          <w:rFonts w:eastAsia="Times New Roman" w:cs="Times New Roman"/>
          <w:szCs w:val="24"/>
          <w:lang w:val="es-CO" w:eastAsia="es-ES"/>
        </w:rPr>
        <w:t>c.a.</w:t>
      </w:r>
      <w:proofErr w:type="spellEnd"/>
    </w:p>
    <w:p w14:paraId="5BC648D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4" w:name="_ftn19"/>
    <w:p w14:paraId="60E5EA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"_ftnref19"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[19]</w:t>
      </w:r>
      <w:r w:rsidRPr="00ED47DA">
        <w:rPr>
          <w:rFonts w:eastAsia="Times New Roman" w:cs="Times New Roman"/>
          <w:szCs w:val="24"/>
          <w:lang w:eastAsia="es-ES"/>
        </w:rPr>
        <w:fldChar w:fldCharType="end"/>
      </w:r>
      <w:bookmarkEnd w:id="44"/>
      <w:r w:rsidRPr="00ED47DA">
        <w:rPr>
          <w:rFonts w:eastAsia="Times New Roman" w:cs="Times New Roman"/>
          <w:szCs w:val="24"/>
          <w:lang w:val="es-CO" w:eastAsia="es-ES"/>
        </w:rPr>
        <w:t> Liquidación de revisión.</w:t>
      </w:r>
    </w:p>
    <w:p w14:paraId="6F63F9C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5" w:name="_ftn20"/>
    <w:p w14:paraId="6971A62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"_ftnref20"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[20]</w:t>
      </w:r>
      <w:r w:rsidRPr="00ED47DA">
        <w:rPr>
          <w:rFonts w:eastAsia="Times New Roman" w:cs="Times New Roman"/>
          <w:szCs w:val="24"/>
          <w:lang w:eastAsia="es-ES"/>
        </w:rPr>
        <w:fldChar w:fldCharType="end"/>
      </w:r>
      <w:bookmarkEnd w:id="45"/>
      <w:r w:rsidRPr="00ED47DA">
        <w:rPr>
          <w:rFonts w:eastAsia="Times New Roman" w:cs="Times New Roman"/>
          <w:szCs w:val="24"/>
          <w:lang w:val="es-CO" w:eastAsia="es-ES"/>
        </w:rPr>
        <w:t xml:space="preserve"> Se reitera el criterio expuesto por la Sala en sentencias del 20 de febrero de 2017, </w:t>
      </w:r>
      <w:proofErr w:type="spellStart"/>
      <w:r w:rsidRPr="00ED47DA">
        <w:rPr>
          <w:rFonts w:eastAsia="Times New Roman" w:cs="Times New Roman"/>
          <w:szCs w:val="24"/>
          <w:lang w:val="es-CO" w:eastAsia="es-ES"/>
        </w:rPr>
        <w:t>Exp</w:t>
      </w:r>
      <w:proofErr w:type="spellEnd"/>
      <w:r w:rsidRPr="00ED47DA">
        <w:rPr>
          <w:rFonts w:eastAsia="Times New Roman" w:cs="Times New Roman"/>
          <w:szCs w:val="24"/>
          <w:lang w:val="es-CO" w:eastAsia="es-ES"/>
        </w:rPr>
        <w:t xml:space="preserve">. 20623, C.P. Hugo Fernando Bastidas Bárcenas (E) y 9 de marzo de 2017, </w:t>
      </w:r>
      <w:proofErr w:type="spellStart"/>
      <w:r w:rsidRPr="00ED47DA">
        <w:rPr>
          <w:rFonts w:eastAsia="Times New Roman" w:cs="Times New Roman"/>
          <w:szCs w:val="24"/>
          <w:lang w:val="es-CO" w:eastAsia="es-ES"/>
        </w:rPr>
        <w:t>Exp</w:t>
      </w:r>
      <w:proofErr w:type="spellEnd"/>
      <w:r w:rsidRPr="00ED47DA">
        <w:rPr>
          <w:rFonts w:eastAsia="Times New Roman" w:cs="Times New Roman"/>
          <w:szCs w:val="24"/>
          <w:lang w:val="es-CO" w:eastAsia="es-ES"/>
        </w:rPr>
        <w:t>. 19823, C.P. Stella Jeannette Carvajal Basto, entre otras.</w:t>
      </w:r>
    </w:p>
    <w:p w14:paraId="4800DB6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6" w:name="_ftn21"/>
    <w:p w14:paraId="63EDA3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[21]</w:t>
      </w:r>
      <w:r w:rsidRPr="00ED47DA">
        <w:rPr>
          <w:rFonts w:eastAsia="Times New Roman" w:cs="Times New Roman"/>
          <w:szCs w:val="24"/>
          <w:lang w:eastAsia="es-ES"/>
        </w:rPr>
        <w:fldChar w:fldCharType="end"/>
      </w:r>
      <w:bookmarkEnd w:id="46"/>
      <w:r w:rsidRPr="00ED47DA">
        <w:rPr>
          <w:rFonts w:eastAsia="Times New Roman" w:cs="Times New Roman"/>
          <w:szCs w:val="24"/>
          <w:lang w:val="es-CO" w:eastAsia="es-ES"/>
        </w:rPr>
        <w:t> «</w:t>
      </w:r>
      <w:r w:rsidRPr="00ED47DA">
        <w:rPr>
          <w:rFonts w:eastAsia="Times New Roman" w:cs="Times New Roman"/>
          <w:i/>
          <w:iCs/>
          <w:szCs w:val="24"/>
          <w:lang w:val="es-CO" w:eastAsia="es-ES"/>
        </w:rPr>
        <w:t>Por medio de la cual se adopta una reforma tributaria estructural, se fortalecen los mecanismos para la lucha contra la evasión y la elusión fiscal y se dictan otras disposiciones».</w:t>
      </w:r>
    </w:p>
    <w:p w14:paraId="2EAF284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7" w:name="_ftn22"/>
    <w:p w14:paraId="10AA1D5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"_ftnref22"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[22]</w:t>
      </w:r>
      <w:r w:rsidRPr="00ED47DA">
        <w:rPr>
          <w:rFonts w:eastAsia="Times New Roman" w:cs="Times New Roman"/>
          <w:szCs w:val="24"/>
          <w:lang w:eastAsia="es-ES"/>
        </w:rPr>
        <w:fldChar w:fldCharType="end"/>
      </w:r>
      <w:bookmarkEnd w:id="47"/>
      <w:r w:rsidRPr="00ED47DA">
        <w:rPr>
          <w:rFonts w:eastAsia="Times New Roman" w:cs="Times New Roman"/>
          <w:szCs w:val="24"/>
          <w:lang w:val="es-CO" w:eastAsia="es-ES"/>
        </w:rPr>
        <w:t> </w:t>
      </w:r>
      <w:r w:rsidRPr="00ED47DA">
        <w:rPr>
          <w:rFonts w:eastAsia="Times New Roman" w:cs="Times New Roman"/>
          <w:b/>
          <w:bCs/>
          <w:szCs w:val="24"/>
          <w:lang w:val="es-CO" w:eastAsia="es-ES"/>
        </w:rPr>
        <w:t>E.T. «</w:t>
      </w:r>
      <w:hyperlink r:id="rId15" w:tooltip="Estatuto Tributario CETA" w:history="1">
        <w:r w:rsidRPr="00ED47DA">
          <w:rPr>
            <w:rFonts w:eastAsia="Times New Roman" w:cs="Times New Roman"/>
            <w:b/>
            <w:bCs/>
            <w:i/>
            <w:iCs/>
            <w:szCs w:val="24"/>
            <w:u w:val="single"/>
            <w:lang w:val="es-CO" w:eastAsia="es-ES"/>
          </w:rPr>
          <w:t>Artículo 647</w:t>
        </w:r>
      </w:hyperlink>
      <w:r w:rsidRPr="00ED47DA">
        <w:rPr>
          <w:rFonts w:eastAsia="Times New Roman" w:cs="Times New Roman"/>
          <w:b/>
          <w:bCs/>
          <w:i/>
          <w:iCs/>
          <w:szCs w:val="24"/>
          <w:lang w:val="es-CO" w:eastAsia="es-ES"/>
        </w:rPr>
        <w:t>. Sanción por inexactitud. </w:t>
      </w:r>
      <w:r w:rsidRPr="00ED47DA">
        <w:rPr>
          <w:rFonts w:eastAsia="Times New Roman" w:cs="Times New Roman"/>
          <w:i/>
          <w:iCs/>
          <w:szCs w:val="24"/>
          <w:lang w:val="es-CO" w:eastAsia="es-ES"/>
        </w:rPr>
        <w:t>(…) </w:t>
      </w:r>
      <w:r w:rsidRPr="00ED47DA">
        <w:rPr>
          <w:rFonts w:eastAsia="Times New Roman" w:cs="Times New Roman"/>
          <w:i/>
          <w:iCs/>
          <w:szCs w:val="24"/>
          <w:u w:val="single"/>
          <w:lang w:val="es-CO" w:eastAsia="es-ES"/>
        </w:rPr>
        <w:t>La sanción por inexactitud será equivalente al ciento sesenta por ciento (160%)</w:t>
      </w:r>
      <w:r w:rsidRPr="00ED47DA">
        <w:rPr>
          <w:rFonts w:eastAsia="Times New Roman" w:cs="Times New Roman"/>
          <w:i/>
          <w:iCs/>
          <w:szCs w:val="24"/>
          <w:lang w:val="es-CO" w:eastAsia="es-ES"/>
        </w:rPr>
        <w:t xml:space="preserve"> de la diferencia entre el saldo a pagar o saldo a favor, según el caso, determinado en la liquidación oficial, y el declarado por el contribuyente o </w:t>
      </w:r>
      <w:r w:rsidRPr="00ED47DA">
        <w:rPr>
          <w:rFonts w:eastAsia="Times New Roman" w:cs="Times New Roman"/>
          <w:i/>
          <w:iCs/>
          <w:szCs w:val="24"/>
          <w:lang w:val="es-CO" w:eastAsia="es-ES"/>
        </w:rPr>
        <w:lastRenderedPageBreak/>
        <w:t>responsable. Esta sanción no se aplicará sobre el mayor valor del anticipo que se genere al modificar el impuesto declarado por el contribuyente».</w:t>
      </w:r>
    </w:p>
    <w:p w14:paraId="693466B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8" w:name="_ftn23"/>
    <w:p w14:paraId="1A56ACE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"_ftnref23"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[23]</w:t>
      </w:r>
      <w:r w:rsidRPr="00ED47DA">
        <w:rPr>
          <w:rFonts w:eastAsia="Times New Roman" w:cs="Times New Roman"/>
          <w:szCs w:val="24"/>
          <w:lang w:eastAsia="es-ES"/>
        </w:rPr>
        <w:fldChar w:fldCharType="end"/>
      </w:r>
      <w:bookmarkEnd w:id="48"/>
      <w:r w:rsidRPr="00ED47DA">
        <w:rPr>
          <w:rFonts w:eastAsia="Times New Roman" w:cs="Times New Roman"/>
          <w:szCs w:val="24"/>
          <w:lang w:val="es-CO" w:eastAsia="es-ES"/>
        </w:rPr>
        <w:t> Artículo 288 de la Ley 1819 de 2016, que modificó el </w:t>
      </w:r>
      <w:hyperlink r:id="rId16" w:tooltip="Estatuto Tributario CETA" w:history="1">
        <w:r w:rsidRPr="00ED47DA">
          <w:rPr>
            <w:rFonts w:eastAsia="Times New Roman" w:cs="Times New Roman"/>
            <w:szCs w:val="24"/>
            <w:u w:val="single"/>
            <w:lang w:val="es-CO" w:eastAsia="es-ES"/>
          </w:rPr>
          <w:t>artículo 648</w:t>
        </w:r>
      </w:hyperlink>
      <w:r w:rsidRPr="00ED47DA">
        <w:rPr>
          <w:rFonts w:eastAsia="Times New Roman" w:cs="Times New Roman"/>
          <w:szCs w:val="24"/>
          <w:lang w:val="es-CO" w:eastAsia="es-ES"/>
        </w:rPr>
        <w:t> del E.T.</w:t>
      </w:r>
    </w:p>
    <w:p w14:paraId="0A346C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9" w:name="_ftn24"/>
    <w:p w14:paraId="183A9A6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"_ftnref24"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[24]</w:t>
      </w:r>
      <w:r w:rsidRPr="00ED47DA">
        <w:rPr>
          <w:rFonts w:eastAsia="Times New Roman" w:cs="Times New Roman"/>
          <w:szCs w:val="24"/>
          <w:lang w:eastAsia="es-ES"/>
        </w:rPr>
        <w:fldChar w:fldCharType="end"/>
      </w:r>
      <w:bookmarkEnd w:id="49"/>
      <w:r w:rsidRPr="00ED47DA">
        <w:rPr>
          <w:rFonts w:eastAsia="Times New Roman" w:cs="Times New Roman"/>
          <w:szCs w:val="24"/>
          <w:lang w:val="es-CO" w:eastAsia="es-ES"/>
        </w:rPr>
        <w:t> </w:t>
      </w:r>
      <w:r w:rsidRPr="00ED47DA">
        <w:rPr>
          <w:rFonts w:eastAsia="Times New Roman" w:cs="Times New Roman"/>
          <w:b/>
          <w:bCs/>
          <w:szCs w:val="24"/>
          <w:lang w:val="es-CO" w:eastAsia="es-ES"/>
        </w:rPr>
        <w:t>Código General del Proceso </w:t>
      </w:r>
      <w:r w:rsidRPr="00ED47DA">
        <w:rPr>
          <w:rFonts w:eastAsia="Times New Roman" w:cs="Times New Roman"/>
          <w:b/>
          <w:bCs/>
          <w:i/>
          <w:iCs/>
          <w:szCs w:val="24"/>
          <w:lang w:val="es-CO" w:eastAsia="es-ES"/>
        </w:rPr>
        <w:t>«Art. 365. Condena en costas. </w:t>
      </w:r>
      <w:r w:rsidRPr="00ED47DA">
        <w:rPr>
          <w:rFonts w:eastAsia="Times New Roman" w:cs="Times New Roman"/>
          <w:i/>
          <w:iCs/>
          <w:szCs w:val="24"/>
          <w:lang w:val="es-CO" w:eastAsia="es-ES"/>
        </w:rPr>
        <w:t>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w:t>
      </w:r>
    </w:p>
    <w:p w14:paraId="7C9D6C0D" w14:textId="77777777" w:rsidR="00ED47DA" w:rsidRPr="00ED47DA" w:rsidRDefault="00ED47DA">
      <w:pPr>
        <w:rPr>
          <w:rFonts w:cs="Times New Roman"/>
          <w:i/>
          <w:iCs/>
          <w:szCs w:val="24"/>
          <w:shd w:val="clear" w:color="auto" w:fill="FFFFFF"/>
        </w:rPr>
      </w:pPr>
    </w:p>
    <w:p w14:paraId="7123D8A8" w14:textId="43EC9B33" w:rsidR="007F5CC8" w:rsidRPr="00ED47DA" w:rsidRDefault="00ED47DA">
      <w:pPr>
        <w:rPr>
          <w:rFonts w:cs="Times New Roman"/>
          <w:i/>
          <w:iCs/>
          <w:szCs w:val="24"/>
          <w:shd w:val="clear" w:color="auto" w:fill="FFFFFF"/>
        </w:rPr>
      </w:pPr>
      <w:r w:rsidRPr="00ED47DA">
        <w:rPr>
          <w:rFonts w:cs="Times New Roman"/>
          <w:i/>
          <w:iCs/>
          <w:szCs w:val="24"/>
          <w:shd w:val="clear" w:color="auto" w:fill="FFFFFF"/>
        </w:rPr>
        <w:t>parcialmente la demanda, el juez podrá abstenerse de condenar en costas (…) 8. Solo habrá lugar a costas cuando en el expediente aparezca que se causaron y en la medida de su comprobación».</w:t>
      </w:r>
    </w:p>
    <w:p w14:paraId="670ADA2D" w14:textId="4B7C0B35" w:rsidR="00ED47DA" w:rsidRPr="00ED47DA" w:rsidRDefault="00ED47DA">
      <w:pPr>
        <w:rPr>
          <w:rFonts w:cs="Times New Roman"/>
          <w:szCs w:val="24"/>
        </w:rPr>
      </w:pPr>
      <w:r w:rsidRPr="00ED47DA">
        <w:rPr>
          <w:rFonts w:cs="Times New Roman"/>
          <w:i/>
          <w:iCs/>
          <w:szCs w:val="24"/>
          <w:shd w:val="clear" w:color="auto" w:fill="FFFFFF"/>
        </w:rPr>
        <w:t>________________________________________________________________________________________________________________</w:t>
      </w:r>
    </w:p>
    <w:sectPr w:rsidR="00ED47DA" w:rsidRPr="00ED47D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DA"/>
    <w:rsid w:val="001E311E"/>
    <w:rsid w:val="00434AE6"/>
    <w:rsid w:val="006D1D76"/>
    <w:rsid w:val="007F5CC8"/>
    <w:rsid w:val="008779BE"/>
    <w:rsid w:val="00ED47DA"/>
    <w:rsid w:val="00FC2B2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A480"/>
  <w15:chartTrackingRefBased/>
  <w15:docId w15:val="{EB70D73E-532C-4CBC-AD6A-4517A7E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8693">
      <w:bodyDiv w:val="1"/>
      <w:marLeft w:val="0"/>
      <w:marRight w:val="0"/>
      <w:marTop w:val="0"/>
      <w:marBottom w:val="0"/>
      <w:divBdr>
        <w:top w:val="none" w:sz="0" w:space="0" w:color="auto"/>
        <w:left w:val="none" w:sz="0" w:space="0" w:color="auto"/>
        <w:bottom w:val="none" w:sz="0" w:space="0" w:color="auto"/>
        <w:right w:val="none" w:sz="0" w:space="0" w:color="auto"/>
      </w:divBdr>
      <w:divsChild>
        <w:div w:id="741561480">
          <w:marLeft w:val="0"/>
          <w:marRight w:val="0"/>
          <w:marTop w:val="0"/>
          <w:marBottom w:val="0"/>
          <w:divBdr>
            <w:top w:val="none" w:sz="0" w:space="0" w:color="auto"/>
            <w:left w:val="none" w:sz="0" w:space="0" w:color="auto"/>
            <w:bottom w:val="none" w:sz="0" w:space="0" w:color="auto"/>
            <w:right w:val="none" w:sz="0" w:space="0" w:color="auto"/>
          </w:divBdr>
          <w:divsChild>
            <w:div w:id="10479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546">
      <w:bodyDiv w:val="1"/>
      <w:marLeft w:val="0"/>
      <w:marRight w:val="0"/>
      <w:marTop w:val="0"/>
      <w:marBottom w:val="0"/>
      <w:divBdr>
        <w:top w:val="none" w:sz="0" w:space="0" w:color="auto"/>
        <w:left w:val="none" w:sz="0" w:space="0" w:color="auto"/>
        <w:bottom w:val="none" w:sz="0" w:space="0" w:color="auto"/>
        <w:right w:val="none" w:sz="0" w:space="0" w:color="auto"/>
      </w:divBdr>
      <w:divsChild>
        <w:div w:id="1087533442">
          <w:marLeft w:val="0"/>
          <w:marRight w:val="0"/>
          <w:marTop w:val="0"/>
          <w:marBottom w:val="0"/>
          <w:divBdr>
            <w:top w:val="none" w:sz="0" w:space="0" w:color="000000"/>
            <w:left w:val="none" w:sz="0" w:space="0" w:color="000000"/>
            <w:bottom w:val="none" w:sz="0" w:space="0" w:color="000000"/>
            <w:right w:val="none" w:sz="0" w:space="0" w:color="000000"/>
          </w:divBdr>
        </w:div>
        <w:div w:id="655916692">
          <w:marLeft w:val="0"/>
          <w:marRight w:val="0"/>
          <w:marTop w:val="0"/>
          <w:marBottom w:val="0"/>
          <w:divBdr>
            <w:top w:val="none" w:sz="0" w:space="0" w:color="auto"/>
            <w:left w:val="none" w:sz="0" w:space="0" w:color="auto"/>
            <w:bottom w:val="none" w:sz="0" w:space="0" w:color="auto"/>
            <w:right w:val="none" w:sz="0" w:space="0" w:color="auto"/>
          </w:divBdr>
        </w:div>
        <w:div w:id="737242022">
          <w:marLeft w:val="0"/>
          <w:marRight w:val="0"/>
          <w:marTop w:val="0"/>
          <w:marBottom w:val="0"/>
          <w:divBdr>
            <w:top w:val="none" w:sz="0" w:space="0" w:color="auto"/>
            <w:left w:val="none" w:sz="0" w:space="0" w:color="auto"/>
            <w:bottom w:val="none" w:sz="0" w:space="0" w:color="auto"/>
            <w:right w:val="none" w:sz="0" w:space="0" w:color="auto"/>
          </w:divBdr>
        </w:div>
        <w:div w:id="1718823006">
          <w:marLeft w:val="0"/>
          <w:marRight w:val="0"/>
          <w:marTop w:val="0"/>
          <w:marBottom w:val="0"/>
          <w:divBdr>
            <w:top w:val="none" w:sz="0" w:space="0" w:color="auto"/>
            <w:left w:val="none" w:sz="0" w:space="0" w:color="auto"/>
            <w:bottom w:val="none" w:sz="0" w:space="0" w:color="auto"/>
            <w:right w:val="none" w:sz="0" w:space="0" w:color="auto"/>
          </w:divBdr>
        </w:div>
        <w:div w:id="971403944">
          <w:marLeft w:val="0"/>
          <w:marRight w:val="0"/>
          <w:marTop w:val="0"/>
          <w:marBottom w:val="0"/>
          <w:divBdr>
            <w:top w:val="none" w:sz="0" w:space="0" w:color="auto"/>
            <w:left w:val="none" w:sz="0" w:space="0" w:color="auto"/>
            <w:bottom w:val="none" w:sz="0" w:space="0" w:color="auto"/>
            <w:right w:val="none" w:sz="0" w:space="0" w:color="auto"/>
          </w:divBdr>
        </w:div>
        <w:div w:id="1064059670">
          <w:marLeft w:val="0"/>
          <w:marRight w:val="0"/>
          <w:marTop w:val="0"/>
          <w:marBottom w:val="0"/>
          <w:divBdr>
            <w:top w:val="none" w:sz="0" w:space="0" w:color="auto"/>
            <w:left w:val="none" w:sz="0" w:space="0" w:color="auto"/>
            <w:bottom w:val="none" w:sz="0" w:space="0" w:color="auto"/>
            <w:right w:val="none" w:sz="0" w:space="0" w:color="auto"/>
          </w:divBdr>
        </w:div>
        <w:div w:id="869103864">
          <w:marLeft w:val="0"/>
          <w:marRight w:val="0"/>
          <w:marTop w:val="0"/>
          <w:marBottom w:val="0"/>
          <w:divBdr>
            <w:top w:val="none" w:sz="0" w:space="0" w:color="auto"/>
            <w:left w:val="none" w:sz="0" w:space="0" w:color="auto"/>
            <w:bottom w:val="none" w:sz="0" w:space="0" w:color="auto"/>
            <w:right w:val="none" w:sz="0" w:space="0" w:color="auto"/>
          </w:divBdr>
        </w:div>
        <w:div w:id="12272065">
          <w:marLeft w:val="0"/>
          <w:marRight w:val="0"/>
          <w:marTop w:val="0"/>
          <w:marBottom w:val="0"/>
          <w:divBdr>
            <w:top w:val="none" w:sz="0" w:space="0" w:color="auto"/>
            <w:left w:val="none" w:sz="0" w:space="0" w:color="auto"/>
            <w:bottom w:val="none" w:sz="0" w:space="0" w:color="auto"/>
            <w:right w:val="none" w:sz="0" w:space="0" w:color="auto"/>
          </w:divBdr>
        </w:div>
        <w:div w:id="732970111">
          <w:marLeft w:val="0"/>
          <w:marRight w:val="0"/>
          <w:marTop w:val="0"/>
          <w:marBottom w:val="0"/>
          <w:divBdr>
            <w:top w:val="none" w:sz="0" w:space="0" w:color="auto"/>
            <w:left w:val="none" w:sz="0" w:space="0" w:color="auto"/>
            <w:bottom w:val="none" w:sz="0" w:space="0" w:color="auto"/>
            <w:right w:val="none" w:sz="0" w:space="0" w:color="auto"/>
          </w:divBdr>
        </w:div>
        <w:div w:id="15936394">
          <w:marLeft w:val="0"/>
          <w:marRight w:val="0"/>
          <w:marTop w:val="0"/>
          <w:marBottom w:val="0"/>
          <w:divBdr>
            <w:top w:val="none" w:sz="0" w:space="0" w:color="auto"/>
            <w:left w:val="none" w:sz="0" w:space="0" w:color="auto"/>
            <w:bottom w:val="none" w:sz="0" w:space="0" w:color="auto"/>
            <w:right w:val="none" w:sz="0" w:space="0" w:color="auto"/>
          </w:divBdr>
        </w:div>
        <w:div w:id="1453787532">
          <w:marLeft w:val="0"/>
          <w:marRight w:val="0"/>
          <w:marTop w:val="0"/>
          <w:marBottom w:val="0"/>
          <w:divBdr>
            <w:top w:val="none" w:sz="0" w:space="0" w:color="auto"/>
            <w:left w:val="none" w:sz="0" w:space="0" w:color="auto"/>
            <w:bottom w:val="none" w:sz="0" w:space="0" w:color="auto"/>
            <w:right w:val="none" w:sz="0" w:space="0" w:color="auto"/>
          </w:divBdr>
        </w:div>
        <w:div w:id="1231037627">
          <w:marLeft w:val="0"/>
          <w:marRight w:val="0"/>
          <w:marTop w:val="0"/>
          <w:marBottom w:val="0"/>
          <w:divBdr>
            <w:top w:val="none" w:sz="0" w:space="0" w:color="auto"/>
            <w:left w:val="none" w:sz="0" w:space="0" w:color="auto"/>
            <w:bottom w:val="none" w:sz="0" w:space="0" w:color="auto"/>
            <w:right w:val="none" w:sz="0" w:space="0" w:color="auto"/>
          </w:divBdr>
        </w:div>
        <w:div w:id="863132339">
          <w:marLeft w:val="0"/>
          <w:marRight w:val="0"/>
          <w:marTop w:val="0"/>
          <w:marBottom w:val="0"/>
          <w:divBdr>
            <w:top w:val="none" w:sz="0" w:space="0" w:color="auto"/>
            <w:left w:val="none" w:sz="0" w:space="0" w:color="auto"/>
            <w:bottom w:val="none" w:sz="0" w:space="0" w:color="auto"/>
            <w:right w:val="none" w:sz="0" w:space="0" w:color="auto"/>
          </w:divBdr>
        </w:div>
        <w:div w:id="151719810">
          <w:marLeft w:val="0"/>
          <w:marRight w:val="0"/>
          <w:marTop w:val="0"/>
          <w:marBottom w:val="0"/>
          <w:divBdr>
            <w:top w:val="none" w:sz="0" w:space="0" w:color="auto"/>
            <w:left w:val="none" w:sz="0" w:space="0" w:color="auto"/>
            <w:bottom w:val="none" w:sz="0" w:space="0" w:color="auto"/>
            <w:right w:val="none" w:sz="0" w:space="0" w:color="auto"/>
          </w:divBdr>
          <w:divsChild>
            <w:div w:id="985278193">
              <w:marLeft w:val="0"/>
              <w:marRight w:val="0"/>
              <w:marTop w:val="0"/>
              <w:marBottom w:val="0"/>
              <w:divBdr>
                <w:top w:val="none" w:sz="0" w:space="0" w:color="000000"/>
                <w:left w:val="none" w:sz="0" w:space="0" w:color="000000"/>
                <w:bottom w:val="none" w:sz="0" w:space="0" w:color="000000"/>
                <w:right w:val="none" w:sz="0" w:space="0" w:color="000000"/>
              </w:divBdr>
            </w:div>
          </w:divsChild>
        </w:div>
        <w:div w:id="2023238227">
          <w:marLeft w:val="0"/>
          <w:marRight w:val="0"/>
          <w:marTop w:val="0"/>
          <w:marBottom w:val="0"/>
          <w:divBdr>
            <w:top w:val="none" w:sz="0" w:space="0" w:color="auto"/>
            <w:left w:val="none" w:sz="0" w:space="0" w:color="auto"/>
            <w:bottom w:val="none" w:sz="0" w:space="0" w:color="auto"/>
            <w:right w:val="none" w:sz="0" w:space="0" w:color="auto"/>
          </w:divBdr>
        </w:div>
        <w:div w:id="1328558716">
          <w:marLeft w:val="0"/>
          <w:marRight w:val="0"/>
          <w:marTop w:val="0"/>
          <w:marBottom w:val="0"/>
          <w:divBdr>
            <w:top w:val="none" w:sz="0" w:space="0" w:color="auto"/>
            <w:left w:val="none" w:sz="0" w:space="0" w:color="auto"/>
            <w:bottom w:val="none" w:sz="0" w:space="0" w:color="auto"/>
            <w:right w:val="none" w:sz="0" w:space="0" w:color="auto"/>
          </w:divBdr>
        </w:div>
        <w:div w:id="1519849060">
          <w:marLeft w:val="0"/>
          <w:marRight w:val="0"/>
          <w:marTop w:val="0"/>
          <w:marBottom w:val="0"/>
          <w:divBdr>
            <w:top w:val="none" w:sz="0" w:space="0" w:color="auto"/>
            <w:left w:val="none" w:sz="0" w:space="0" w:color="auto"/>
            <w:bottom w:val="none" w:sz="0" w:space="0" w:color="auto"/>
            <w:right w:val="none" w:sz="0" w:space="0" w:color="auto"/>
          </w:divBdr>
        </w:div>
        <w:div w:id="713626710">
          <w:marLeft w:val="0"/>
          <w:marRight w:val="0"/>
          <w:marTop w:val="0"/>
          <w:marBottom w:val="0"/>
          <w:divBdr>
            <w:top w:val="none" w:sz="0" w:space="0" w:color="auto"/>
            <w:left w:val="none" w:sz="0" w:space="0" w:color="auto"/>
            <w:bottom w:val="none" w:sz="0" w:space="0" w:color="auto"/>
            <w:right w:val="none" w:sz="0" w:space="0" w:color="auto"/>
          </w:divBdr>
        </w:div>
        <w:div w:id="1111975957">
          <w:marLeft w:val="0"/>
          <w:marRight w:val="0"/>
          <w:marTop w:val="0"/>
          <w:marBottom w:val="0"/>
          <w:divBdr>
            <w:top w:val="none" w:sz="0" w:space="0" w:color="auto"/>
            <w:left w:val="none" w:sz="0" w:space="0" w:color="auto"/>
            <w:bottom w:val="none" w:sz="0" w:space="0" w:color="auto"/>
            <w:right w:val="none" w:sz="0" w:space="0" w:color="auto"/>
          </w:divBdr>
        </w:div>
        <w:div w:id="236744204">
          <w:marLeft w:val="0"/>
          <w:marRight w:val="0"/>
          <w:marTop w:val="0"/>
          <w:marBottom w:val="0"/>
          <w:divBdr>
            <w:top w:val="none" w:sz="0" w:space="0" w:color="auto"/>
            <w:left w:val="none" w:sz="0" w:space="0" w:color="auto"/>
            <w:bottom w:val="none" w:sz="0" w:space="0" w:color="auto"/>
            <w:right w:val="none" w:sz="0" w:space="0" w:color="auto"/>
          </w:divBdr>
        </w:div>
        <w:div w:id="1883976860">
          <w:marLeft w:val="0"/>
          <w:marRight w:val="0"/>
          <w:marTop w:val="0"/>
          <w:marBottom w:val="0"/>
          <w:divBdr>
            <w:top w:val="none" w:sz="0" w:space="0" w:color="auto"/>
            <w:left w:val="none" w:sz="0" w:space="0" w:color="auto"/>
            <w:bottom w:val="none" w:sz="0" w:space="0" w:color="auto"/>
            <w:right w:val="none" w:sz="0" w:space="0" w:color="auto"/>
          </w:divBdr>
        </w:div>
        <w:div w:id="1868592655">
          <w:marLeft w:val="0"/>
          <w:marRight w:val="0"/>
          <w:marTop w:val="0"/>
          <w:marBottom w:val="0"/>
          <w:divBdr>
            <w:top w:val="none" w:sz="0" w:space="0" w:color="auto"/>
            <w:left w:val="none" w:sz="0" w:space="0" w:color="auto"/>
            <w:bottom w:val="none" w:sz="0" w:space="0" w:color="auto"/>
            <w:right w:val="none" w:sz="0" w:space="0" w:color="auto"/>
          </w:divBdr>
        </w:div>
        <w:div w:id="1030913549">
          <w:marLeft w:val="0"/>
          <w:marRight w:val="0"/>
          <w:marTop w:val="0"/>
          <w:marBottom w:val="0"/>
          <w:divBdr>
            <w:top w:val="none" w:sz="0" w:space="0" w:color="auto"/>
            <w:left w:val="none" w:sz="0" w:space="0" w:color="auto"/>
            <w:bottom w:val="none" w:sz="0" w:space="0" w:color="auto"/>
            <w:right w:val="none" w:sz="0" w:space="0" w:color="auto"/>
          </w:divBdr>
        </w:div>
        <w:div w:id="1956978147">
          <w:marLeft w:val="0"/>
          <w:marRight w:val="0"/>
          <w:marTop w:val="0"/>
          <w:marBottom w:val="0"/>
          <w:divBdr>
            <w:top w:val="none" w:sz="0" w:space="0" w:color="auto"/>
            <w:left w:val="none" w:sz="0" w:space="0" w:color="auto"/>
            <w:bottom w:val="none" w:sz="0" w:space="0" w:color="auto"/>
            <w:right w:val="none" w:sz="0" w:space="0" w:color="auto"/>
          </w:divBdr>
        </w:div>
        <w:div w:id="569002747">
          <w:marLeft w:val="0"/>
          <w:marRight w:val="0"/>
          <w:marTop w:val="0"/>
          <w:marBottom w:val="0"/>
          <w:divBdr>
            <w:top w:val="none" w:sz="0" w:space="0" w:color="auto"/>
            <w:left w:val="none" w:sz="0" w:space="0" w:color="auto"/>
            <w:bottom w:val="none" w:sz="0" w:space="0" w:color="auto"/>
            <w:right w:val="none" w:sz="0" w:space="0" w:color="auto"/>
          </w:divBdr>
        </w:div>
      </w:divsChild>
    </w:div>
    <w:div w:id="1052466010">
      <w:bodyDiv w:val="1"/>
      <w:marLeft w:val="0"/>
      <w:marRight w:val="0"/>
      <w:marTop w:val="0"/>
      <w:marBottom w:val="0"/>
      <w:divBdr>
        <w:top w:val="none" w:sz="0" w:space="0" w:color="auto"/>
        <w:left w:val="none" w:sz="0" w:space="0" w:color="auto"/>
        <w:bottom w:val="none" w:sz="0" w:space="0" w:color="auto"/>
        <w:right w:val="none" w:sz="0" w:space="0" w:color="auto"/>
      </w:divBdr>
      <w:divsChild>
        <w:div w:id="944308844">
          <w:marLeft w:val="0"/>
          <w:marRight w:val="0"/>
          <w:marTop w:val="0"/>
          <w:marBottom w:val="0"/>
          <w:divBdr>
            <w:top w:val="none" w:sz="0" w:space="0" w:color="000000"/>
            <w:left w:val="none" w:sz="0" w:space="0" w:color="000000"/>
            <w:bottom w:val="none" w:sz="0" w:space="0" w:color="000000"/>
            <w:right w:val="none" w:sz="0" w:space="0" w:color="000000"/>
          </w:divBdr>
        </w:div>
        <w:div w:id="253174357">
          <w:marLeft w:val="0"/>
          <w:marRight w:val="0"/>
          <w:marTop w:val="0"/>
          <w:marBottom w:val="0"/>
          <w:divBdr>
            <w:top w:val="none" w:sz="0" w:space="0" w:color="auto"/>
            <w:left w:val="none" w:sz="0" w:space="0" w:color="auto"/>
            <w:bottom w:val="none" w:sz="0" w:space="0" w:color="auto"/>
            <w:right w:val="none" w:sz="0" w:space="0" w:color="auto"/>
          </w:divBdr>
          <w:divsChild>
            <w:div w:id="50154328">
              <w:marLeft w:val="0"/>
              <w:marRight w:val="0"/>
              <w:marTop w:val="0"/>
              <w:marBottom w:val="0"/>
              <w:divBdr>
                <w:top w:val="none" w:sz="0" w:space="0" w:color="auto"/>
                <w:left w:val="none" w:sz="0" w:space="0" w:color="auto"/>
                <w:bottom w:val="none" w:sz="0" w:space="0" w:color="auto"/>
                <w:right w:val="none" w:sz="0" w:space="0" w:color="auto"/>
              </w:divBdr>
            </w:div>
            <w:div w:id="464859195">
              <w:marLeft w:val="0"/>
              <w:marRight w:val="0"/>
              <w:marTop w:val="0"/>
              <w:marBottom w:val="0"/>
              <w:divBdr>
                <w:top w:val="none" w:sz="0" w:space="0" w:color="auto"/>
                <w:left w:val="none" w:sz="0" w:space="0" w:color="auto"/>
                <w:bottom w:val="none" w:sz="0" w:space="0" w:color="auto"/>
                <w:right w:val="none" w:sz="0" w:space="0" w:color="auto"/>
              </w:divBdr>
            </w:div>
            <w:div w:id="1747216743">
              <w:marLeft w:val="0"/>
              <w:marRight w:val="0"/>
              <w:marTop w:val="0"/>
              <w:marBottom w:val="0"/>
              <w:divBdr>
                <w:top w:val="none" w:sz="0" w:space="0" w:color="auto"/>
                <w:left w:val="none" w:sz="0" w:space="0" w:color="auto"/>
                <w:bottom w:val="none" w:sz="0" w:space="0" w:color="auto"/>
                <w:right w:val="none" w:sz="0" w:space="0" w:color="auto"/>
              </w:divBdr>
            </w:div>
            <w:div w:id="876552112">
              <w:marLeft w:val="0"/>
              <w:marRight w:val="0"/>
              <w:marTop w:val="0"/>
              <w:marBottom w:val="0"/>
              <w:divBdr>
                <w:top w:val="none" w:sz="0" w:space="0" w:color="auto"/>
                <w:left w:val="none" w:sz="0" w:space="0" w:color="auto"/>
                <w:bottom w:val="none" w:sz="0" w:space="0" w:color="auto"/>
                <w:right w:val="none" w:sz="0" w:space="0" w:color="auto"/>
              </w:divBdr>
            </w:div>
            <w:div w:id="764762081">
              <w:marLeft w:val="0"/>
              <w:marRight w:val="0"/>
              <w:marTop w:val="0"/>
              <w:marBottom w:val="0"/>
              <w:divBdr>
                <w:top w:val="none" w:sz="0" w:space="0" w:color="auto"/>
                <w:left w:val="none" w:sz="0" w:space="0" w:color="auto"/>
                <w:bottom w:val="none" w:sz="0" w:space="0" w:color="auto"/>
                <w:right w:val="none" w:sz="0" w:space="0" w:color="auto"/>
              </w:divBdr>
            </w:div>
            <w:div w:id="1736931946">
              <w:marLeft w:val="0"/>
              <w:marRight w:val="0"/>
              <w:marTop w:val="0"/>
              <w:marBottom w:val="0"/>
              <w:divBdr>
                <w:top w:val="none" w:sz="0" w:space="0" w:color="auto"/>
                <w:left w:val="none" w:sz="0" w:space="0" w:color="auto"/>
                <w:bottom w:val="none" w:sz="0" w:space="0" w:color="auto"/>
                <w:right w:val="none" w:sz="0" w:space="0" w:color="auto"/>
              </w:divBdr>
            </w:div>
            <w:div w:id="1530678417">
              <w:marLeft w:val="0"/>
              <w:marRight w:val="0"/>
              <w:marTop w:val="0"/>
              <w:marBottom w:val="0"/>
              <w:divBdr>
                <w:top w:val="none" w:sz="0" w:space="0" w:color="auto"/>
                <w:left w:val="none" w:sz="0" w:space="0" w:color="auto"/>
                <w:bottom w:val="none" w:sz="0" w:space="0" w:color="auto"/>
                <w:right w:val="none" w:sz="0" w:space="0" w:color="auto"/>
              </w:divBdr>
            </w:div>
            <w:div w:id="2043823962">
              <w:marLeft w:val="0"/>
              <w:marRight w:val="0"/>
              <w:marTop w:val="0"/>
              <w:marBottom w:val="0"/>
              <w:divBdr>
                <w:top w:val="none" w:sz="0" w:space="0" w:color="auto"/>
                <w:left w:val="none" w:sz="0" w:space="0" w:color="auto"/>
                <w:bottom w:val="none" w:sz="0" w:space="0" w:color="auto"/>
                <w:right w:val="none" w:sz="0" w:space="0" w:color="auto"/>
              </w:divBdr>
            </w:div>
            <w:div w:id="1586261168">
              <w:marLeft w:val="0"/>
              <w:marRight w:val="0"/>
              <w:marTop w:val="0"/>
              <w:marBottom w:val="0"/>
              <w:divBdr>
                <w:top w:val="none" w:sz="0" w:space="0" w:color="auto"/>
                <w:left w:val="none" w:sz="0" w:space="0" w:color="auto"/>
                <w:bottom w:val="none" w:sz="0" w:space="0" w:color="auto"/>
                <w:right w:val="none" w:sz="0" w:space="0" w:color="auto"/>
              </w:divBdr>
            </w:div>
            <w:div w:id="834537036">
              <w:marLeft w:val="0"/>
              <w:marRight w:val="0"/>
              <w:marTop w:val="0"/>
              <w:marBottom w:val="0"/>
              <w:divBdr>
                <w:top w:val="none" w:sz="0" w:space="0" w:color="auto"/>
                <w:left w:val="none" w:sz="0" w:space="0" w:color="auto"/>
                <w:bottom w:val="none" w:sz="0" w:space="0" w:color="auto"/>
                <w:right w:val="none" w:sz="0" w:space="0" w:color="auto"/>
              </w:divBdr>
            </w:div>
            <w:div w:id="556354348">
              <w:marLeft w:val="0"/>
              <w:marRight w:val="0"/>
              <w:marTop w:val="0"/>
              <w:marBottom w:val="0"/>
              <w:divBdr>
                <w:top w:val="none" w:sz="0" w:space="0" w:color="auto"/>
                <w:left w:val="none" w:sz="0" w:space="0" w:color="auto"/>
                <w:bottom w:val="none" w:sz="0" w:space="0" w:color="auto"/>
                <w:right w:val="none" w:sz="0" w:space="0" w:color="auto"/>
              </w:divBdr>
            </w:div>
            <w:div w:id="2027706928">
              <w:marLeft w:val="0"/>
              <w:marRight w:val="0"/>
              <w:marTop w:val="0"/>
              <w:marBottom w:val="0"/>
              <w:divBdr>
                <w:top w:val="none" w:sz="0" w:space="0" w:color="auto"/>
                <w:left w:val="none" w:sz="0" w:space="0" w:color="auto"/>
                <w:bottom w:val="none" w:sz="0" w:space="0" w:color="auto"/>
                <w:right w:val="none" w:sz="0" w:space="0" w:color="auto"/>
              </w:divBdr>
            </w:div>
            <w:div w:id="1028533446">
              <w:marLeft w:val="0"/>
              <w:marRight w:val="0"/>
              <w:marTop w:val="0"/>
              <w:marBottom w:val="0"/>
              <w:divBdr>
                <w:top w:val="none" w:sz="0" w:space="0" w:color="auto"/>
                <w:left w:val="none" w:sz="0" w:space="0" w:color="auto"/>
                <w:bottom w:val="none" w:sz="0" w:space="0" w:color="auto"/>
                <w:right w:val="none" w:sz="0" w:space="0" w:color="auto"/>
              </w:divBdr>
              <w:divsChild>
                <w:div w:id="1993217380">
                  <w:marLeft w:val="0"/>
                  <w:marRight w:val="0"/>
                  <w:marTop w:val="0"/>
                  <w:marBottom w:val="0"/>
                  <w:divBdr>
                    <w:top w:val="none" w:sz="0" w:space="0" w:color="000000"/>
                    <w:left w:val="none" w:sz="0" w:space="0" w:color="000000"/>
                    <w:bottom w:val="none" w:sz="0" w:space="0" w:color="000000"/>
                    <w:right w:val="none" w:sz="0" w:space="0" w:color="000000"/>
                  </w:divBdr>
                </w:div>
              </w:divsChild>
            </w:div>
            <w:div w:id="863639586">
              <w:marLeft w:val="0"/>
              <w:marRight w:val="0"/>
              <w:marTop w:val="0"/>
              <w:marBottom w:val="0"/>
              <w:divBdr>
                <w:top w:val="none" w:sz="0" w:space="0" w:color="auto"/>
                <w:left w:val="none" w:sz="0" w:space="0" w:color="auto"/>
                <w:bottom w:val="none" w:sz="0" w:space="0" w:color="auto"/>
                <w:right w:val="none" w:sz="0" w:space="0" w:color="auto"/>
              </w:divBdr>
            </w:div>
            <w:div w:id="1659920228">
              <w:marLeft w:val="0"/>
              <w:marRight w:val="0"/>
              <w:marTop w:val="0"/>
              <w:marBottom w:val="0"/>
              <w:divBdr>
                <w:top w:val="none" w:sz="0" w:space="0" w:color="auto"/>
                <w:left w:val="none" w:sz="0" w:space="0" w:color="auto"/>
                <w:bottom w:val="none" w:sz="0" w:space="0" w:color="auto"/>
                <w:right w:val="none" w:sz="0" w:space="0" w:color="auto"/>
              </w:divBdr>
            </w:div>
            <w:div w:id="470442912">
              <w:marLeft w:val="0"/>
              <w:marRight w:val="0"/>
              <w:marTop w:val="0"/>
              <w:marBottom w:val="0"/>
              <w:divBdr>
                <w:top w:val="none" w:sz="0" w:space="0" w:color="auto"/>
                <w:left w:val="none" w:sz="0" w:space="0" w:color="auto"/>
                <w:bottom w:val="none" w:sz="0" w:space="0" w:color="auto"/>
                <w:right w:val="none" w:sz="0" w:space="0" w:color="auto"/>
              </w:divBdr>
            </w:div>
            <w:div w:id="212469387">
              <w:marLeft w:val="0"/>
              <w:marRight w:val="0"/>
              <w:marTop w:val="0"/>
              <w:marBottom w:val="0"/>
              <w:divBdr>
                <w:top w:val="none" w:sz="0" w:space="0" w:color="auto"/>
                <w:left w:val="none" w:sz="0" w:space="0" w:color="auto"/>
                <w:bottom w:val="none" w:sz="0" w:space="0" w:color="auto"/>
                <w:right w:val="none" w:sz="0" w:space="0" w:color="auto"/>
              </w:divBdr>
            </w:div>
            <w:div w:id="422073559">
              <w:marLeft w:val="0"/>
              <w:marRight w:val="0"/>
              <w:marTop w:val="0"/>
              <w:marBottom w:val="0"/>
              <w:divBdr>
                <w:top w:val="none" w:sz="0" w:space="0" w:color="auto"/>
                <w:left w:val="none" w:sz="0" w:space="0" w:color="auto"/>
                <w:bottom w:val="none" w:sz="0" w:space="0" w:color="auto"/>
                <w:right w:val="none" w:sz="0" w:space="0" w:color="auto"/>
              </w:divBdr>
            </w:div>
            <w:div w:id="1887138142">
              <w:marLeft w:val="0"/>
              <w:marRight w:val="0"/>
              <w:marTop w:val="0"/>
              <w:marBottom w:val="0"/>
              <w:divBdr>
                <w:top w:val="none" w:sz="0" w:space="0" w:color="auto"/>
                <w:left w:val="none" w:sz="0" w:space="0" w:color="auto"/>
                <w:bottom w:val="none" w:sz="0" w:space="0" w:color="auto"/>
                <w:right w:val="none" w:sz="0" w:space="0" w:color="auto"/>
              </w:divBdr>
            </w:div>
            <w:div w:id="1032075234">
              <w:marLeft w:val="0"/>
              <w:marRight w:val="0"/>
              <w:marTop w:val="0"/>
              <w:marBottom w:val="0"/>
              <w:divBdr>
                <w:top w:val="none" w:sz="0" w:space="0" w:color="auto"/>
                <w:left w:val="none" w:sz="0" w:space="0" w:color="auto"/>
                <w:bottom w:val="none" w:sz="0" w:space="0" w:color="auto"/>
                <w:right w:val="none" w:sz="0" w:space="0" w:color="auto"/>
              </w:divBdr>
            </w:div>
            <w:div w:id="1747996616">
              <w:marLeft w:val="0"/>
              <w:marRight w:val="0"/>
              <w:marTop w:val="0"/>
              <w:marBottom w:val="0"/>
              <w:divBdr>
                <w:top w:val="none" w:sz="0" w:space="0" w:color="auto"/>
                <w:left w:val="none" w:sz="0" w:space="0" w:color="auto"/>
                <w:bottom w:val="none" w:sz="0" w:space="0" w:color="auto"/>
                <w:right w:val="none" w:sz="0" w:space="0" w:color="auto"/>
              </w:divBdr>
            </w:div>
            <w:div w:id="1053582950">
              <w:marLeft w:val="0"/>
              <w:marRight w:val="0"/>
              <w:marTop w:val="0"/>
              <w:marBottom w:val="0"/>
              <w:divBdr>
                <w:top w:val="none" w:sz="0" w:space="0" w:color="auto"/>
                <w:left w:val="none" w:sz="0" w:space="0" w:color="auto"/>
                <w:bottom w:val="none" w:sz="0" w:space="0" w:color="auto"/>
                <w:right w:val="none" w:sz="0" w:space="0" w:color="auto"/>
              </w:divBdr>
            </w:div>
            <w:div w:id="2122257985">
              <w:marLeft w:val="0"/>
              <w:marRight w:val="0"/>
              <w:marTop w:val="0"/>
              <w:marBottom w:val="0"/>
              <w:divBdr>
                <w:top w:val="none" w:sz="0" w:space="0" w:color="auto"/>
                <w:left w:val="none" w:sz="0" w:space="0" w:color="auto"/>
                <w:bottom w:val="none" w:sz="0" w:space="0" w:color="auto"/>
                <w:right w:val="none" w:sz="0" w:space="0" w:color="auto"/>
              </w:divBdr>
            </w:div>
            <w:div w:id="1037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hyperlink" Target="https://www.ceta.org.co/html/vista_de_un_articulo.asp?Norma=299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805"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804" TargetMode="External"/><Relationship Id="rId10" Type="http://schemas.openxmlformats.org/officeDocument/2006/relationships/hyperlink" Target="https://www.ceta.org.co/html/vista_de_un_articulo.asp?Norma=804" TargetMode="External"/><Relationship Id="rId4" Type="http://schemas.openxmlformats.org/officeDocument/2006/relationships/hyperlink" Target="https://www.ceta.org.co/html/vista_de_un_articulo.asp?Norma=29938" TargetMode="External"/><Relationship Id="rId9" Type="http://schemas.openxmlformats.org/officeDocument/2006/relationships/hyperlink" Target="https://www.ceta.org.co/html/vista_de_un_articulo.asp?Norma=540" TargetMode="External"/><Relationship Id="rId14" Type="http://schemas.openxmlformats.org/officeDocument/2006/relationships/hyperlink" Target="https://www.ceta.org.co/html/vista_de_un_articulo.asp?Norma=5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4865</Words>
  <Characters>26762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2021-08-30T21:32:00Z</dcterms:created>
  <dcterms:modified xsi:type="dcterms:W3CDTF">2021-08-30T21:32:00Z</dcterms:modified>
</cp:coreProperties>
</file>