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9D1E"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CONSEJO DE ESTADO</w:t>
      </w:r>
    </w:p>
    <w:p w14:paraId="0F0A846F"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SALA DE LO CONTENCIOSO ADMINISTRATIVO</w:t>
      </w:r>
    </w:p>
    <w:p w14:paraId="21874575"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SECCIÓN CUARTA</w:t>
      </w:r>
    </w:p>
    <w:p w14:paraId="5D8056A5"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 </w:t>
      </w:r>
    </w:p>
    <w:p w14:paraId="1F88DA2D"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Consejero ponente: MILTON CHAVES GARCÍA</w:t>
      </w:r>
    </w:p>
    <w:p w14:paraId="6026A8D8"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Bogotá, D. C., veintiséis (26) de noviembre de dos mil veinte (2020)</w:t>
      </w:r>
    </w:p>
    <w:p w14:paraId="46283EA9"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Radicación número: 25000-23-37-000-2015-00501-01(23046)</w:t>
      </w:r>
    </w:p>
    <w:p w14:paraId="10F8AB38"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Actor: FABIO GONZÁLEZ PERDOMO</w:t>
      </w:r>
    </w:p>
    <w:p w14:paraId="2ECD444F"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Demandado: DIRECCIÓN DE IMPUESTOS Y ADUANAS NACIONALES-DIAN</w:t>
      </w:r>
    </w:p>
    <w:p w14:paraId="13C250AF"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 </w:t>
      </w:r>
    </w:p>
    <w:p w14:paraId="209E1614"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FF"/>
          <w:sz w:val="28"/>
          <w:szCs w:val="28"/>
          <w:lang w:eastAsia="es-CO"/>
        </w:rPr>
        <w:t>FALLO</w:t>
      </w:r>
    </w:p>
    <w:p w14:paraId="6BC1C23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0343FC9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23CF8A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La Sala decide el recurso de apelación interpuesto por el demandante contra la sentencia del 26 de enero de 2017, proferida por el Tribunal Administrativo de Cundinamarca, Sección Cuarta – Subsección B, que negó las pretensiones de la demanda y no condenó en costas</w:t>
      </w:r>
      <w:r w:rsidRPr="00B97426">
        <w:rPr>
          <w:rFonts w:ascii="Segoe UI" w:eastAsia="Times New Roman" w:hAnsi="Segoe UI" w:cs="Segoe UI"/>
          <w:i/>
          <w:iCs/>
          <w:color w:val="000000"/>
          <w:sz w:val="22"/>
          <w:lang w:eastAsia="es-CO"/>
        </w:rPr>
        <w:t>.</w:t>
      </w:r>
    </w:p>
    <w:p w14:paraId="581BFE6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44FC91AF"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ANTECEDENTES</w:t>
      </w:r>
    </w:p>
    <w:p w14:paraId="286DCA9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1702629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6 de agosto de 2010, Fabio González Perdomo presentó la declaración del impuesto sobre la renta y complementarios del año gravable 2009</w:t>
      </w:r>
      <w:bookmarkStart w:id="0" w:name="_ftnref1"/>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w:t>
      </w:r>
      <w:r w:rsidRPr="00B97426">
        <w:rPr>
          <w:rFonts w:ascii="Segoe UI" w:eastAsia="Times New Roman" w:hAnsi="Segoe UI" w:cs="Segoe UI"/>
          <w:color w:val="000000"/>
          <w:sz w:val="22"/>
          <w:lang w:eastAsia="es-CO"/>
        </w:rPr>
        <w:fldChar w:fldCharType="end"/>
      </w:r>
      <w:bookmarkEnd w:id="0"/>
      <w:r w:rsidRPr="00B97426">
        <w:rPr>
          <w:rFonts w:ascii="Segoe UI" w:eastAsia="Times New Roman" w:hAnsi="Segoe UI" w:cs="Segoe UI"/>
          <w:color w:val="000000"/>
          <w:sz w:val="22"/>
          <w:lang w:eastAsia="es-CO"/>
        </w:rPr>
        <w:t>, en la que registró un total saldo a pagar de $825.000.</w:t>
      </w:r>
    </w:p>
    <w:p w14:paraId="518D233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E8D694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21 de agosto de 2012, la División de Gestión de Fiscalización de Personas Naturales y Asimiladas de la Dirección Seccional de Impuestos de Bogotá formuló el Requerimiento Especial 322392012000300</w:t>
      </w:r>
      <w:bookmarkStart w:id="1" w:name="_ftnref2"/>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w:t>
      </w:r>
      <w:r w:rsidRPr="00B97426">
        <w:rPr>
          <w:rFonts w:ascii="Segoe UI" w:eastAsia="Times New Roman" w:hAnsi="Segoe UI" w:cs="Segoe UI"/>
          <w:color w:val="000000"/>
          <w:sz w:val="22"/>
          <w:lang w:eastAsia="es-CO"/>
        </w:rPr>
        <w:fldChar w:fldCharType="end"/>
      </w:r>
      <w:bookmarkEnd w:id="1"/>
      <w:r w:rsidRPr="00B97426">
        <w:rPr>
          <w:rFonts w:ascii="Segoe UI" w:eastAsia="Times New Roman" w:hAnsi="Segoe UI" w:cs="Segoe UI"/>
          <w:color w:val="000000"/>
          <w:sz w:val="22"/>
          <w:lang w:eastAsia="es-CO"/>
        </w:rPr>
        <w:t>, en relación con la declaración tributaria indicada.</w:t>
      </w:r>
    </w:p>
    <w:p w14:paraId="020B756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CA47A6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Previa respuesta al requerimiento especial</w:t>
      </w:r>
      <w:bookmarkStart w:id="2" w:name="_ftnref3"/>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"_ftn3"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[3]</w:t>
      </w:r>
      <w:r w:rsidRPr="00B97426">
        <w:rPr>
          <w:rFonts w:ascii="Segoe UI" w:eastAsia="Times New Roman" w:hAnsi="Segoe UI" w:cs="Segoe UI"/>
          <w:color w:val="000000"/>
          <w:sz w:val="22"/>
          <w:lang w:eastAsia="es-CO"/>
        </w:rPr>
        <w:fldChar w:fldCharType="end"/>
      </w:r>
      <w:bookmarkEnd w:id="2"/>
      <w:r w:rsidRPr="00B97426">
        <w:rPr>
          <w:rFonts w:ascii="Segoe UI" w:eastAsia="Times New Roman" w:hAnsi="Segoe UI" w:cs="Segoe UI"/>
          <w:color w:val="000000"/>
          <w:sz w:val="22"/>
          <w:lang w:eastAsia="es-CO"/>
        </w:rPr>
        <w:t>, la División de Gestión de Liquidación de la Dirección Seccional señalada profirió la Liquidación Oficial de Revisión 322412013000349 del 16 de mayo de 2013</w:t>
      </w:r>
      <w:bookmarkStart w:id="3" w:name="_ftnref4"/>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"_ftn4"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[4]</w:t>
      </w:r>
      <w:r w:rsidRPr="00B97426">
        <w:rPr>
          <w:rFonts w:ascii="Segoe UI" w:eastAsia="Times New Roman" w:hAnsi="Segoe UI" w:cs="Segoe UI"/>
          <w:color w:val="000000"/>
          <w:sz w:val="22"/>
          <w:lang w:eastAsia="es-CO"/>
        </w:rPr>
        <w:fldChar w:fldCharType="end"/>
      </w:r>
      <w:bookmarkEnd w:id="3"/>
      <w:r w:rsidRPr="00B97426">
        <w:rPr>
          <w:rFonts w:ascii="Segoe UI" w:eastAsia="Times New Roman" w:hAnsi="Segoe UI" w:cs="Segoe UI"/>
          <w:color w:val="000000"/>
          <w:sz w:val="22"/>
          <w:lang w:eastAsia="es-CO"/>
        </w:rPr>
        <w:t>, en la cual desconoció pasivos de $46.178.000, determinó ingresos brutos por $1.629.505.000, fijó el costo de ventas en $478.863.000, el renglón de otras deducciones en $3.766.000, el saldo a pagar por impuesto en $362.961.000, la sanción por inexactitud en $579.418.000 y el total saldo a pagar en $942.379.000.</w:t>
      </w:r>
    </w:p>
    <w:p w14:paraId="1CF9079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8A5A0A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Contra el acto de determinación se interpuso recurso de reconsideración</w:t>
      </w:r>
      <w:bookmarkStart w:id="4" w:name="_ftnref5"/>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"_ftn5"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[5]</w:t>
      </w:r>
      <w:r w:rsidRPr="00B97426">
        <w:rPr>
          <w:rFonts w:ascii="Segoe UI" w:eastAsia="Times New Roman" w:hAnsi="Segoe UI" w:cs="Segoe UI"/>
          <w:color w:val="000000"/>
          <w:sz w:val="22"/>
          <w:lang w:eastAsia="es-CO"/>
        </w:rPr>
        <w:fldChar w:fldCharType="end"/>
      </w:r>
      <w:bookmarkEnd w:id="4"/>
      <w:r w:rsidRPr="00B97426">
        <w:rPr>
          <w:rFonts w:ascii="Segoe UI" w:eastAsia="Times New Roman" w:hAnsi="Segoe UI" w:cs="Segoe UI"/>
          <w:color w:val="000000"/>
          <w:sz w:val="22"/>
          <w:lang w:eastAsia="es-CO"/>
        </w:rPr>
        <w:t>, que fue decidido por la Resolución 900.218 del 11 de junio de 2014</w:t>
      </w:r>
      <w:bookmarkStart w:id="5" w:name="_ftnref6"/>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"_ftn6"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[6]</w:t>
      </w:r>
      <w:r w:rsidRPr="00B97426">
        <w:rPr>
          <w:rFonts w:ascii="Segoe UI" w:eastAsia="Times New Roman" w:hAnsi="Segoe UI" w:cs="Segoe UI"/>
          <w:color w:val="000000"/>
          <w:sz w:val="22"/>
          <w:lang w:eastAsia="es-CO"/>
        </w:rPr>
        <w:fldChar w:fldCharType="end"/>
      </w:r>
      <w:bookmarkEnd w:id="5"/>
      <w:r w:rsidRPr="00B97426">
        <w:rPr>
          <w:rFonts w:ascii="Segoe UI" w:eastAsia="Times New Roman" w:hAnsi="Segoe UI" w:cs="Segoe UI"/>
          <w:color w:val="000000"/>
          <w:sz w:val="22"/>
          <w:lang w:eastAsia="es-CO"/>
        </w:rPr>
        <w:t>, expedida por la Subdirección de Gestión de Recursos Jurídicos de la Dirección de Gestión Jurídica de la DIAN, en el sentido de confirmar la liquidación de revisión.</w:t>
      </w:r>
    </w:p>
    <w:p w14:paraId="251067E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16F6446"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DEMANDA</w:t>
      </w:r>
    </w:p>
    <w:p w14:paraId="29668E9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5E79C93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demandante, en ejercicio del medio de control de nulidad y restablecimiento del derecho, formuló las siguientes pretensiones:</w:t>
      </w:r>
    </w:p>
    <w:p w14:paraId="0128CB6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50EE28B"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18"/>
          <w:szCs w:val="18"/>
          <w:lang w:eastAsia="es-CO"/>
        </w:rPr>
        <w:t xml:space="preserve">«2.1.- Declarar la nulidad de la Liquidación Oficial de Revisión </w:t>
      </w:r>
      <w:proofErr w:type="spellStart"/>
      <w:r w:rsidRPr="00B97426">
        <w:rPr>
          <w:rFonts w:ascii="Segoe UI" w:eastAsia="Times New Roman" w:hAnsi="Segoe UI" w:cs="Segoe UI"/>
          <w:i/>
          <w:iCs/>
          <w:color w:val="000000"/>
          <w:sz w:val="18"/>
          <w:szCs w:val="18"/>
          <w:lang w:eastAsia="es-CO"/>
        </w:rPr>
        <w:t>N°</w:t>
      </w:r>
      <w:proofErr w:type="spellEnd"/>
      <w:r w:rsidRPr="00B97426">
        <w:rPr>
          <w:rFonts w:ascii="Segoe UI" w:eastAsia="Times New Roman" w:hAnsi="Segoe UI" w:cs="Segoe UI"/>
          <w:i/>
          <w:iCs/>
          <w:color w:val="000000"/>
          <w:sz w:val="18"/>
          <w:szCs w:val="18"/>
          <w:lang w:eastAsia="es-CO"/>
        </w:rPr>
        <w:t xml:space="preserve"> 322412013000349, proferida el 16 de mayo de 2013, y de la Resolución </w:t>
      </w:r>
      <w:proofErr w:type="spellStart"/>
      <w:r w:rsidRPr="00B97426">
        <w:rPr>
          <w:rFonts w:ascii="Segoe UI" w:eastAsia="Times New Roman" w:hAnsi="Segoe UI" w:cs="Segoe UI"/>
          <w:i/>
          <w:iCs/>
          <w:color w:val="000000"/>
          <w:sz w:val="18"/>
          <w:szCs w:val="18"/>
          <w:lang w:eastAsia="es-CO"/>
        </w:rPr>
        <w:t>N°</w:t>
      </w:r>
      <w:proofErr w:type="spellEnd"/>
      <w:r w:rsidRPr="00B97426">
        <w:rPr>
          <w:rFonts w:ascii="Segoe UI" w:eastAsia="Times New Roman" w:hAnsi="Segoe UI" w:cs="Segoe UI"/>
          <w:i/>
          <w:iCs/>
          <w:color w:val="000000"/>
          <w:sz w:val="18"/>
          <w:szCs w:val="18"/>
          <w:lang w:eastAsia="es-CO"/>
        </w:rPr>
        <w:t xml:space="preserve"> 900.218 del 11 de julio de 2014, por medio de las cuales se pretende modificar la declaración de renta y complementarios correspondiente al año gravable 2009, presentada por mi cliente.</w:t>
      </w:r>
    </w:p>
    <w:p w14:paraId="7715989B"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128C5ACD"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18"/>
          <w:szCs w:val="18"/>
          <w:lang w:eastAsia="es-CO"/>
        </w:rPr>
        <w:t>2.2.- Que se declare la firmeza de la declaración de renta y complementarios presentada por mi poderdante, el señor FABIO GONZÁLEZ PERDOMO con NIT 19.394.086-2, correspondiente al año gravable 2009.</w:t>
      </w:r>
    </w:p>
    <w:p w14:paraId="2D84164F"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3F589224"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18"/>
          <w:szCs w:val="18"/>
          <w:lang w:eastAsia="es-CO"/>
        </w:rPr>
        <w:t>2.3.- Que se ordene el cumplimiento de la sentencia dentro del término establecido en el artículo 66 y siguientes del Código de Procedimiento Administrativo y de lo Contencioso Administrativo».</w:t>
      </w:r>
    </w:p>
    <w:p w14:paraId="43EB46D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lastRenderedPageBreak/>
        <w:t> </w:t>
      </w:r>
    </w:p>
    <w:p w14:paraId="3408B4A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Invocó como disposiciones violadas, las siguientes:</w:t>
      </w:r>
    </w:p>
    <w:p w14:paraId="4D07B77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C157A83" w14:textId="77777777" w:rsidR="00B97426" w:rsidRPr="00B97426" w:rsidRDefault="00B97426" w:rsidP="00B97426">
      <w:pPr>
        <w:spacing w:after="0" w:line="240" w:lineRule="auto"/>
        <w:ind w:left="567" w:hanging="283"/>
        <w:jc w:val="both"/>
        <w:rPr>
          <w:rFonts w:ascii="Arial" w:eastAsia="Times New Roman" w:hAnsi="Arial" w:cs="Arial"/>
          <w:color w:val="000000"/>
          <w:sz w:val="18"/>
          <w:szCs w:val="18"/>
          <w:lang w:eastAsia="es-CO"/>
        </w:rPr>
      </w:pPr>
      <w:r w:rsidRPr="00B97426">
        <w:rPr>
          <w:rFonts w:ascii="Symbol" w:eastAsia="Times New Roman" w:hAnsi="Symbol" w:cs="Arial"/>
          <w:color w:val="000000"/>
          <w:szCs w:val="24"/>
          <w:lang w:eastAsia="es-CO"/>
        </w:rPr>
        <w:t>·</w:t>
      </w:r>
      <w:r w:rsidRPr="00B97426">
        <w:rPr>
          <w:rFonts w:eastAsia="Times New Roman" w:cs="Times New Roman"/>
          <w:color w:val="000000"/>
          <w:sz w:val="14"/>
          <w:szCs w:val="14"/>
          <w:lang w:eastAsia="es-CO"/>
        </w:rPr>
        <w:t>      </w:t>
      </w:r>
      <w:r w:rsidRPr="00B97426">
        <w:rPr>
          <w:rFonts w:ascii="Segoe UI" w:eastAsia="Times New Roman" w:hAnsi="Segoe UI" w:cs="Segoe UI"/>
          <w:color w:val="000000"/>
          <w:sz w:val="18"/>
          <w:szCs w:val="18"/>
          <w:lang w:eastAsia="es-CO"/>
        </w:rPr>
        <w:t>Artículos 6 y 29 de la Constitución Política</w:t>
      </w:r>
    </w:p>
    <w:p w14:paraId="1F09D539" w14:textId="77777777" w:rsidR="00B97426" w:rsidRPr="00B97426" w:rsidRDefault="00B97426" w:rsidP="00B97426">
      <w:pPr>
        <w:spacing w:after="0" w:line="240" w:lineRule="auto"/>
        <w:ind w:left="567" w:hanging="283"/>
        <w:jc w:val="both"/>
        <w:rPr>
          <w:rFonts w:ascii="Arial" w:eastAsia="Times New Roman" w:hAnsi="Arial" w:cs="Arial"/>
          <w:color w:val="000000"/>
          <w:sz w:val="18"/>
          <w:szCs w:val="18"/>
          <w:lang w:eastAsia="es-CO"/>
        </w:rPr>
      </w:pPr>
      <w:r w:rsidRPr="00B97426">
        <w:rPr>
          <w:rFonts w:ascii="Symbol" w:eastAsia="Times New Roman" w:hAnsi="Symbol" w:cs="Arial"/>
          <w:color w:val="000000"/>
          <w:szCs w:val="24"/>
          <w:lang w:eastAsia="es-CO"/>
        </w:rPr>
        <w:t>·</w:t>
      </w:r>
      <w:r w:rsidRPr="00B97426">
        <w:rPr>
          <w:rFonts w:eastAsia="Times New Roman" w:cs="Times New Roman"/>
          <w:color w:val="000000"/>
          <w:sz w:val="14"/>
          <w:szCs w:val="14"/>
          <w:lang w:eastAsia="es-CO"/>
        </w:rPr>
        <w:t>      </w:t>
      </w:r>
      <w:r w:rsidRPr="00B97426">
        <w:rPr>
          <w:rFonts w:ascii="Segoe UI" w:eastAsia="Times New Roman" w:hAnsi="Segoe UI" w:cs="Segoe UI"/>
          <w:color w:val="000000"/>
          <w:sz w:val="18"/>
          <w:szCs w:val="18"/>
          <w:lang w:eastAsia="es-CO"/>
        </w:rPr>
        <w:t>Artículos 3, 42 y 80 del Código de Procedimiento Administrativo y de lo Contencioso Administrativo</w:t>
      </w:r>
    </w:p>
    <w:p w14:paraId="5745B92F" w14:textId="77777777" w:rsidR="00B97426" w:rsidRPr="00B97426" w:rsidRDefault="00B97426" w:rsidP="00B97426">
      <w:pPr>
        <w:spacing w:after="0" w:line="240" w:lineRule="auto"/>
        <w:ind w:left="567" w:hanging="283"/>
        <w:jc w:val="both"/>
        <w:rPr>
          <w:rFonts w:ascii="Arial" w:eastAsia="Times New Roman" w:hAnsi="Arial" w:cs="Arial"/>
          <w:color w:val="000000"/>
          <w:sz w:val="18"/>
          <w:szCs w:val="18"/>
          <w:lang w:eastAsia="es-CO"/>
        </w:rPr>
      </w:pPr>
      <w:r w:rsidRPr="00B97426">
        <w:rPr>
          <w:rFonts w:ascii="Symbol" w:eastAsia="Times New Roman" w:hAnsi="Symbol" w:cs="Arial"/>
          <w:color w:val="000000"/>
          <w:szCs w:val="24"/>
          <w:lang w:eastAsia="es-CO"/>
        </w:rPr>
        <w:t>·</w:t>
      </w:r>
      <w:r w:rsidRPr="00B97426">
        <w:rPr>
          <w:rFonts w:eastAsia="Times New Roman" w:cs="Times New Roman"/>
          <w:color w:val="000000"/>
          <w:sz w:val="14"/>
          <w:szCs w:val="14"/>
          <w:lang w:eastAsia="es-CO"/>
        </w:rPr>
        <w:t>      </w:t>
      </w:r>
      <w:r w:rsidRPr="00B97426">
        <w:rPr>
          <w:rFonts w:ascii="Segoe UI" w:eastAsia="Times New Roman" w:hAnsi="Segoe UI" w:cs="Segoe UI"/>
          <w:color w:val="000000"/>
          <w:sz w:val="18"/>
          <w:szCs w:val="18"/>
          <w:lang w:eastAsia="es-CO"/>
        </w:rPr>
        <w:t>Artículos 164, 165, 167, 173 y 176 de Código General del Proceso</w:t>
      </w:r>
    </w:p>
    <w:p w14:paraId="28DE12DF" w14:textId="77777777" w:rsidR="00B97426" w:rsidRPr="00B97426" w:rsidRDefault="00B97426" w:rsidP="00B97426">
      <w:pPr>
        <w:spacing w:after="0" w:line="240" w:lineRule="auto"/>
        <w:ind w:left="567" w:hanging="283"/>
        <w:jc w:val="both"/>
        <w:rPr>
          <w:rFonts w:ascii="Arial" w:eastAsia="Times New Roman" w:hAnsi="Arial" w:cs="Arial"/>
          <w:color w:val="000000"/>
          <w:sz w:val="18"/>
          <w:szCs w:val="18"/>
          <w:lang w:eastAsia="es-CO"/>
        </w:rPr>
      </w:pPr>
      <w:r w:rsidRPr="00B97426">
        <w:rPr>
          <w:rFonts w:ascii="Symbol" w:eastAsia="Times New Roman" w:hAnsi="Symbol" w:cs="Arial"/>
          <w:color w:val="000000"/>
          <w:szCs w:val="24"/>
          <w:lang w:eastAsia="es-CO"/>
        </w:rPr>
        <w:t>·</w:t>
      </w:r>
      <w:r w:rsidRPr="00B97426">
        <w:rPr>
          <w:rFonts w:eastAsia="Times New Roman" w:cs="Times New Roman"/>
          <w:color w:val="000000"/>
          <w:sz w:val="14"/>
          <w:szCs w:val="14"/>
          <w:lang w:eastAsia="es-CO"/>
        </w:rPr>
        <w:t>      </w:t>
      </w:r>
      <w:r w:rsidRPr="00B97426">
        <w:rPr>
          <w:rFonts w:ascii="Segoe UI" w:eastAsia="Times New Roman" w:hAnsi="Segoe UI" w:cs="Segoe UI"/>
          <w:color w:val="000000"/>
          <w:sz w:val="18"/>
          <w:szCs w:val="18"/>
          <w:lang w:eastAsia="es-CO"/>
        </w:rPr>
        <w:t>Artículos </w:t>
      </w:r>
      <w:hyperlink r:id="rId4" w:tooltip="Estatuto Tributario CETA" w:history="1">
        <w:r w:rsidRPr="00B97426">
          <w:rPr>
            <w:rFonts w:ascii="Segoe UI" w:eastAsia="Times New Roman" w:hAnsi="Segoe UI" w:cs="Segoe UI"/>
            <w:color w:val="0089E1"/>
            <w:sz w:val="18"/>
            <w:szCs w:val="18"/>
            <w:lang w:eastAsia="es-CO"/>
          </w:rPr>
          <w:t>283</w:t>
        </w:r>
      </w:hyperlink>
      <w:r w:rsidRPr="00B97426">
        <w:rPr>
          <w:rFonts w:ascii="Segoe UI" w:eastAsia="Times New Roman" w:hAnsi="Segoe UI" w:cs="Segoe UI"/>
          <w:color w:val="000000"/>
          <w:sz w:val="18"/>
          <w:szCs w:val="18"/>
          <w:lang w:eastAsia="es-CO"/>
        </w:rPr>
        <w:t>, </w:t>
      </w:r>
      <w:hyperlink r:id="rId5" w:tooltip="Estatuto Tributario CETA" w:history="1">
        <w:r w:rsidRPr="00B97426">
          <w:rPr>
            <w:rFonts w:ascii="Segoe UI" w:eastAsia="Times New Roman" w:hAnsi="Segoe UI" w:cs="Segoe UI"/>
            <w:color w:val="0089E1"/>
            <w:sz w:val="18"/>
            <w:szCs w:val="18"/>
            <w:lang w:eastAsia="es-CO"/>
          </w:rPr>
          <w:t>647</w:t>
        </w:r>
      </w:hyperlink>
      <w:r w:rsidRPr="00B97426">
        <w:rPr>
          <w:rFonts w:ascii="Segoe UI" w:eastAsia="Times New Roman" w:hAnsi="Segoe UI" w:cs="Segoe UI"/>
          <w:color w:val="000000"/>
          <w:sz w:val="18"/>
          <w:szCs w:val="18"/>
          <w:lang w:eastAsia="es-CO"/>
        </w:rPr>
        <w:t>, </w:t>
      </w:r>
      <w:hyperlink r:id="rId6" w:tooltip="Estatuto Tributario CETA" w:history="1">
        <w:r w:rsidRPr="00B97426">
          <w:rPr>
            <w:rFonts w:ascii="Segoe UI" w:eastAsia="Times New Roman" w:hAnsi="Segoe UI" w:cs="Segoe UI"/>
            <w:color w:val="0089E1"/>
            <w:sz w:val="18"/>
            <w:szCs w:val="18"/>
            <w:lang w:eastAsia="es-CO"/>
          </w:rPr>
          <w:t>683</w:t>
        </w:r>
      </w:hyperlink>
      <w:r w:rsidRPr="00B97426">
        <w:rPr>
          <w:rFonts w:ascii="Segoe UI" w:eastAsia="Times New Roman" w:hAnsi="Segoe UI" w:cs="Segoe UI"/>
          <w:color w:val="000000"/>
          <w:sz w:val="18"/>
          <w:szCs w:val="18"/>
          <w:lang w:eastAsia="es-CO"/>
        </w:rPr>
        <w:t>, </w:t>
      </w:r>
      <w:hyperlink r:id="rId7" w:tooltip="Estatuto Tributario CETA" w:history="1">
        <w:r w:rsidRPr="00B97426">
          <w:rPr>
            <w:rFonts w:ascii="Segoe UI" w:eastAsia="Times New Roman" w:hAnsi="Segoe UI" w:cs="Segoe UI"/>
            <w:color w:val="0089E1"/>
            <w:sz w:val="18"/>
            <w:szCs w:val="18"/>
            <w:lang w:eastAsia="es-CO"/>
          </w:rPr>
          <w:t>742</w:t>
        </w:r>
      </w:hyperlink>
      <w:r w:rsidRPr="00B97426">
        <w:rPr>
          <w:rFonts w:ascii="Segoe UI" w:eastAsia="Times New Roman" w:hAnsi="Segoe UI" w:cs="Segoe UI"/>
          <w:color w:val="000000"/>
          <w:sz w:val="18"/>
          <w:szCs w:val="18"/>
          <w:lang w:eastAsia="es-CO"/>
        </w:rPr>
        <w:t>, </w:t>
      </w:r>
      <w:hyperlink r:id="rId8" w:tooltip="Estatuto Tributario CETA" w:history="1">
        <w:r w:rsidRPr="00B97426">
          <w:rPr>
            <w:rFonts w:ascii="Segoe UI" w:eastAsia="Times New Roman" w:hAnsi="Segoe UI" w:cs="Segoe UI"/>
            <w:color w:val="0089E1"/>
            <w:sz w:val="18"/>
            <w:szCs w:val="18"/>
            <w:lang w:eastAsia="es-CO"/>
          </w:rPr>
          <w:t>743</w:t>
        </w:r>
      </w:hyperlink>
      <w:r w:rsidRPr="00B97426">
        <w:rPr>
          <w:rFonts w:ascii="Segoe UI" w:eastAsia="Times New Roman" w:hAnsi="Segoe UI" w:cs="Segoe UI"/>
          <w:color w:val="000000"/>
          <w:sz w:val="18"/>
          <w:szCs w:val="18"/>
          <w:lang w:eastAsia="es-CO"/>
        </w:rPr>
        <w:t>, </w:t>
      </w:r>
      <w:hyperlink r:id="rId9" w:tooltip="Estatuto Tributario CETA" w:history="1">
        <w:r w:rsidRPr="00B97426">
          <w:rPr>
            <w:rFonts w:ascii="Segoe UI" w:eastAsia="Times New Roman" w:hAnsi="Segoe UI" w:cs="Segoe UI"/>
            <w:color w:val="0089E1"/>
            <w:sz w:val="18"/>
            <w:szCs w:val="18"/>
            <w:lang w:eastAsia="es-CO"/>
          </w:rPr>
          <w:t>744</w:t>
        </w:r>
      </w:hyperlink>
      <w:r w:rsidRPr="00B97426">
        <w:rPr>
          <w:rFonts w:ascii="Segoe UI" w:eastAsia="Times New Roman" w:hAnsi="Segoe UI" w:cs="Segoe UI"/>
          <w:color w:val="000000"/>
          <w:sz w:val="18"/>
          <w:szCs w:val="18"/>
          <w:lang w:eastAsia="es-CO"/>
        </w:rPr>
        <w:t>, </w:t>
      </w:r>
      <w:hyperlink r:id="rId10" w:tooltip="Estatuto Tributario CETA" w:history="1">
        <w:r w:rsidRPr="00B97426">
          <w:rPr>
            <w:rFonts w:ascii="Segoe UI" w:eastAsia="Times New Roman" w:hAnsi="Segoe UI" w:cs="Segoe UI"/>
            <w:color w:val="0089E1"/>
            <w:sz w:val="18"/>
            <w:szCs w:val="18"/>
            <w:lang w:eastAsia="es-CO"/>
          </w:rPr>
          <w:t>760</w:t>
        </w:r>
      </w:hyperlink>
      <w:r w:rsidRPr="00B97426">
        <w:rPr>
          <w:rFonts w:ascii="Segoe UI" w:eastAsia="Times New Roman" w:hAnsi="Segoe UI" w:cs="Segoe UI"/>
          <w:color w:val="000000"/>
          <w:sz w:val="18"/>
          <w:szCs w:val="18"/>
          <w:lang w:eastAsia="es-CO"/>
        </w:rPr>
        <w:t>, </w:t>
      </w:r>
      <w:hyperlink r:id="rId11" w:tooltip="Estatuto Tributario CETA" w:history="1">
        <w:r w:rsidRPr="00B97426">
          <w:rPr>
            <w:rFonts w:ascii="Segoe UI" w:eastAsia="Times New Roman" w:hAnsi="Segoe UI" w:cs="Segoe UI"/>
            <w:color w:val="0089E1"/>
            <w:sz w:val="18"/>
            <w:szCs w:val="18"/>
            <w:lang w:eastAsia="es-CO"/>
          </w:rPr>
          <w:t>770</w:t>
        </w:r>
      </w:hyperlink>
      <w:r w:rsidRPr="00B97426">
        <w:rPr>
          <w:rFonts w:ascii="Segoe UI" w:eastAsia="Times New Roman" w:hAnsi="Segoe UI" w:cs="Segoe UI"/>
          <w:color w:val="000000"/>
          <w:sz w:val="18"/>
          <w:szCs w:val="18"/>
          <w:lang w:eastAsia="es-CO"/>
        </w:rPr>
        <w:t>, </w:t>
      </w:r>
      <w:hyperlink r:id="rId12" w:tooltip="Estatuto Tributario CETA" w:history="1">
        <w:r w:rsidRPr="00B97426">
          <w:rPr>
            <w:rFonts w:ascii="Segoe UI" w:eastAsia="Times New Roman" w:hAnsi="Segoe UI" w:cs="Segoe UI"/>
            <w:color w:val="0089E1"/>
            <w:sz w:val="18"/>
            <w:szCs w:val="18"/>
            <w:lang w:eastAsia="es-CO"/>
          </w:rPr>
          <w:t>771-2</w:t>
        </w:r>
      </w:hyperlink>
      <w:r w:rsidRPr="00B97426">
        <w:rPr>
          <w:rFonts w:ascii="Segoe UI" w:eastAsia="Times New Roman" w:hAnsi="Segoe UI" w:cs="Segoe UI"/>
          <w:color w:val="000000"/>
          <w:sz w:val="18"/>
          <w:szCs w:val="18"/>
          <w:lang w:eastAsia="es-CO"/>
        </w:rPr>
        <w:t>, </w:t>
      </w:r>
      <w:hyperlink r:id="rId13" w:tooltip="Estatuto Tributario CETA" w:history="1">
        <w:r w:rsidRPr="00B97426">
          <w:rPr>
            <w:rFonts w:ascii="Segoe UI" w:eastAsia="Times New Roman" w:hAnsi="Segoe UI" w:cs="Segoe UI"/>
            <w:color w:val="0089E1"/>
            <w:sz w:val="18"/>
            <w:szCs w:val="18"/>
            <w:lang w:eastAsia="es-CO"/>
          </w:rPr>
          <w:t>775 </w:t>
        </w:r>
      </w:hyperlink>
      <w:r w:rsidRPr="00B97426">
        <w:rPr>
          <w:rFonts w:ascii="Segoe UI" w:eastAsia="Times New Roman" w:hAnsi="Segoe UI" w:cs="Segoe UI"/>
          <w:color w:val="000000"/>
          <w:sz w:val="18"/>
          <w:szCs w:val="18"/>
          <w:lang w:eastAsia="es-CO"/>
        </w:rPr>
        <w:t>y </w:t>
      </w:r>
      <w:hyperlink r:id="rId14" w:tooltip="Estatuto Tributario CETA" w:history="1">
        <w:r w:rsidRPr="00B97426">
          <w:rPr>
            <w:rFonts w:ascii="Segoe UI" w:eastAsia="Times New Roman" w:hAnsi="Segoe UI" w:cs="Segoe UI"/>
            <w:color w:val="0089E1"/>
            <w:sz w:val="18"/>
            <w:szCs w:val="18"/>
            <w:lang w:eastAsia="es-CO"/>
          </w:rPr>
          <w:t>777</w:t>
        </w:r>
      </w:hyperlink>
      <w:r w:rsidRPr="00B97426">
        <w:rPr>
          <w:rFonts w:ascii="Segoe UI" w:eastAsia="Times New Roman" w:hAnsi="Segoe UI" w:cs="Segoe UI"/>
          <w:color w:val="000000"/>
          <w:sz w:val="18"/>
          <w:szCs w:val="18"/>
          <w:lang w:eastAsia="es-CO"/>
        </w:rPr>
        <w:t> del Estatuto Tributario</w:t>
      </w:r>
    </w:p>
    <w:p w14:paraId="6A86C3D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F13C5E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Como concepto de la violación expuso, en síntesis, lo siguiente:</w:t>
      </w:r>
    </w:p>
    <w:p w14:paraId="449B1A1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D45880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Afirmó que se vulneró el debido proceso y el derecho de contradicción, porque los </w:t>
      </w:r>
      <w:r w:rsidRPr="00B97426">
        <w:rPr>
          <w:rFonts w:ascii="Segoe UI" w:eastAsia="Times New Roman" w:hAnsi="Segoe UI" w:cs="Segoe UI"/>
          <w:b/>
          <w:bCs/>
          <w:color w:val="000000"/>
          <w:sz w:val="22"/>
          <w:lang w:eastAsia="es-CO"/>
        </w:rPr>
        <w:t>pasivos </w:t>
      </w:r>
      <w:r w:rsidRPr="00B97426">
        <w:rPr>
          <w:rFonts w:ascii="Segoe UI" w:eastAsia="Times New Roman" w:hAnsi="Segoe UI" w:cs="Segoe UI"/>
          <w:color w:val="000000"/>
          <w:sz w:val="22"/>
          <w:lang w:eastAsia="es-CO"/>
        </w:rPr>
        <w:t>declarados por el contribuyente están soportados en facturas y fueron certificados por contador público, circunstancia que no fue objeto de verificación.</w:t>
      </w:r>
    </w:p>
    <w:p w14:paraId="3F81396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B85219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Explicó que la </w:t>
      </w:r>
      <w:r w:rsidRPr="00B97426">
        <w:rPr>
          <w:rFonts w:ascii="Segoe UI" w:eastAsia="Times New Roman" w:hAnsi="Segoe UI" w:cs="Segoe UI"/>
          <w:b/>
          <w:bCs/>
          <w:color w:val="000000"/>
          <w:sz w:val="18"/>
          <w:szCs w:val="18"/>
          <w:lang w:eastAsia="es-CO"/>
        </w:rPr>
        <w:t>presunción de ingresos </w:t>
      </w:r>
      <w:r w:rsidRPr="00B97426">
        <w:rPr>
          <w:rFonts w:ascii="Segoe UI" w:eastAsia="Times New Roman" w:hAnsi="Segoe UI" w:cs="Segoe UI"/>
          <w:color w:val="000000"/>
          <w:sz w:val="18"/>
          <w:szCs w:val="18"/>
          <w:lang w:eastAsia="es-CO"/>
        </w:rPr>
        <w:t>por omisión del registro de compras es improcedente, ante «</w:t>
      </w:r>
      <w:r w:rsidRPr="00B97426">
        <w:rPr>
          <w:rFonts w:ascii="Segoe UI" w:eastAsia="Times New Roman" w:hAnsi="Segoe UI" w:cs="Segoe UI"/>
          <w:i/>
          <w:iCs/>
          <w:color w:val="000000"/>
          <w:sz w:val="18"/>
          <w:szCs w:val="18"/>
          <w:lang w:eastAsia="es-CO"/>
        </w:rPr>
        <w:t>la no inclusión en las declaraciones de la totalidad de esas compras</w:t>
      </w:r>
      <w:bookmarkStart w:id="6" w:name="_ftnref7"/>
      <w:r w:rsidRPr="00B97426">
        <w:rPr>
          <w:rFonts w:ascii="Segoe UI" w:eastAsia="Times New Roman" w:hAnsi="Segoe UI" w:cs="Segoe UI"/>
          <w:i/>
          <w:iCs/>
          <w:color w:val="000000"/>
          <w:sz w:val="18"/>
          <w:szCs w:val="18"/>
          <w:lang w:eastAsia="es-CO"/>
        </w:rPr>
        <w:fldChar w:fldCharType="begin"/>
      </w:r>
      <w:r w:rsidRPr="00B97426">
        <w:rPr>
          <w:rFonts w:ascii="Segoe UI" w:eastAsia="Times New Roman" w:hAnsi="Segoe UI" w:cs="Segoe UI"/>
          <w:i/>
          <w:iCs/>
          <w:color w:val="000000"/>
          <w:sz w:val="18"/>
          <w:szCs w:val="18"/>
          <w:lang w:eastAsia="es-CO"/>
        </w:rPr>
        <w:instrText xml:space="preserve"> HYPERLINK "https://www.ceta.org.co/html/vista_de_un_documento.asp?DocumentoID=41236" \l "_ftn7" \o "" </w:instrText>
      </w:r>
      <w:r w:rsidRPr="00B97426">
        <w:rPr>
          <w:rFonts w:ascii="Segoe UI" w:eastAsia="Times New Roman" w:hAnsi="Segoe UI" w:cs="Segoe UI"/>
          <w:i/>
          <w:iCs/>
          <w:color w:val="000000"/>
          <w:sz w:val="18"/>
          <w:szCs w:val="18"/>
          <w:lang w:eastAsia="es-CO"/>
        </w:rPr>
        <w:fldChar w:fldCharType="separate"/>
      </w:r>
      <w:r w:rsidRPr="00B97426">
        <w:rPr>
          <w:rFonts w:ascii="Segoe UI" w:eastAsia="Times New Roman" w:hAnsi="Segoe UI" w:cs="Segoe UI"/>
          <w:b/>
          <w:bCs/>
          <w:i/>
          <w:iCs/>
          <w:color w:val="0089E1"/>
          <w:sz w:val="22"/>
          <w:lang w:eastAsia="es-CO"/>
        </w:rPr>
        <w:t>[7]</w:t>
      </w:r>
      <w:r w:rsidRPr="00B97426">
        <w:rPr>
          <w:rFonts w:ascii="Segoe UI" w:eastAsia="Times New Roman" w:hAnsi="Segoe UI" w:cs="Segoe UI"/>
          <w:i/>
          <w:iCs/>
          <w:color w:val="000000"/>
          <w:sz w:val="18"/>
          <w:szCs w:val="18"/>
          <w:lang w:eastAsia="es-CO"/>
        </w:rPr>
        <w:fldChar w:fldCharType="end"/>
      </w:r>
      <w:bookmarkEnd w:id="6"/>
      <w:r w:rsidRPr="00B97426">
        <w:rPr>
          <w:rFonts w:ascii="Segoe UI" w:eastAsia="Times New Roman" w:hAnsi="Segoe UI" w:cs="Segoe UI"/>
          <w:color w:val="000000"/>
          <w:sz w:val="18"/>
          <w:szCs w:val="18"/>
          <w:lang w:eastAsia="es-CO"/>
        </w:rPr>
        <w:t>», porque las mismas estaban contabilizadas, aunque no se solicitaron en su totalidad, lo que a su juicio, daría lugar a la presunción por diferencia de inventarios. En ese sentido, echo de menos que la DIAN constatara la omisión cuestionada y la contabilidad del contribuyente.</w:t>
      </w:r>
    </w:p>
    <w:p w14:paraId="1D6604D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DD41F9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Anotó que la información exógena en que se fundó la adición de </w:t>
      </w:r>
      <w:r w:rsidRPr="00B97426">
        <w:rPr>
          <w:rFonts w:ascii="Segoe UI" w:eastAsia="Times New Roman" w:hAnsi="Segoe UI" w:cs="Segoe UI"/>
          <w:b/>
          <w:bCs/>
          <w:color w:val="000000"/>
          <w:sz w:val="22"/>
          <w:lang w:eastAsia="es-CO"/>
        </w:rPr>
        <w:t>ingresos </w:t>
      </w:r>
      <w:r w:rsidRPr="00B97426">
        <w:rPr>
          <w:rFonts w:ascii="Segoe UI" w:eastAsia="Times New Roman" w:hAnsi="Segoe UI" w:cs="Segoe UI"/>
          <w:color w:val="000000"/>
          <w:sz w:val="22"/>
          <w:lang w:eastAsia="es-CO"/>
        </w:rPr>
        <w:t>por operaciones con terceros no es prueba suficiente, pues no se ejercieron otros medios demostrativos y la contabilidad del contribuyente constituye prueba a su favor.</w:t>
      </w:r>
    </w:p>
    <w:p w14:paraId="7DCCD73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66A5B3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Adujo que en la actuación administrativa presentó la relación detallada del </w:t>
      </w:r>
      <w:r w:rsidRPr="00B97426">
        <w:rPr>
          <w:rFonts w:ascii="Segoe UI" w:eastAsia="Times New Roman" w:hAnsi="Segoe UI" w:cs="Segoe UI"/>
          <w:b/>
          <w:bCs/>
          <w:color w:val="000000"/>
          <w:sz w:val="22"/>
          <w:lang w:eastAsia="es-CO"/>
        </w:rPr>
        <w:t>costo de ventas </w:t>
      </w:r>
      <w:r w:rsidRPr="00B97426">
        <w:rPr>
          <w:rFonts w:ascii="Segoe UI" w:eastAsia="Times New Roman" w:hAnsi="Segoe UI" w:cs="Segoe UI"/>
          <w:color w:val="000000"/>
          <w:sz w:val="22"/>
          <w:lang w:eastAsia="es-CO"/>
        </w:rPr>
        <w:t>con sus respectivos soportes (facturas), sin que fueran valorados bajo las reglas de sana crítica para su desconocimiento, lo cual transgrede el debido proceso y los derechos de defensa y de contradicción.</w:t>
      </w:r>
    </w:p>
    <w:p w14:paraId="293AF46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5BFB51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Argumentó que </w:t>
      </w:r>
      <w:r w:rsidRPr="00B97426">
        <w:rPr>
          <w:rFonts w:ascii="Segoe UI" w:eastAsia="Times New Roman" w:hAnsi="Segoe UI" w:cs="Segoe UI"/>
          <w:b/>
          <w:bCs/>
          <w:color w:val="000000"/>
          <w:sz w:val="22"/>
          <w:lang w:eastAsia="es-CO"/>
        </w:rPr>
        <w:t>otras deducciones </w:t>
      </w:r>
      <w:r w:rsidRPr="00B97426">
        <w:rPr>
          <w:rFonts w:ascii="Segoe UI" w:eastAsia="Times New Roman" w:hAnsi="Segoe UI" w:cs="Segoe UI"/>
          <w:color w:val="000000"/>
          <w:sz w:val="22"/>
          <w:lang w:eastAsia="es-CO"/>
        </w:rPr>
        <w:t>declaradas relacionadas con operaciones con terceros cumplen los requisitos para su reconocimiento, aunque fueron admitidas por la DIAN como costo de ventas, cuando en realidad son un gasto.</w:t>
      </w:r>
    </w:p>
    <w:p w14:paraId="369315B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3B5BA1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Alegó que la </w:t>
      </w:r>
      <w:r w:rsidRPr="00B97426">
        <w:rPr>
          <w:rFonts w:ascii="Segoe UI" w:eastAsia="Times New Roman" w:hAnsi="Segoe UI" w:cs="Segoe UI"/>
          <w:b/>
          <w:bCs/>
          <w:color w:val="000000"/>
          <w:sz w:val="22"/>
          <w:lang w:eastAsia="es-CO"/>
        </w:rPr>
        <w:t>sanción por inexactitud </w:t>
      </w:r>
      <w:r w:rsidRPr="00B97426">
        <w:rPr>
          <w:rFonts w:ascii="Segoe UI" w:eastAsia="Times New Roman" w:hAnsi="Segoe UI" w:cs="Segoe UI"/>
          <w:color w:val="000000"/>
          <w:sz w:val="22"/>
          <w:lang w:eastAsia="es-CO"/>
        </w:rPr>
        <w:t>es improcedente, pues no se presentaron los supuestos para su imposición y los aducidos por la demandada no corresponden a la realidad.</w:t>
      </w:r>
    </w:p>
    <w:p w14:paraId="2DB0FAA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98D44B0"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OPOSICIÓN</w:t>
      </w:r>
    </w:p>
    <w:p w14:paraId="3B911A9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48B5AFB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La </w:t>
      </w:r>
      <w:r w:rsidRPr="00B97426">
        <w:rPr>
          <w:rFonts w:ascii="Segoe UI" w:eastAsia="Times New Roman" w:hAnsi="Segoe UI" w:cs="Segoe UI"/>
          <w:b/>
          <w:bCs/>
          <w:color w:val="000000"/>
          <w:sz w:val="22"/>
          <w:lang w:eastAsia="es-CO"/>
        </w:rPr>
        <w:t>DIAN </w:t>
      </w:r>
      <w:r w:rsidRPr="00B97426">
        <w:rPr>
          <w:rFonts w:ascii="Segoe UI" w:eastAsia="Times New Roman" w:hAnsi="Segoe UI" w:cs="Segoe UI"/>
          <w:color w:val="000000"/>
          <w:sz w:val="22"/>
          <w:lang w:eastAsia="es-CO"/>
        </w:rPr>
        <w:t>se opuso a las pretensiones de la demanda, con fundamento en lo siguiente:</w:t>
      </w:r>
    </w:p>
    <w:p w14:paraId="7D22639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B541BA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Afirmó que el contribuyente no presentó pruebas idóneas de los pasivos declarados, ni la relación detallada de los mismos, y la certificación de contador que allegó no reúne los requisitos legales para su reconocimiento.</w:t>
      </w:r>
    </w:p>
    <w:p w14:paraId="54B4E61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AEC3B8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Expuso que de la operación de sacrificio de semovientes realizada con terceros se estableció que el contribuyente realizó compras destinadas a operaciones gravadas superiores a las declaradas, circunstancia que no fue desvirtuada y que resulta en la aplicación de la presunción de ingresos por omisión del registro de compras.</w:t>
      </w:r>
    </w:p>
    <w:p w14:paraId="13B479D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DB3181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Aclaró que la ausencia de registro de la totalidad de las compras en la declaración tributaria deriva en la aplicación de la presunción aducida, sin que importe si están o no contabilizadas, o que dicha contabilización haya sido objeto de verificación.</w:t>
      </w:r>
    </w:p>
    <w:p w14:paraId="2AB085F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11063D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Anotó que no procede la presunción por diferencia de inventarios, porque el actor no los registró en su declaración ni tampoco los maneja, en razón a la naturaleza perecedera del producto que comercializa (carne).</w:t>
      </w:r>
    </w:p>
    <w:p w14:paraId="7CD32CC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C68FFC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lastRenderedPageBreak/>
        <w:t>Señaló que la información exógena que sirvió de fundamento a los ingresos adicionados por operaciones con terceros, constituye prueba testimonial que no fue desvirtuada por el contribuyente.</w:t>
      </w:r>
    </w:p>
    <w:p w14:paraId="7328F49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53D394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Expresó que el costo de ventas declarado difiere del informado por el mismo contribuyente, que no se aportaron los documentos que sustentan las transacciones cuestionadas, y que los presentados no cumplen los requisitos para su reconocimiento.</w:t>
      </w:r>
    </w:p>
    <w:p w14:paraId="18CA1CC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CBFA21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Manifestó que los montos cuestionados respecto del renglón de «</w:t>
      </w:r>
      <w:r w:rsidRPr="00B97426">
        <w:rPr>
          <w:rFonts w:ascii="Segoe UI" w:eastAsia="Times New Roman" w:hAnsi="Segoe UI" w:cs="Segoe UI"/>
          <w:i/>
          <w:iCs/>
          <w:color w:val="000000"/>
          <w:sz w:val="18"/>
          <w:szCs w:val="18"/>
          <w:lang w:eastAsia="es-CO"/>
        </w:rPr>
        <w:t>otras deducciones</w:t>
      </w:r>
      <w:r w:rsidRPr="00B97426">
        <w:rPr>
          <w:rFonts w:ascii="Segoe UI" w:eastAsia="Times New Roman" w:hAnsi="Segoe UI" w:cs="Segoe UI"/>
          <w:color w:val="000000"/>
          <w:sz w:val="18"/>
          <w:szCs w:val="18"/>
          <w:lang w:eastAsia="es-CO"/>
        </w:rPr>
        <w:t>» fueron reconocidos en los actos demandados, y que la sanción por inexactitud es procedente, porque «</w:t>
      </w:r>
      <w:r w:rsidRPr="00B97426">
        <w:rPr>
          <w:rFonts w:ascii="Segoe UI" w:eastAsia="Times New Roman" w:hAnsi="Segoe UI" w:cs="Segoe UI"/>
          <w:i/>
          <w:iCs/>
          <w:color w:val="000000"/>
          <w:sz w:val="18"/>
          <w:szCs w:val="18"/>
          <w:lang w:eastAsia="es-CO"/>
        </w:rPr>
        <w:t>las anomalías y graves deficiencias de la declaración privada</w:t>
      </w:r>
      <w:r w:rsidRPr="00B97426">
        <w:rPr>
          <w:rFonts w:ascii="Segoe UI" w:eastAsia="Times New Roman" w:hAnsi="Segoe UI" w:cs="Segoe UI"/>
          <w:color w:val="000000"/>
          <w:sz w:val="18"/>
          <w:szCs w:val="18"/>
          <w:lang w:eastAsia="es-CO"/>
        </w:rPr>
        <w:t>» afectaron el impuesto a pagar.</w:t>
      </w:r>
    </w:p>
    <w:p w14:paraId="7EB9257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1FE018E9"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AUDIENCIA INICIAL</w:t>
      </w:r>
    </w:p>
    <w:p w14:paraId="732856B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6D93B3E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la audiencia inicial del 13 de septiembre de 2016</w:t>
      </w:r>
      <w:bookmarkStart w:id="7" w:name="_ftnref8"/>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"_ftn8"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[8]</w:t>
      </w:r>
      <w:r w:rsidRPr="00B97426">
        <w:rPr>
          <w:rFonts w:ascii="Segoe UI" w:eastAsia="Times New Roman" w:hAnsi="Segoe UI" w:cs="Segoe UI"/>
          <w:color w:val="000000"/>
          <w:sz w:val="22"/>
          <w:lang w:eastAsia="es-CO"/>
        </w:rPr>
        <w:fldChar w:fldCharType="end"/>
      </w:r>
      <w:bookmarkEnd w:id="7"/>
      <w:r w:rsidRPr="00B97426">
        <w:rPr>
          <w:rFonts w:ascii="Segoe UI" w:eastAsia="Times New Roman" w:hAnsi="Segoe UI" w:cs="Segoe UI"/>
          <w:color w:val="000000"/>
          <w:sz w:val="22"/>
          <w:lang w:eastAsia="es-CO"/>
        </w:rPr>
        <w:t>, el </w:t>
      </w:r>
      <w:r w:rsidRPr="00B97426">
        <w:rPr>
          <w:rFonts w:ascii="Segoe UI" w:eastAsia="Times New Roman" w:hAnsi="Segoe UI" w:cs="Segoe UI"/>
          <w:i/>
          <w:iCs/>
          <w:color w:val="000000"/>
          <w:sz w:val="22"/>
          <w:lang w:eastAsia="es-CO"/>
        </w:rPr>
        <w:t>a-quo </w:t>
      </w:r>
      <w:r w:rsidRPr="00B97426">
        <w:rPr>
          <w:rFonts w:ascii="Segoe UI" w:eastAsia="Times New Roman" w:hAnsi="Segoe UI" w:cs="Segoe UI"/>
          <w:color w:val="000000"/>
          <w:sz w:val="22"/>
          <w:lang w:eastAsia="es-CO"/>
        </w:rPr>
        <w:t>no advirtió irregularidades o nulidades en lo actuado, declaró que no se presentaron excepciones, decretó como pruebas las aportadas por las partes en la demanda y su contestación, y fijó el litigio en determinar la legalidad de los actos administrativos demandados.</w:t>
      </w:r>
    </w:p>
    <w:p w14:paraId="56695D7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33463A5"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SENTENCIA APELADA</w:t>
      </w:r>
    </w:p>
    <w:p w14:paraId="2BDF859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3915954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Tribunal Administrativo de Cundinamarca negó las pretensiones de la demanda y no condenó en costas, con fundamento en las siguientes consideraciones:</w:t>
      </w:r>
    </w:p>
    <w:p w14:paraId="0C0BA17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53D938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Señaló que los documentos aportados por el demandante no reúnen los requisitos para el reconocimiento de los pasivos declarados, como ocurre con la certificación de contador allegada, que no indica el origen de las obligaciones cuestionadas.</w:t>
      </w:r>
    </w:p>
    <w:p w14:paraId="1651078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D9A479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Expuso la DIAN, a través de diferentes medios de prueba (información de terceros - certificación de revisor fiscal, declaraciones tributarias del actor y resolución del Ministerio de Agricultura), demostró que las compras declaradas son inferiores a las determinadas, circunstancia que no fue desvirtuada y que resulta en la aplicación de la presunción de ingresos por omisión del registro de compras.</w:t>
      </w:r>
    </w:p>
    <w:p w14:paraId="62BA4B1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FE0AC1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Agregó que la presunción por diferencia de inventarios aducida en la demanda es improcedente, porque el demandante no registró inventarios en su declaración y tampoco demostró su existencia, y precisó que los productos que comercializa son perecederos.</w:t>
      </w:r>
    </w:p>
    <w:p w14:paraId="0937DC2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F05BB8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Manifestó que como resultado de la comprobación especial al costo de ventas declarado se reconocieron los costos que estaban debidamente soportados, y se desvirtuaron los que estaban respaldados en facturas sin el lleno de los requisitos establecidos en la normativa fiscal.</w:t>
      </w:r>
    </w:p>
    <w:p w14:paraId="59F8117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CC20F5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Consideró que los actos administrativos indicaron los motivos de la decisión y se basaron en las pruebas del proceso, que fueron valoradas bajo las reglas de la sana crítica, sin violar el debido proceso o el derecho de defensa.</w:t>
      </w:r>
    </w:p>
    <w:p w14:paraId="5BD4518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B4893B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Precisó que la entidad demandada reconoció como costos conceptos relacionados con operaciones de terceros, sobre los que no se puede generar un doble beneficio para aceptarlos como deducciones.</w:t>
      </w:r>
    </w:p>
    <w:p w14:paraId="2A57ADF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0BAD34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Adujo que se debe imponer sanción por inexactitud, pues el actor omitió compras realizadas y registró en su declaración conceptos que no estaban soportados, sin que exista diferencia de criterios en cuanto el derecho aplicable.</w:t>
      </w:r>
    </w:p>
    <w:p w14:paraId="1A48E54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9908006"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RECURSO DE APELACIÓN</w:t>
      </w:r>
    </w:p>
    <w:p w14:paraId="378C6A7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20DD384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lastRenderedPageBreak/>
        <w:t>El demandante apeló la sentencia proferida por el Tribunal Administrativo de Cundinamarca, con fundamento en lo siguiente:</w:t>
      </w:r>
    </w:p>
    <w:p w14:paraId="61C444C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190138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Alegó que se violó el debido proceso y el derecho de defensa, porque los pasivos declarados están soportados en la contabilidad y en facturas que cumplen los requisitos de la legislación fiscal.</w:t>
      </w:r>
    </w:p>
    <w:p w14:paraId="4F49546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B385FD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Argumentó que la presunción de ingresos por omisión del registro de compras opera en el impuesto sobre las ventas, y se aplica en renta «</w:t>
      </w:r>
      <w:r w:rsidRPr="00B97426">
        <w:rPr>
          <w:rFonts w:ascii="Segoe UI" w:eastAsia="Times New Roman" w:hAnsi="Segoe UI" w:cs="Segoe UI"/>
          <w:i/>
          <w:iCs/>
          <w:color w:val="000000"/>
          <w:sz w:val="22"/>
          <w:lang w:eastAsia="es-CO"/>
        </w:rPr>
        <w:t>bajo el supuesto que el contribuyente haya omitido en su contabilidad el registro de compras</w:t>
      </w:r>
      <w:r w:rsidRPr="00B97426">
        <w:rPr>
          <w:rFonts w:ascii="Segoe UI" w:eastAsia="Times New Roman" w:hAnsi="Segoe UI" w:cs="Segoe UI"/>
          <w:color w:val="000000"/>
          <w:sz w:val="22"/>
          <w:lang w:eastAsia="es-CO"/>
        </w:rPr>
        <w:t xml:space="preserve">», lo que no ocurre en este caso, pues las registró en su contabilidad, aunque no las incluyó en su declaración. Agregó que la DIAN no demostró la omisión de compras destinadas a operaciones gravadas con IVA, y que no podía extender la presunción a la declaración de renta, más </w:t>
      </w:r>
      <w:proofErr w:type="spellStart"/>
      <w:r w:rsidRPr="00B97426">
        <w:rPr>
          <w:rFonts w:ascii="Segoe UI" w:eastAsia="Times New Roman" w:hAnsi="Segoe UI" w:cs="Segoe UI"/>
          <w:color w:val="000000"/>
          <w:sz w:val="22"/>
          <w:lang w:eastAsia="es-CO"/>
        </w:rPr>
        <w:t>aun</w:t>
      </w:r>
      <w:proofErr w:type="spellEnd"/>
      <w:r w:rsidRPr="00B97426">
        <w:rPr>
          <w:rFonts w:ascii="Segoe UI" w:eastAsia="Times New Roman" w:hAnsi="Segoe UI" w:cs="Segoe UI"/>
          <w:color w:val="000000"/>
          <w:sz w:val="22"/>
          <w:lang w:eastAsia="es-CO"/>
        </w:rPr>
        <w:t xml:space="preserve"> cuando el producto vendido no está gravado.</w:t>
      </w:r>
    </w:p>
    <w:p w14:paraId="4CC0B1B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76D81D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Precisó que la relación de costos que aportó a la actuación administrativa se acompañó de facturas y documentos equivalentes que cumplen los requisitos para su reconocimiento, y que en el renglón de otras deducciones por operaciones con terceros, se debe adicionar lo pagado por sacrificio de ganado.</w:t>
      </w:r>
    </w:p>
    <w:p w14:paraId="5F1A9A8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AA5FD5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Anotó que no procede imponer sanción por inexactitud, en razón a que los datos declarados sobre pasivos, ingresos, costos y deducciones no son equivocados.</w:t>
      </w:r>
    </w:p>
    <w:p w14:paraId="6CF4A81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0E1E1D0"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ALEGATOS DE CONCLUSIÓN</w:t>
      </w:r>
    </w:p>
    <w:p w14:paraId="74A09F7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5113375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La demandante </w:t>
      </w:r>
      <w:r w:rsidRPr="00B97426">
        <w:rPr>
          <w:rFonts w:ascii="Segoe UI" w:eastAsia="Times New Roman" w:hAnsi="Segoe UI" w:cs="Segoe UI"/>
          <w:color w:val="000000"/>
          <w:sz w:val="22"/>
          <w:lang w:eastAsia="es-CO"/>
        </w:rPr>
        <w:t>reiteró los argumentos de la demanda y del recurso de apelación.</w:t>
      </w:r>
    </w:p>
    <w:p w14:paraId="693F853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4E72D3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La DIAN </w:t>
      </w:r>
      <w:r w:rsidRPr="00B97426">
        <w:rPr>
          <w:rFonts w:ascii="Segoe UI" w:eastAsia="Times New Roman" w:hAnsi="Segoe UI" w:cs="Segoe UI"/>
          <w:color w:val="000000"/>
          <w:sz w:val="22"/>
          <w:lang w:eastAsia="es-CO"/>
        </w:rPr>
        <w:t>insistió en lo aducido en la contestación de la demanda.</w:t>
      </w:r>
    </w:p>
    <w:p w14:paraId="73BE1EF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FB8072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El Ministerio Público </w:t>
      </w:r>
      <w:r w:rsidRPr="00B97426">
        <w:rPr>
          <w:rFonts w:ascii="Segoe UI" w:eastAsia="Times New Roman" w:hAnsi="Segoe UI" w:cs="Segoe UI"/>
          <w:color w:val="000000"/>
          <w:sz w:val="22"/>
          <w:lang w:eastAsia="es-CO"/>
        </w:rPr>
        <w:t xml:space="preserve">solicitó confirmar la sentencia apelada, por considerar que: i) el actor no demostró con documentos idóneos los pasivos declarados; </w:t>
      </w:r>
      <w:proofErr w:type="spellStart"/>
      <w:r w:rsidRPr="00B97426">
        <w:rPr>
          <w:rFonts w:ascii="Segoe UI" w:eastAsia="Times New Roman" w:hAnsi="Segoe UI" w:cs="Segoe UI"/>
          <w:color w:val="000000"/>
          <w:sz w:val="22"/>
          <w:lang w:eastAsia="es-CO"/>
        </w:rPr>
        <w:t>ii</w:t>
      </w:r>
      <w:proofErr w:type="spellEnd"/>
      <w:r w:rsidRPr="00B97426">
        <w:rPr>
          <w:rFonts w:ascii="Segoe UI" w:eastAsia="Times New Roman" w:hAnsi="Segoe UI" w:cs="Segoe UI"/>
          <w:color w:val="000000"/>
          <w:sz w:val="22"/>
          <w:lang w:eastAsia="es-CO"/>
        </w:rPr>
        <w:t xml:space="preserve">) no se desvirtuó la omisión del registro de compras establecida por la DIAN; </w:t>
      </w:r>
      <w:proofErr w:type="spellStart"/>
      <w:r w:rsidRPr="00B97426">
        <w:rPr>
          <w:rFonts w:ascii="Segoe UI" w:eastAsia="Times New Roman" w:hAnsi="Segoe UI" w:cs="Segoe UI"/>
          <w:color w:val="000000"/>
          <w:sz w:val="22"/>
          <w:lang w:eastAsia="es-CO"/>
        </w:rPr>
        <w:t>iii</w:t>
      </w:r>
      <w:proofErr w:type="spellEnd"/>
      <w:r w:rsidRPr="00B97426">
        <w:rPr>
          <w:rFonts w:ascii="Segoe UI" w:eastAsia="Times New Roman" w:hAnsi="Segoe UI" w:cs="Segoe UI"/>
          <w:color w:val="000000"/>
          <w:sz w:val="22"/>
          <w:lang w:eastAsia="es-CO"/>
        </w:rPr>
        <w:t xml:space="preserve">) el costo de ventas declarado no se soportó en facturas con el lleno de requisitos legales; </w:t>
      </w:r>
      <w:proofErr w:type="spellStart"/>
      <w:r w:rsidRPr="00B97426">
        <w:rPr>
          <w:rFonts w:ascii="Segoe UI" w:eastAsia="Times New Roman" w:hAnsi="Segoe UI" w:cs="Segoe UI"/>
          <w:color w:val="000000"/>
          <w:sz w:val="22"/>
          <w:lang w:eastAsia="es-CO"/>
        </w:rPr>
        <w:t>iv</w:t>
      </w:r>
      <w:proofErr w:type="spellEnd"/>
      <w:r w:rsidRPr="00B97426">
        <w:rPr>
          <w:rFonts w:ascii="Segoe UI" w:eastAsia="Times New Roman" w:hAnsi="Segoe UI" w:cs="Segoe UI"/>
          <w:color w:val="000000"/>
          <w:sz w:val="22"/>
          <w:lang w:eastAsia="es-CO"/>
        </w:rPr>
        <w:t>) la sanción por inexactitud es procedente.</w:t>
      </w:r>
    </w:p>
    <w:p w14:paraId="31F87B4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49F2206"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CONSIDERACIONES DE LA SALA</w:t>
      </w:r>
    </w:p>
    <w:p w14:paraId="07E90CF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12A3D9F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Asunto previo</w:t>
      </w:r>
    </w:p>
    <w:p w14:paraId="32EEB2D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0A4F226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Consejero de Estado, doctor Milton Chaves García, manifestó su impedimento para conocer de este asunto, por encontrarse incurso en la causal prevista en el numeral 5 del artículo 141 del CGP</w:t>
      </w:r>
      <w:bookmarkStart w:id="8" w:name="_ftnref9"/>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"_ftn9"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[9]</w:t>
      </w:r>
      <w:r w:rsidRPr="00B97426">
        <w:rPr>
          <w:rFonts w:ascii="Segoe UI" w:eastAsia="Times New Roman" w:hAnsi="Segoe UI" w:cs="Segoe UI"/>
          <w:color w:val="000000"/>
          <w:sz w:val="22"/>
          <w:lang w:eastAsia="es-CO"/>
        </w:rPr>
        <w:fldChar w:fldCharType="end"/>
      </w:r>
      <w:bookmarkEnd w:id="8"/>
      <w:r w:rsidRPr="00B97426">
        <w:rPr>
          <w:rFonts w:ascii="Segoe UI" w:eastAsia="Times New Roman" w:hAnsi="Segoe UI" w:cs="Segoe UI"/>
          <w:color w:val="000000"/>
          <w:sz w:val="22"/>
          <w:lang w:eastAsia="es-CO"/>
        </w:rPr>
        <w:t>, al haber actuado como apoderado de la parte demandante. En consecuencia, solicitó que se acepte el impedimento y que se le separe del conocimiento del mismo.</w:t>
      </w:r>
    </w:p>
    <w:p w14:paraId="18E82D9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E293DE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Teniendo en cuenta las razones del citado impedimento y con fundamento en el numeral 5 del artículo 141 del CGP, la Sala, integrada por dos Consejeros de Estado y un conjuez, quienes conforman el cuórum decisorio</w:t>
      </w:r>
      <w:bookmarkStart w:id="9" w:name="_ftnref10"/>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"_ftn10"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[10]</w:t>
      </w:r>
      <w:r w:rsidRPr="00B97426">
        <w:rPr>
          <w:rFonts w:ascii="Segoe UI" w:eastAsia="Times New Roman" w:hAnsi="Segoe UI" w:cs="Segoe UI"/>
          <w:color w:val="000000"/>
          <w:sz w:val="22"/>
          <w:lang w:eastAsia="es-CO"/>
        </w:rPr>
        <w:fldChar w:fldCharType="end"/>
      </w:r>
      <w:bookmarkEnd w:id="9"/>
      <w:r w:rsidRPr="00B97426">
        <w:rPr>
          <w:rFonts w:ascii="Segoe UI" w:eastAsia="Times New Roman" w:hAnsi="Segoe UI" w:cs="Segoe UI"/>
          <w:color w:val="000000"/>
          <w:sz w:val="22"/>
          <w:lang w:eastAsia="es-CO"/>
        </w:rPr>
        <w:t>, encuentra fundada la solicitud de impedimento, motivo por el cual, la acepta y, en consecuencia, se le separa del conocimiento del presente proceso.</w:t>
      </w:r>
    </w:p>
    <w:p w14:paraId="2F3907D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9EF523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Corresponde a la Sala decidir sobre la legalidad de los actos administrativos que modificaron la declaración del impuesto sobre la renta del año gravable 2009, presentada por Fabio González Perdomo.</w:t>
      </w:r>
    </w:p>
    <w:p w14:paraId="2D3128C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1F5066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xml:space="preserve">En los términos del recurso de apelación, la Sala debe establecer: i) si los pasivos declarados cuentan con los soportes para su reconocimiento; </w:t>
      </w:r>
      <w:proofErr w:type="spellStart"/>
      <w:r w:rsidRPr="00B97426">
        <w:rPr>
          <w:rFonts w:ascii="Segoe UI" w:eastAsia="Times New Roman" w:hAnsi="Segoe UI" w:cs="Segoe UI"/>
          <w:color w:val="000000"/>
          <w:sz w:val="22"/>
          <w:lang w:eastAsia="es-CO"/>
        </w:rPr>
        <w:t>ii</w:t>
      </w:r>
      <w:proofErr w:type="spellEnd"/>
      <w:r w:rsidRPr="00B97426">
        <w:rPr>
          <w:rFonts w:ascii="Segoe UI" w:eastAsia="Times New Roman" w:hAnsi="Segoe UI" w:cs="Segoe UI"/>
          <w:color w:val="000000"/>
          <w:sz w:val="22"/>
          <w:lang w:eastAsia="es-CO"/>
        </w:rPr>
        <w:t xml:space="preserve">) la procedencia de la presunción de ingresos por omisión del registro de compras, y del costo de ventas y </w:t>
      </w:r>
      <w:proofErr w:type="spellStart"/>
      <w:r w:rsidRPr="00B97426">
        <w:rPr>
          <w:rFonts w:ascii="Segoe UI" w:eastAsia="Times New Roman" w:hAnsi="Segoe UI" w:cs="Segoe UI"/>
          <w:color w:val="000000"/>
          <w:sz w:val="22"/>
          <w:lang w:eastAsia="es-CO"/>
        </w:rPr>
        <w:t>iii</w:t>
      </w:r>
      <w:proofErr w:type="spellEnd"/>
      <w:r w:rsidRPr="00B97426">
        <w:rPr>
          <w:rFonts w:ascii="Segoe UI" w:eastAsia="Times New Roman" w:hAnsi="Segoe UI" w:cs="Segoe UI"/>
          <w:color w:val="000000"/>
          <w:sz w:val="22"/>
          <w:lang w:eastAsia="es-CO"/>
        </w:rPr>
        <w:t>) si procede la sanción por inexactitud.</w:t>
      </w:r>
    </w:p>
    <w:p w14:paraId="400336D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65ADFD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lastRenderedPageBreak/>
        <w:t>El </w:t>
      </w:r>
      <w:hyperlink r:id="rId15" w:tooltip="Estatuto Tributario CETA" w:history="1">
        <w:r w:rsidRPr="00B97426">
          <w:rPr>
            <w:rFonts w:ascii="Segoe UI" w:eastAsia="Times New Roman" w:hAnsi="Segoe UI" w:cs="Segoe UI"/>
            <w:color w:val="0089E1"/>
            <w:sz w:val="18"/>
            <w:szCs w:val="18"/>
            <w:lang w:eastAsia="es-CO"/>
          </w:rPr>
          <w:t>artículo 746</w:t>
        </w:r>
      </w:hyperlink>
      <w:r w:rsidRPr="00B97426">
        <w:rPr>
          <w:rFonts w:ascii="Segoe UI" w:eastAsia="Times New Roman" w:hAnsi="Segoe UI" w:cs="Segoe UI"/>
          <w:color w:val="000000"/>
          <w:sz w:val="18"/>
          <w:szCs w:val="18"/>
          <w:lang w:eastAsia="es-CO"/>
        </w:rPr>
        <w:t> del Estatuto Tributario establece que «</w:t>
      </w:r>
      <w:r w:rsidRPr="00B97426">
        <w:rPr>
          <w:rFonts w:ascii="Segoe UI" w:eastAsia="Times New Roman" w:hAnsi="Segoe UI" w:cs="Segoe UI"/>
          <w:i/>
          <w:iCs/>
          <w:color w:val="000000"/>
          <w:sz w:val="18"/>
          <w:szCs w:val="18"/>
          <w:lang w:eastAsia="es-CO"/>
        </w:rPr>
        <w:t>Se consideran ciertos los hechos consignados en las declaraciones tributarias, en las correcciones a las mismas o en las respuestas a requerimientos administrativos, siempre y cuando que sobre tales hechos, no se haya solicitado una comprobación especial, ni la ley la exija».</w:t>
      </w:r>
    </w:p>
    <w:p w14:paraId="774B2FB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1A72B18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La presunción de veracidad admite prueba en contrario y la autoridad fiscal, para asegurar el «</w:t>
      </w:r>
      <w:r w:rsidRPr="00B97426">
        <w:rPr>
          <w:rFonts w:ascii="Segoe UI" w:eastAsia="Times New Roman" w:hAnsi="Segoe UI" w:cs="Segoe UI"/>
          <w:i/>
          <w:iCs/>
          <w:color w:val="000000"/>
          <w:sz w:val="22"/>
          <w:lang w:eastAsia="es-CO"/>
        </w:rPr>
        <w:t>efectivo cumplimiento de las normas sustanciales», </w:t>
      </w:r>
      <w:r w:rsidRPr="00B97426">
        <w:rPr>
          <w:rFonts w:ascii="Segoe UI" w:eastAsia="Times New Roman" w:hAnsi="Segoe UI" w:cs="Segoe UI"/>
          <w:color w:val="000000"/>
          <w:sz w:val="22"/>
          <w:lang w:eastAsia="es-CO"/>
        </w:rPr>
        <w:t>puede desvirtuarla mediante el ejercicio de las facultades de fiscalización e investigación previstas en el </w:t>
      </w:r>
      <w:hyperlink r:id="rId16" w:tooltip="Estatuto Tributario CETA" w:history="1">
        <w:r w:rsidRPr="00B97426">
          <w:rPr>
            <w:rFonts w:ascii="Segoe UI" w:eastAsia="Times New Roman" w:hAnsi="Segoe UI" w:cs="Segoe UI"/>
            <w:color w:val="0089E1"/>
            <w:sz w:val="22"/>
            <w:lang w:eastAsia="es-CO"/>
          </w:rPr>
          <w:t>artículo 684</w:t>
        </w:r>
      </w:hyperlink>
      <w:r w:rsidRPr="00B97426">
        <w:rPr>
          <w:rFonts w:ascii="Segoe UI" w:eastAsia="Times New Roman" w:hAnsi="Segoe UI" w:cs="Segoe UI"/>
          <w:color w:val="000000"/>
          <w:sz w:val="22"/>
          <w:lang w:eastAsia="es-CO"/>
        </w:rPr>
        <w:t> del Estatuto Tributario</w:t>
      </w:r>
      <w:bookmarkStart w:id="10" w:name="_ftnref11"/>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"_ftn11"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[11]</w:t>
      </w:r>
      <w:r w:rsidRPr="00B97426">
        <w:rPr>
          <w:rFonts w:ascii="Segoe UI" w:eastAsia="Times New Roman" w:hAnsi="Segoe UI" w:cs="Segoe UI"/>
          <w:color w:val="000000"/>
          <w:sz w:val="22"/>
          <w:lang w:eastAsia="es-CO"/>
        </w:rPr>
        <w:fldChar w:fldCharType="end"/>
      </w:r>
      <w:bookmarkEnd w:id="10"/>
      <w:r w:rsidRPr="00B97426">
        <w:rPr>
          <w:rFonts w:ascii="Segoe UI" w:eastAsia="Times New Roman" w:hAnsi="Segoe UI" w:cs="Segoe UI"/>
          <w:color w:val="000000"/>
          <w:sz w:val="22"/>
          <w:lang w:eastAsia="es-CO"/>
        </w:rPr>
        <w:t>.</w:t>
      </w:r>
    </w:p>
    <w:p w14:paraId="3D10B83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579119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Por lo anterior, la carga probatoria de desvirtuar la veracidad de las declaraciones tributarias y de las respuestas a los requerimientos corresponde en principio a la autoridad tributaria, y se traslada al contribuyente frente a una comprobación especial o una exigencia legal</w:t>
      </w:r>
      <w:bookmarkStart w:id="11" w:name="_ftnref12"/>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"_ftn12"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[12]</w:t>
      </w:r>
      <w:r w:rsidRPr="00B97426">
        <w:rPr>
          <w:rFonts w:ascii="Segoe UI" w:eastAsia="Times New Roman" w:hAnsi="Segoe UI" w:cs="Segoe UI"/>
          <w:color w:val="000000"/>
          <w:sz w:val="22"/>
          <w:lang w:eastAsia="es-CO"/>
        </w:rPr>
        <w:fldChar w:fldCharType="end"/>
      </w:r>
      <w:bookmarkEnd w:id="11"/>
      <w:r w:rsidRPr="00B97426">
        <w:rPr>
          <w:rFonts w:ascii="Segoe UI" w:eastAsia="Times New Roman" w:hAnsi="Segoe UI" w:cs="Segoe UI"/>
          <w:color w:val="000000"/>
          <w:sz w:val="22"/>
          <w:lang w:eastAsia="es-CO"/>
        </w:rPr>
        <w:t>.</w:t>
      </w:r>
    </w:p>
    <w:p w14:paraId="50A3C8D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65D69F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Ahora bien, el </w:t>
      </w:r>
      <w:hyperlink r:id="rId17" w:tooltip="Estatuto Tributario CETA" w:history="1">
        <w:r w:rsidRPr="00B97426">
          <w:rPr>
            <w:rFonts w:ascii="Segoe UI" w:eastAsia="Times New Roman" w:hAnsi="Segoe UI" w:cs="Segoe UI"/>
            <w:color w:val="0089E1"/>
            <w:sz w:val="22"/>
            <w:lang w:eastAsia="es-CO"/>
          </w:rPr>
          <w:t>artículo 742</w:t>
        </w:r>
      </w:hyperlink>
      <w:r w:rsidRPr="00B97426">
        <w:rPr>
          <w:rFonts w:ascii="Segoe UI" w:eastAsia="Times New Roman" w:hAnsi="Segoe UI" w:cs="Segoe UI"/>
          <w:color w:val="000000"/>
          <w:sz w:val="22"/>
          <w:lang w:eastAsia="es-CO"/>
        </w:rPr>
        <w:t> del Estatuto Tributario señala que la determinación de tributos se debe fundar en los hechos que aparezcan probados en el expediente, y son admisibles los medios de prueba legalmente aceptados por la legislación fiscal y por la legislación civil</w:t>
      </w:r>
      <w:bookmarkStart w:id="12" w:name="_ftnref13"/>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"_ftn13"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[13]</w:t>
      </w:r>
      <w:r w:rsidRPr="00B97426">
        <w:rPr>
          <w:rFonts w:ascii="Segoe UI" w:eastAsia="Times New Roman" w:hAnsi="Segoe UI" w:cs="Segoe UI"/>
          <w:color w:val="000000"/>
          <w:sz w:val="22"/>
          <w:lang w:eastAsia="es-CO"/>
        </w:rPr>
        <w:fldChar w:fldCharType="end"/>
      </w:r>
      <w:bookmarkEnd w:id="12"/>
      <w:r w:rsidRPr="00B97426">
        <w:rPr>
          <w:rFonts w:ascii="Segoe UI" w:eastAsia="Times New Roman" w:hAnsi="Segoe UI" w:cs="Segoe UI"/>
          <w:color w:val="000000"/>
          <w:sz w:val="22"/>
          <w:lang w:eastAsia="es-CO"/>
        </w:rPr>
        <w:t> en lo que sea compatible; no obstante, el </w:t>
      </w:r>
      <w:hyperlink r:id="rId18" w:tooltip="Estatuto Tributario CETA" w:history="1">
        <w:r w:rsidRPr="00B97426">
          <w:rPr>
            <w:rFonts w:ascii="Segoe UI" w:eastAsia="Times New Roman" w:hAnsi="Segoe UI" w:cs="Segoe UI"/>
            <w:color w:val="0089E1"/>
            <w:sz w:val="22"/>
            <w:lang w:eastAsia="es-CO"/>
          </w:rPr>
          <w:t>artículo 743</w:t>
        </w:r>
      </w:hyperlink>
      <w:r w:rsidRPr="00B97426">
        <w:rPr>
          <w:rFonts w:ascii="Segoe UI" w:eastAsia="Times New Roman" w:hAnsi="Segoe UI" w:cs="Segoe UI"/>
          <w:color w:val="000000"/>
          <w:sz w:val="22"/>
          <w:lang w:eastAsia="es-CO"/>
        </w:rPr>
        <w:t> </w:t>
      </w:r>
      <w:r w:rsidRPr="00B97426">
        <w:rPr>
          <w:rFonts w:ascii="Segoe UI" w:eastAsia="Times New Roman" w:hAnsi="Segoe UI" w:cs="Segoe UI"/>
          <w:i/>
          <w:iCs/>
          <w:color w:val="000000"/>
          <w:sz w:val="22"/>
          <w:lang w:eastAsia="es-CO"/>
        </w:rPr>
        <w:t>ib. </w:t>
      </w:r>
      <w:r w:rsidRPr="00B97426">
        <w:rPr>
          <w:rFonts w:ascii="Segoe UI" w:eastAsia="Times New Roman" w:hAnsi="Segoe UI" w:cs="Segoe UI"/>
          <w:color w:val="000000"/>
          <w:sz w:val="22"/>
          <w:lang w:eastAsia="es-CO"/>
        </w:rPr>
        <w:t>señala que la idoneidad</w:t>
      </w:r>
      <w:bookmarkStart w:id="13" w:name="_ftnref14"/>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"_ftn14"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[14]</w:t>
      </w:r>
      <w:r w:rsidRPr="00B97426">
        <w:rPr>
          <w:rFonts w:ascii="Segoe UI" w:eastAsia="Times New Roman" w:hAnsi="Segoe UI" w:cs="Segoe UI"/>
          <w:color w:val="000000"/>
          <w:sz w:val="22"/>
          <w:lang w:eastAsia="es-CO"/>
        </w:rPr>
        <w:fldChar w:fldCharType="end"/>
      </w:r>
      <w:bookmarkEnd w:id="13"/>
      <w:r w:rsidRPr="00B97426">
        <w:rPr>
          <w:rFonts w:ascii="Segoe UI" w:eastAsia="Times New Roman" w:hAnsi="Segoe UI" w:cs="Segoe UI"/>
          <w:color w:val="000000"/>
          <w:sz w:val="22"/>
          <w:lang w:eastAsia="es-CO"/>
        </w:rPr>
        <w:t> de los mismos depende de las exigencias legales para demostrar determinados hechos.</w:t>
      </w:r>
    </w:p>
    <w:p w14:paraId="38B67AC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B91D70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cuanto a la incorporación de pruebas al proceso, el </w:t>
      </w:r>
      <w:hyperlink r:id="rId19" w:tooltip="Estatuto Tributario CETA" w:history="1">
        <w:r w:rsidRPr="00B97426">
          <w:rPr>
            <w:rFonts w:ascii="Segoe UI" w:eastAsia="Times New Roman" w:hAnsi="Segoe UI" w:cs="Segoe UI"/>
            <w:color w:val="0089E1"/>
            <w:sz w:val="22"/>
            <w:lang w:eastAsia="es-CO"/>
          </w:rPr>
          <w:t>artículo 744</w:t>
        </w:r>
      </w:hyperlink>
      <w:r w:rsidRPr="00B97426">
        <w:rPr>
          <w:rFonts w:ascii="Segoe UI" w:eastAsia="Times New Roman" w:hAnsi="Segoe UI" w:cs="Segoe UI"/>
          <w:color w:val="000000"/>
          <w:sz w:val="22"/>
          <w:lang w:eastAsia="es-CO"/>
        </w:rPr>
        <w:t> </w:t>
      </w:r>
      <w:r w:rsidRPr="00B97426">
        <w:rPr>
          <w:rFonts w:ascii="Segoe UI" w:eastAsia="Times New Roman" w:hAnsi="Segoe UI" w:cs="Segoe UI"/>
          <w:i/>
          <w:iCs/>
          <w:color w:val="000000"/>
          <w:sz w:val="22"/>
          <w:lang w:eastAsia="es-CO"/>
        </w:rPr>
        <w:t>Ib. </w:t>
      </w:r>
      <w:r w:rsidRPr="00B97426">
        <w:rPr>
          <w:rFonts w:ascii="Segoe UI" w:eastAsia="Times New Roman" w:hAnsi="Segoe UI" w:cs="Segoe UI"/>
          <w:color w:val="000000"/>
          <w:sz w:val="22"/>
          <w:lang w:eastAsia="es-CO"/>
        </w:rPr>
        <w:t>prevé que deben formar parte de la declaración, haber sido allegadas en desarrollo de la facultad de fiscalización e investigación o en cumplimiento del deber de información, haberse acompañado o solicitado en la respuesta al requerimiento especial o en su ampliación, haberse acompañado al memorial del recurso o pedido en este, o haberse practicado de oficio, entre otras circunstancias</w:t>
      </w:r>
      <w:bookmarkStart w:id="14" w:name="_ftnref15"/>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"_ftn15"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[15]</w:t>
      </w:r>
      <w:r w:rsidRPr="00B97426">
        <w:rPr>
          <w:rFonts w:ascii="Segoe UI" w:eastAsia="Times New Roman" w:hAnsi="Segoe UI" w:cs="Segoe UI"/>
          <w:color w:val="000000"/>
          <w:sz w:val="22"/>
          <w:lang w:eastAsia="es-CO"/>
        </w:rPr>
        <w:fldChar w:fldCharType="end"/>
      </w:r>
      <w:bookmarkEnd w:id="14"/>
      <w:r w:rsidRPr="00B97426">
        <w:rPr>
          <w:rFonts w:ascii="Segoe UI" w:eastAsia="Times New Roman" w:hAnsi="Segoe UI" w:cs="Segoe UI"/>
          <w:color w:val="000000"/>
          <w:sz w:val="22"/>
          <w:lang w:eastAsia="es-CO"/>
        </w:rPr>
        <w:t>.</w:t>
      </w:r>
    </w:p>
    <w:p w14:paraId="34F3D9A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9F0A90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Lo anterior supone que en la respuesta al requerimiento especial y con el recurso de reconsideración, el contribuyente puede controvertir las pruebas presentadas por la autoridad fiscal en desarrollo de las facultades de fiscalización e investigación, mediante la incorporación de las pruebas que considere pertinentes, las cuales deben ser valoradas por la autoridad fiscal por constituir una garantía del debido proceso y de los derechos de defensa y de contradicción.</w:t>
      </w:r>
    </w:p>
    <w:p w14:paraId="7091BD4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216FBB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Además, la norma procesal habilita al demandante y al demandado para aportar o solicitar pruebas ante la jurisdicción en las oportunidades previstas</w:t>
      </w:r>
      <w:bookmarkStart w:id="15" w:name="_ftnref16"/>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"_ftn16"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[16]</w:t>
      </w:r>
      <w:r w:rsidRPr="00B97426">
        <w:rPr>
          <w:rFonts w:ascii="Segoe UI" w:eastAsia="Times New Roman" w:hAnsi="Segoe UI" w:cs="Segoe UI"/>
          <w:color w:val="000000"/>
          <w:sz w:val="18"/>
          <w:szCs w:val="18"/>
          <w:lang w:eastAsia="es-CO"/>
        </w:rPr>
        <w:fldChar w:fldCharType="end"/>
      </w:r>
      <w:bookmarkEnd w:id="15"/>
      <w:r w:rsidRPr="00B97426">
        <w:rPr>
          <w:rFonts w:ascii="Segoe UI" w:eastAsia="Times New Roman" w:hAnsi="Segoe UI" w:cs="Segoe UI"/>
          <w:color w:val="000000"/>
          <w:sz w:val="18"/>
          <w:szCs w:val="18"/>
          <w:lang w:eastAsia="es-CO"/>
        </w:rPr>
        <w:t> dentro del proceso. En consonancia con la ley, la Sala ha dicho que</w:t>
      </w:r>
      <w:bookmarkStart w:id="16" w:name="_ftnref17"/>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"_ftn17"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[17]</w:t>
      </w:r>
      <w:r w:rsidRPr="00B97426">
        <w:rPr>
          <w:rFonts w:ascii="Segoe UI" w:eastAsia="Times New Roman" w:hAnsi="Segoe UI" w:cs="Segoe UI"/>
          <w:color w:val="000000"/>
          <w:sz w:val="18"/>
          <w:szCs w:val="18"/>
          <w:lang w:eastAsia="es-CO"/>
        </w:rPr>
        <w:fldChar w:fldCharType="end"/>
      </w:r>
      <w:bookmarkEnd w:id="16"/>
      <w:r w:rsidRPr="00B97426">
        <w:rPr>
          <w:rFonts w:ascii="Segoe UI" w:eastAsia="Times New Roman" w:hAnsi="Segoe UI" w:cs="Segoe UI"/>
          <w:color w:val="000000"/>
          <w:sz w:val="18"/>
          <w:szCs w:val="18"/>
          <w:lang w:eastAsia="es-CO"/>
        </w:rPr>
        <w:t> «</w:t>
      </w:r>
      <w:r w:rsidRPr="00B97426">
        <w:rPr>
          <w:rFonts w:ascii="Segoe UI" w:eastAsia="Times New Roman" w:hAnsi="Segoe UI" w:cs="Segoe UI"/>
          <w:i/>
          <w:iCs/>
          <w:color w:val="000000"/>
          <w:sz w:val="18"/>
          <w:szCs w:val="18"/>
          <w:lang w:eastAsia="es-CO"/>
        </w:rPr>
        <w:t>con la demanda se pueden presentar las pruebas necesarias para demostrar el derecho pretendido -como ocurre en este caso, lo cual exige que el juez las valore y determine si cumplen la finalidad llevar certeza en relación con los hechos que se pretenden demostrar</w:t>
      </w:r>
      <w:r w:rsidRPr="00B97426">
        <w:rPr>
          <w:rFonts w:ascii="Segoe UI" w:eastAsia="Times New Roman" w:hAnsi="Segoe UI" w:cs="Segoe UI"/>
          <w:color w:val="000000"/>
          <w:sz w:val="18"/>
          <w:szCs w:val="18"/>
          <w:lang w:eastAsia="es-CO"/>
        </w:rPr>
        <w:t>», debido a que el Código de Procedimiento Administrativo y de lo Contencioso Administrativo regula las oportunidades probatorias para acudir a la jurisdicción.</w:t>
      </w:r>
    </w:p>
    <w:p w14:paraId="66C2D0C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5AD0387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Caso concreto</w:t>
      </w:r>
    </w:p>
    <w:p w14:paraId="0112DC5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4B9C98E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La Sala advierte que la Administración, en ejercicio de sus facultades de fiscalización, practicó diferentes medios de prueba (requerimientos ordinarios de información, información exógena, cruces de información y verificaciones directas), mediante los cuales desvirtuó los datos registrados por el demandante en su declaración tributaria, sin que fueran controvertidos, como se observa a continuación:</w:t>
      </w:r>
    </w:p>
    <w:p w14:paraId="51A39E5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CFDE6D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Pasivos</w:t>
      </w:r>
    </w:p>
    <w:p w14:paraId="038D964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69CB094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demandante argumentó que se violó el debido proceso y el derecho de defensa, porque los pasivos declarados estaban soportados en la contabilidad y en facturas con el lleno de los requisitos exigidos por la legislación fiscal.</w:t>
      </w:r>
    </w:p>
    <w:p w14:paraId="2D2F6FF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FE8012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el Requerimiento Ordinario de Información 322392011001741 del 13 de diciembre de 2011</w:t>
      </w:r>
      <w:bookmarkStart w:id="17" w:name="_ftnref18"/>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"_ftn18"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[18]</w:t>
      </w:r>
      <w:r w:rsidRPr="00B97426">
        <w:rPr>
          <w:rFonts w:ascii="Segoe UI" w:eastAsia="Times New Roman" w:hAnsi="Segoe UI" w:cs="Segoe UI"/>
          <w:color w:val="000000"/>
          <w:sz w:val="22"/>
          <w:lang w:eastAsia="es-CO"/>
        </w:rPr>
        <w:fldChar w:fldCharType="end"/>
      </w:r>
      <w:bookmarkEnd w:id="17"/>
      <w:r w:rsidRPr="00B97426">
        <w:rPr>
          <w:rFonts w:ascii="Segoe UI" w:eastAsia="Times New Roman" w:hAnsi="Segoe UI" w:cs="Segoe UI"/>
          <w:color w:val="000000"/>
          <w:sz w:val="22"/>
          <w:lang w:eastAsia="es-CO"/>
        </w:rPr>
        <w:t>, la entidad demandada solicitó al demandante la relación detallada de los pasivos a 31 de diciembre de 2009, con sus soportes respectivos.</w:t>
      </w:r>
    </w:p>
    <w:p w14:paraId="5281BAA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5E3091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la respuesta al requerimiento señalado</w:t>
      </w:r>
      <w:bookmarkStart w:id="18" w:name="_ftnref19"/>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"_ftn19"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[19]</w:t>
      </w:r>
      <w:r w:rsidRPr="00B97426">
        <w:rPr>
          <w:rFonts w:ascii="Segoe UI" w:eastAsia="Times New Roman" w:hAnsi="Segoe UI" w:cs="Segoe UI"/>
          <w:color w:val="000000"/>
          <w:sz w:val="22"/>
          <w:lang w:eastAsia="es-CO"/>
        </w:rPr>
        <w:fldChar w:fldCharType="end"/>
      </w:r>
      <w:bookmarkEnd w:id="18"/>
      <w:r w:rsidRPr="00B97426">
        <w:rPr>
          <w:rFonts w:ascii="Segoe UI" w:eastAsia="Times New Roman" w:hAnsi="Segoe UI" w:cs="Segoe UI"/>
          <w:color w:val="000000"/>
          <w:sz w:val="22"/>
          <w:lang w:eastAsia="es-CO"/>
        </w:rPr>
        <w:t>, el contribuyente discriminó pasivos por concepto de compras en la suma de $46.178.000, así</w:t>
      </w:r>
      <w:bookmarkStart w:id="19" w:name="_ftnref20"/>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"_ftn20"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[20]</w:t>
      </w:r>
      <w:r w:rsidRPr="00B97426">
        <w:rPr>
          <w:rFonts w:ascii="Segoe UI" w:eastAsia="Times New Roman" w:hAnsi="Segoe UI" w:cs="Segoe UI"/>
          <w:color w:val="000000"/>
          <w:sz w:val="22"/>
          <w:lang w:eastAsia="es-CO"/>
        </w:rPr>
        <w:fldChar w:fldCharType="end"/>
      </w:r>
      <w:bookmarkEnd w:id="19"/>
      <w:r w:rsidRPr="00B97426">
        <w:rPr>
          <w:rFonts w:ascii="Segoe UI" w:eastAsia="Times New Roman" w:hAnsi="Segoe UI" w:cs="Segoe UI"/>
          <w:color w:val="000000"/>
          <w:sz w:val="22"/>
          <w:lang w:eastAsia="es-CO"/>
        </w:rPr>
        <w:t>:</w:t>
      </w:r>
    </w:p>
    <w:p w14:paraId="01E172F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lastRenderedPageBreak/>
        <w:t> </w:t>
      </w:r>
    </w:p>
    <w:tbl>
      <w:tblPr>
        <w:tblW w:w="0" w:type="auto"/>
        <w:jc w:val="center"/>
        <w:tblCellMar>
          <w:left w:w="0" w:type="dxa"/>
          <w:right w:w="0" w:type="dxa"/>
        </w:tblCellMar>
        <w:tblLook w:val="04A0" w:firstRow="1" w:lastRow="0" w:firstColumn="1" w:lastColumn="0" w:noHBand="0" w:noVBand="1"/>
      </w:tblPr>
      <w:tblGrid>
        <w:gridCol w:w="1305"/>
        <w:gridCol w:w="1403"/>
        <w:gridCol w:w="1859"/>
      </w:tblGrid>
      <w:tr w:rsidR="00B97426" w:rsidRPr="00B97426" w14:paraId="78CF3999" w14:textId="77777777" w:rsidTr="00B97426">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4103D72D"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Identificación</w:t>
            </w:r>
          </w:p>
        </w:tc>
        <w:tc>
          <w:tcPr>
            <w:tcW w:w="0" w:type="auto"/>
            <w:tcBorders>
              <w:top w:val="single" w:sz="8" w:space="0" w:color="000000"/>
              <w:left w:val="nil"/>
              <w:bottom w:val="single" w:sz="8" w:space="0" w:color="000000"/>
              <w:right w:val="single" w:sz="8" w:space="0" w:color="000000"/>
            </w:tcBorders>
            <w:shd w:val="clear" w:color="auto" w:fill="auto"/>
            <w:hideMark/>
          </w:tcPr>
          <w:p w14:paraId="4B62BFB4"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Nombre</w:t>
            </w:r>
          </w:p>
        </w:tc>
        <w:tc>
          <w:tcPr>
            <w:tcW w:w="0" w:type="auto"/>
            <w:tcBorders>
              <w:top w:val="single" w:sz="8" w:space="0" w:color="000000"/>
              <w:left w:val="nil"/>
              <w:bottom w:val="single" w:sz="8" w:space="0" w:color="000000"/>
              <w:right w:val="single" w:sz="8" w:space="0" w:color="000000"/>
            </w:tcBorders>
            <w:shd w:val="clear" w:color="auto" w:fill="auto"/>
            <w:hideMark/>
          </w:tcPr>
          <w:p w14:paraId="26612B84"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Saldo a 31/12/2009</w:t>
            </w:r>
          </w:p>
        </w:tc>
      </w:tr>
      <w:tr w:rsidR="00B97426" w:rsidRPr="00B97426" w14:paraId="0BB5F1CA"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0E189D5"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17.469.424</w:t>
            </w:r>
          </w:p>
        </w:tc>
        <w:tc>
          <w:tcPr>
            <w:tcW w:w="0" w:type="auto"/>
            <w:tcBorders>
              <w:top w:val="nil"/>
              <w:left w:val="nil"/>
              <w:bottom w:val="single" w:sz="8" w:space="0" w:color="000000"/>
              <w:right w:val="single" w:sz="8" w:space="0" w:color="000000"/>
            </w:tcBorders>
            <w:shd w:val="clear" w:color="auto" w:fill="auto"/>
            <w:hideMark/>
          </w:tcPr>
          <w:p w14:paraId="277195E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José Bernal</w:t>
            </w:r>
          </w:p>
        </w:tc>
        <w:tc>
          <w:tcPr>
            <w:tcW w:w="0" w:type="auto"/>
            <w:tcBorders>
              <w:top w:val="nil"/>
              <w:left w:val="nil"/>
              <w:bottom w:val="single" w:sz="8" w:space="0" w:color="000000"/>
              <w:right w:val="single" w:sz="8" w:space="0" w:color="000000"/>
            </w:tcBorders>
            <w:shd w:val="clear" w:color="auto" w:fill="auto"/>
            <w:hideMark/>
          </w:tcPr>
          <w:p w14:paraId="4B90C3D7"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$5.262.000</w:t>
            </w:r>
          </w:p>
        </w:tc>
      </w:tr>
      <w:tr w:rsidR="00B97426" w:rsidRPr="00B97426" w14:paraId="35F41FD0"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E098E5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1.069.052.865</w:t>
            </w:r>
          </w:p>
        </w:tc>
        <w:tc>
          <w:tcPr>
            <w:tcW w:w="0" w:type="auto"/>
            <w:tcBorders>
              <w:top w:val="nil"/>
              <w:left w:val="nil"/>
              <w:bottom w:val="single" w:sz="8" w:space="0" w:color="000000"/>
              <w:right w:val="single" w:sz="8" w:space="0" w:color="000000"/>
            </w:tcBorders>
            <w:shd w:val="clear" w:color="auto" w:fill="auto"/>
            <w:hideMark/>
          </w:tcPr>
          <w:p w14:paraId="2FA5EBF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Fabián Bustos</w:t>
            </w:r>
          </w:p>
        </w:tc>
        <w:tc>
          <w:tcPr>
            <w:tcW w:w="0" w:type="auto"/>
            <w:tcBorders>
              <w:top w:val="nil"/>
              <w:left w:val="nil"/>
              <w:bottom w:val="single" w:sz="8" w:space="0" w:color="000000"/>
              <w:right w:val="single" w:sz="8" w:space="0" w:color="000000"/>
            </w:tcBorders>
            <w:shd w:val="clear" w:color="auto" w:fill="auto"/>
            <w:hideMark/>
          </w:tcPr>
          <w:p w14:paraId="0B5AD04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$6.714.000</w:t>
            </w:r>
          </w:p>
        </w:tc>
      </w:tr>
      <w:tr w:rsidR="00B97426" w:rsidRPr="00B97426" w14:paraId="4CF540A2"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1752C0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3.271.192</w:t>
            </w:r>
          </w:p>
        </w:tc>
        <w:tc>
          <w:tcPr>
            <w:tcW w:w="0" w:type="auto"/>
            <w:tcBorders>
              <w:top w:val="nil"/>
              <w:left w:val="nil"/>
              <w:bottom w:val="single" w:sz="8" w:space="0" w:color="000000"/>
              <w:right w:val="single" w:sz="8" w:space="0" w:color="000000"/>
            </w:tcBorders>
            <w:shd w:val="clear" w:color="auto" w:fill="auto"/>
            <w:hideMark/>
          </w:tcPr>
          <w:p w14:paraId="3725FA1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Miguel Piñeros</w:t>
            </w:r>
          </w:p>
        </w:tc>
        <w:tc>
          <w:tcPr>
            <w:tcW w:w="0" w:type="auto"/>
            <w:tcBorders>
              <w:top w:val="nil"/>
              <w:left w:val="nil"/>
              <w:bottom w:val="single" w:sz="8" w:space="0" w:color="000000"/>
              <w:right w:val="single" w:sz="8" w:space="0" w:color="000000"/>
            </w:tcBorders>
            <w:shd w:val="clear" w:color="auto" w:fill="auto"/>
            <w:hideMark/>
          </w:tcPr>
          <w:p w14:paraId="46F8AC4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$32.566.000</w:t>
            </w:r>
          </w:p>
        </w:tc>
      </w:tr>
      <w:tr w:rsidR="00B97426" w:rsidRPr="00B97426" w14:paraId="349827E8"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7BD6CD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86.084.871</w:t>
            </w:r>
          </w:p>
        </w:tc>
        <w:tc>
          <w:tcPr>
            <w:tcW w:w="0" w:type="auto"/>
            <w:tcBorders>
              <w:top w:val="nil"/>
              <w:left w:val="nil"/>
              <w:bottom w:val="single" w:sz="8" w:space="0" w:color="000000"/>
              <w:right w:val="single" w:sz="8" w:space="0" w:color="000000"/>
            </w:tcBorders>
            <w:shd w:val="clear" w:color="auto" w:fill="auto"/>
            <w:hideMark/>
          </w:tcPr>
          <w:p w14:paraId="3904E30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Fabián Delgado</w:t>
            </w:r>
          </w:p>
        </w:tc>
        <w:tc>
          <w:tcPr>
            <w:tcW w:w="0" w:type="auto"/>
            <w:tcBorders>
              <w:top w:val="nil"/>
              <w:left w:val="nil"/>
              <w:bottom w:val="single" w:sz="8" w:space="0" w:color="000000"/>
              <w:right w:val="single" w:sz="8" w:space="0" w:color="000000"/>
            </w:tcBorders>
            <w:shd w:val="clear" w:color="auto" w:fill="auto"/>
            <w:hideMark/>
          </w:tcPr>
          <w:p w14:paraId="0B86272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$1.636.000</w:t>
            </w:r>
          </w:p>
        </w:tc>
      </w:tr>
      <w:tr w:rsidR="00B97426" w:rsidRPr="00B97426" w14:paraId="66F7E28D" w14:textId="77777777" w:rsidTr="00B97426">
        <w:trPr>
          <w:trHeight w:val="230"/>
          <w:jc w:val="center"/>
        </w:trPr>
        <w:tc>
          <w:tcPr>
            <w:tcW w:w="0" w:type="auto"/>
            <w:gridSpan w:val="2"/>
            <w:tcBorders>
              <w:top w:val="nil"/>
              <w:left w:val="single" w:sz="8" w:space="0" w:color="000000"/>
              <w:bottom w:val="single" w:sz="8" w:space="0" w:color="000000"/>
              <w:right w:val="single" w:sz="8" w:space="0" w:color="000000"/>
            </w:tcBorders>
            <w:shd w:val="clear" w:color="auto" w:fill="auto"/>
            <w:hideMark/>
          </w:tcPr>
          <w:p w14:paraId="4C3FBFF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TOTAL</w:t>
            </w:r>
          </w:p>
        </w:tc>
        <w:tc>
          <w:tcPr>
            <w:tcW w:w="0" w:type="auto"/>
            <w:tcBorders>
              <w:top w:val="nil"/>
              <w:left w:val="nil"/>
              <w:bottom w:val="single" w:sz="8" w:space="0" w:color="000000"/>
              <w:right w:val="single" w:sz="8" w:space="0" w:color="000000"/>
            </w:tcBorders>
            <w:shd w:val="clear" w:color="auto" w:fill="auto"/>
            <w:hideMark/>
          </w:tcPr>
          <w:p w14:paraId="44B4CBB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$46.178.000</w:t>
            </w:r>
          </w:p>
        </w:tc>
      </w:tr>
    </w:tbl>
    <w:p w14:paraId="4EBB287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D0C56F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D72081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Aunque en esa oportunidad no se presentaron soportes de los pasivos señalados, con la respuesta al requerimiento especial</w:t>
      </w:r>
      <w:bookmarkStart w:id="20" w:name="_ftnref21"/>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"_ftn21"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[21]</w:t>
      </w:r>
      <w:r w:rsidRPr="00B97426">
        <w:rPr>
          <w:rFonts w:ascii="Segoe UI" w:eastAsia="Times New Roman" w:hAnsi="Segoe UI" w:cs="Segoe UI"/>
          <w:color w:val="000000"/>
          <w:sz w:val="18"/>
          <w:szCs w:val="18"/>
          <w:lang w:eastAsia="es-CO"/>
        </w:rPr>
        <w:fldChar w:fldCharType="end"/>
      </w:r>
      <w:bookmarkEnd w:id="20"/>
      <w:r w:rsidRPr="00B97426">
        <w:rPr>
          <w:rFonts w:ascii="Segoe UI" w:eastAsia="Times New Roman" w:hAnsi="Segoe UI" w:cs="Segoe UI"/>
          <w:color w:val="000000"/>
          <w:sz w:val="18"/>
          <w:szCs w:val="18"/>
          <w:lang w:eastAsia="es-CO"/>
        </w:rPr>
        <w:t> el actor allegó certificado de contador público, en relación con los pasivos aducidos, que se expidió </w:t>
      </w:r>
      <w:r w:rsidRPr="00B97426">
        <w:rPr>
          <w:rFonts w:ascii="Segoe UI" w:eastAsia="Times New Roman" w:hAnsi="Segoe UI" w:cs="Segoe UI"/>
          <w:i/>
          <w:iCs/>
          <w:color w:val="000000"/>
          <w:sz w:val="18"/>
          <w:szCs w:val="18"/>
          <w:lang w:eastAsia="es-CO"/>
        </w:rPr>
        <w:t>«…con base en los siguientes documentos: 1.- Facturas de compra 2.- Documentos equivalentes 3.- Libros contables</w:t>
      </w:r>
      <w:r w:rsidRPr="00B97426">
        <w:rPr>
          <w:rFonts w:ascii="Segoe UI" w:eastAsia="Times New Roman" w:hAnsi="Segoe UI" w:cs="Segoe UI"/>
          <w:color w:val="000000"/>
          <w:sz w:val="18"/>
          <w:szCs w:val="18"/>
          <w:lang w:eastAsia="es-CO"/>
        </w:rPr>
        <w:t>», documentos que no fueron discriminados ante la Administración o ante la jurisdicción.</w:t>
      </w:r>
    </w:p>
    <w:p w14:paraId="7AAE496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B43D55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Se observa que, como los pasivos declarados fueron objeto de comprobación especial por parte de la Administración, el demandante debía presentar las pruebas que los soportaran en los términos exigidos por la legislación fiscal.</w:t>
      </w:r>
    </w:p>
    <w:p w14:paraId="445BE5B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4893E8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En ese sentido, el </w:t>
      </w:r>
      <w:hyperlink r:id="rId20" w:tooltip="Estatuto Tributario CETA" w:history="1">
        <w:r w:rsidRPr="00B97426">
          <w:rPr>
            <w:rFonts w:ascii="Segoe UI" w:eastAsia="Times New Roman" w:hAnsi="Segoe UI" w:cs="Segoe UI"/>
            <w:color w:val="0089E1"/>
            <w:sz w:val="18"/>
            <w:szCs w:val="18"/>
            <w:lang w:eastAsia="es-CO"/>
          </w:rPr>
          <w:t>artículo 283</w:t>
        </w:r>
      </w:hyperlink>
      <w:r w:rsidRPr="00B97426">
        <w:rPr>
          <w:rFonts w:ascii="Segoe UI" w:eastAsia="Times New Roman" w:hAnsi="Segoe UI" w:cs="Segoe UI"/>
          <w:color w:val="000000"/>
          <w:sz w:val="18"/>
          <w:szCs w:val="18"/>
          <w:lang w:eastAsia="es-CO"/>
        </w:rPr>
        <w:t> del Estatuto Tributario, vigente durante los hechos en discusión</w:t>
      </w:r>
      <w:bookmarkStart w:id="21" w:name="_ftnref22"/>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"_ftn22"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[22]</w:t>
      </w:r>
      <w:r w:rsidRPr="00B97426">
        <w:rPr>
          <w:rFonts w:ascii="Segoe UI" w:eastAsia="Times New Roman" w:hAnsi="Segoe UI" w:cs="Segoe UI"/>
          <w:color w:val="000000"/>
          <w:sz w:val="18"/>
          <w:szCs w:val="18"/>
          <w:lang w:eastAsia="es-CO"/>
        </w:rPr>
        <w:fldChar w:fldCharType="end"/>
      </w:r>
      <w:bookmarkEnd w:id="21"/>
      <w:r w:rsidRPr="00B97426">
        <w:rPr>
          <w:rFonts w:ascii="Segoe UI" w:eastAsia="Times New Roman" w:hAnsi="Segoe UI" w:cs="Segoe UI"/>
          <w:color w:val="000000"/>
          <w:sz w:val="18"/>
          <w:szCs w:val="18"/>
          <w:lang w:eastAsia="es-CO"/>
        </w:rPr>
        <w:t>, establecía que, para el caso de contribuyentes obligados a llevar libros de contabilidad, como ocurre en este caso, «</w:t>
      </w:r>
      <w:r w:rsidRPr="00B97426">
        <w:rPr>
          <w:rFonts w:ascii="Segoe UI" w:eastAsia="Times New Roman" w:hAnsi="Segoe UI" w:cs="Segoe UI"/>
          <w:i/>
          <w:iCs/>
          <w:color w:val="000000"/>
          <w:sz w:val="18"/>
          <w:szCs w:val="18"/>
          <w:lang w:eastAsia="es-CO"/>
        </w:rPr>
        <w:t>los pasivos deben estar respaldados por documentos idóneos, y con el lleno de todas las formalidades exigidas para la contabilidad</w:t>
      </w:r>
      <w:r w:rsidRPr="00B97426">
        <w:rPr>
          <w:rFonts w:ascii="Segoe UI" w:eastAsia="Times New Roman" w:hAnsi="Segoe UI" w:cs="Segoe UI"/>
          <w:color w:val="000000"/>
          <w:sz w:val="18"/>
          <w:szCs w:val="18"/>
          <w:lang w:eastAsia="es-CO"/>
        </w:rPr>
        <w:t>», requisito reiterado por el </w:t>
      </w:r>
      <w:hyperlink r:id="rId21" w:tooltip="Estatuto Tributario CETA" w:history="1">
        <w:r w:rsidRPr="00B97426">
          <w:rPr>
            <w:rFonts w:ascii="Segoe UI" w:eastAsia="Times New Roman" w:hAnsi="Segoe UI" w:cs="Segoe UI"/>
            <w:color w:val="0089E1"/>
            <w:sz w:val="18"/>
            <w:szCs w:val="18"/>
            <w:lang w:eastAsia="es-CO"/>
          </w:rPr>
          <w:t>artículo 770</w:t>
        </w:r>
      </w:hyperlink>
      <w:r w:rsidRPr="00B97426">
        <w:rPr>
          <w:rFonts w:ascii="Segoe UI" w:eastAsia="Times New Roman" w:hAnsi="Segoe UI" w:cs="Segoe UI"/>
          <w:color w:val="000000"/>
          <w:sz w:val="18"/>
          <w:szCs w:val="18"/>
          <w:lang w:eastAsia="es-CO"/>
        </w:rPr>
        <w:t> </w:t>
      </w:r>
      <w:r w:rsidRPr="00B97426">
        <w:rPr>
          <w:rFonts w:ascii="Segoe UI" w:eastAsia="Times New Roman" w:hAnsi="Segoe UI" w:cs="Segoe UI"/>
          <w:i/>
          <w:iCs/>
          <w:color w:val="000000"/>
          <w:sz w:val="18"/>
          <w:szCs w:val="18"/>
          <w:lang w:eastAsia="es-CO"/>
        </w:rPr>
        <w:t>Ib.</w:t>
      </w:r>
      <w:bookmarkStart w:id="22" w:name="_ftnref23"/>
      <w:r w:rsidRPr="00B97426">
        <w:rPr>
          <w:rFonts w:ascii="Segoe UI" w:eastAsia="Times New Roman" w:hAnsi="Segoe UI" w:cs="Segoe UI"/>
          <w:i/>
          <w:iCs/>
          <w:color w:val="000000"/>
          <w:sz w:val="18"/>
          <w:szCs w:val="18"/>
          <w:lang w:eastAsia="es-CO"/>
        </w:rPr>
        <w:fldChar w:fldCharType="begin"/>
      </w:r>
      <w:r w:rsidRPr="00B97426">
        <w:rPr>
          <w:rFonts w:ascii="Segoe UI" w:eastAsia="Times New Roman" w:hAnsi="Segoe UI" w:cs="Segoe UI"/>
          <w:i/>
          <w:iCs/>
          <w:color w:val="000000"/>
          <w:sz w:val="18"/>
          <w:szCs w:val="18"/>
          <w:lang w:eastAsia="es-CO"/>
        </w:rPr>
        <w:instrText xml:space="preserve"> HYPERLINK "https://www.ceta.org.co/html/vista_de_un_documento.asp?DocumentoID=41236" \l "_ftn23" \o "" </w:instrText>
      </w:r>
      <w:r w:rsidRPr="00B97426">
        <w:rPr>
          <w:rFonts w:ascii="Segoe UI" w:eastAsia="Times New Roman" w:hAnsi="Segoe UI" w:cs="Segoe UI"/>
          <w:i/>
          <w:iCs/>
          <w:color w:val="000000"/>
          <w:sz w:val="18"/>
          <w:szCs w:val="18"/>
          <w:lang w:eastAsia="es-CO"/>
        </w:rPr>
        <w:fldChar w:fldCharType="separate"/>
      </w:r>
      <w:r w:rsidRPr="00B97426">
        <w:rPr>
          <w:rFonts w:ascii="Segoe UI" w:eastAsia="Times New Roman" w:hAnsi="Segoe UI" w:cs="Segoe UI"/>
          <w:b/>
          <w:bCs/>
          <w:i/>
          <w:iCs/>
          <w:color w:val="0089E1"/>
          <w:sz w:val="22"/>
          <w:lang w:eastAsia="es-CO"/>
        </w:rPr>
        <w:t>[23]</w:t>
      </w:r>
      <w:r w:rsidRPr="00B97426">
        <w:rPr>
          <w:rFonts w:ascii="Segoe UI" w:eastAsia="Times New Roman" w:hAnsi="Segoe UI" w:cs="Segoe UI"/>
          <w:i/>
          <w:iCs/>
          <w:color w:val="000000"/>
          <w:sz w:val="18"/>
          <w:szCs w:val="18"/>
          <w:lang w:eastAsia="es-CO"/>
        </w:rPr>
        <w:fldChar w:fldCharType="end"/>
      </w:r>
      <w:bookmarkEnd w:id="22"/>
      <w:r w:rsidRPr="00B97426">
        <w:rPr>
          <w:rFonts w:ascii="Segoe UI" w:eastAsia="Times New Roman" w:hAnsi="Segoe UI" w:cs="Segoe UI"/>
          <w:i/>
          <w:iCs/>
          <w:color w:val="000000"/>
          <w:sz w:val="18"/>
          <w:szCs w:val="18"/>
          <w:lang w:eastAsia="es-CO"/>
        </w:rPr>
        <w:t>.</w:t>
      </w:r>
    </w:p>
    <w:p w14:paraId="70319E9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3A9DA18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Por lo anterior, se considera que la simple enunciación de los pasivos declarados y la certificación de contador público allegada a la actuación administrativa, que no cuenta con grado alguno de detalle y no está soportada en comprobantes externos o internos, no constituyen las pruebas idóneas a que se refiere la legislación fiscal, ante lo cual se echan de menos los soportes discriminados aducidos en dicha certificación, como son facturas, documentos equivalentes, u otros que explicaran los pasivos solicitados.</w:t>
      </w:r>
    </w:p>
    <w:p w14:paraId="4C4AAB5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79CB0C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esos términos, no se violó el debido proceso ni el derecho de defensa, en razón a que los pasivos declarados, que fueron objeto de comprobación por parte de la Administración, no fueron demostrados por el demandante.</w:t>
      </w:r>
    </w:p>
    <w:p w14:paraId="0137942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C3B29F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Presunción de ingresos por omisión del registro de compras - Ingresos - Adición</w:t>
      </w:r>
    </w:p>
    <w:p w14:paraId="14C55FA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72F3E2E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demandante indicó que la presunción aducida es improcedente, pues a su juicio la aplicación en renta de la misma requiere que las compras no estén registradas en la contabilidad, lo cual no fue verificado por la DIAN, quien tampoco demostró la existencia de la omisión.</w:t>
      </w:r>
    </w:p>
    <w:p w14:paraId="1153E80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AF9D63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La Sala observa que el contribuyente declaró ingresos brutos por la suma de $913.386.000, a los cuales se adicionó la suma de $645.454.259 por omisión del registro de compras, y $70.664.986 por operaciones con terceros, para un total ingresos brutos de $1.629.505.000.</w:t>
      </w:r>
    </w:p>
    <w:p w14:paraId="3D9C159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7F4DCE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el primer evento, el </w:t>
      </w:r>
      <w:hyperlink r:id="rId22" w:tooltip="Estatuto Tributario CETA" w:history="1">
        <w:r w:rsidRPr="00B97426">
          <w:rPr>
            <w:rFonts w:ascii="Segoe UI" w:eastAsia="Times New Roman" w:hAnsi="Segoe UI" w:cs="Segoe UI"/>
            <w:color w:val="0089E1"/>
            <w:sz w:val="22"/>
            <w:lang w:eastAsia="es-CO"/>
          </w:rPr>
          <w:t>artículo 756</w:t>
        </w:r>
      </w:hyperlink>
      <w:r w:rsidRPr="00B97426">
        <w:rPr>
          <w:rFonts w:ascii="Segoe UI" w:eastAsia="Times New Roman" w:hAnsi="Segoe UI" w:cs="Segoe UI"/>
          <w:color w:val="000000"/>
          <w:sz w:val="22"/>
          <w:lang w:eastAsia="es-CO"/>
        </w:rPr>
        <w:t> del Estatuto Tributario, en su versión original, disponía que para adicionar ingresos en el impuesto sobre las ventas, la Administración podía aplicar </w:t>
      </w:r>
      <w:r w:rsidRPr="00B97426">
        <w:rPr>
          <w:rFonts w:ascii="Segoe UI" w:eastAsia="Times New Roman" w:hAnsi="Segoe UI" w:cs="Segoe UI"/>
          <w:i/>
          <w:iCs/>
          <w:color w:val="000000"/>
          <w:sz w:val="22"/>
          <w:lang w:eastAsia="es-CO"/>
        </w:rPr>
        <w:t>«las presunciones de que tratan los siguientes artículos</w:t>
      </w:r>
      <w:bookmarkStart w:id="23" w:name="_ftnref24"/>
      <w:r w:rsidRPr="00B97426">
        <w:rPr>
          <w:rFonts w:ascii="Segoe UI" w:eastAsia="Times New Roman" w:hAnsi="Segoe UI" w:cs="Segoe UI"/>
          <w:i/>
          <w:iCs/>
          <w:color w:val="000000"/>
          <w:sz w:val="22"/>
          <w:lang w:eastAsia="es-CO"/>
        </w:rPr>
        <w:fldChar w:fldCharType="begin"/>
      </w:r>
      <w:r w:rsidRPr="00B97426">
        <w:rPr>
          <w:rFonts w:ascii="Segoe UI" w:eastAsia="Times New Roman" w:hAnsi="Segoe UI" w:cs="Segoe UI"/>
          <w:i/>
          <w:iCs/>
          <w:color w:val="000000"/>
          <w:sz w:val="22"/>
          <w:lang w:eastAsia="es-CO"/>
        </w:rPr>
        <w:instrText xml:space="preserve"> HYPERLINK "https://www.ceta.org.co/html/vista_de_un_documento.asp?DocumentoID=41236" \l "_ftn24" \o "" </w:instrText>
      </w:r>
      <w:r w:rsidRPr="00B97426">
        <w:rPr>
          <w:rFonts w:ascii="Segoe UI" w:eastAsia="Times New Roman" w:hAnsi="Segoe UI" w:cs="Segoe UI"/>
          <w:i/>
          <w:iCs/>
          <w:color w:val="000000"/>
          <w:sz w:val="22"/>
          <w:lang w:eastAsia="es-CO"/>
        </w:rPr>
        <w:fldChar w:fldCharType="separate"/>
      </w:r>
      <w:r w:rsidRPr="00B97426">
        <w:rPr>
          <w:rFonts w:ascii="Segoe UI" w:eastAsia="Times New Roman" w:hAnsi="Segoe UI" w:cs="Segoe UI"/>
          <w:b/>
          <w:bCs/>
          <w:i/>
          <w:iCs/>
          <w:color w:val="0089E1"/>
          <w:sz w:val="22"/>
          <w:lang w:eastAsia="es-CO"/>
        </w:rPr>
        <w:t>[24]</w:t>
      </w:r>
      <w:r w:rsidRPr="00B97426">
        <w:rPr>
          <w:rFonts w:ascii="Segoe UI" w:eastAsia="Times New Roman" w:hAnsi="Segoe UI" w:cs="Segoe UI"/>
          <w:i/>
          <w:iCs/>
          <w:color w:val="000000"/>
          <w:sz w:val="22"/>
          <w:lang w:eastAsia="es-CO"/>
        </w:rPr>
        <w:fldChar w:fldCharType="end"/>
      </w:r>
      <w:bookmarkEnd w:id="23"/>
      <w:r w:rsidRPr="00B97426">
        <w:rPr>
          <w:rFonts w:ascii="Segoe UI" w:eastAsia="Times New Roman" w:hAnsi="Segoe UI" w:cs="Segoe UI"/>
          <w:i/>
          <w:iCs/>
          <w:color w:val="000000"/>
          <w:sz w:val="22"/>
          <w:lang w:eastAsia="es-CO"/>
        </w:rPr>
        <w:t>»; </w:t>
      </w:r>
      <w:r w:rsidRPr="00B97426">
        <w:rPr>
          <w:rFonts w:ascii="Segoe UI" w:eastAsia="Times New Roman" w:hAnsi="Segoe UI" w:cs="Segoe UI"/>
          <w:color w:val="000000"/>
          <w:sz w:val="22"/>
          <w:lang w:eastAsia="es-CO"/>
        </w:rPr>
        <w:t>no obstante, con la modificación introducida por la Ley 6ª de 1992</w:t>
      </w:r>
      <w:bookmarkStart w:id="24" w:name="_ftnref25"/>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"_ftn25"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[25]</w:t>
      </w:r>
      <w:r w:rsidRPr="00B97426">
        <w:rPr>
          <w:rFonts w:ascii="Segoe UI" w:eastAsia="Times New Roman" w:hAnsi="Segoe UI" w:cs="Segoe UI"/>
          <w:color w:val="000000"/>
          <w:sz w:val="22"/>
          <w:lang w:eastAsia="es-CO"/>
        </w:rPr>
        <w:fldChar w:fldCharType="end"/>
      </w:r>
      <w:bookmarkEnd w:id="24"/>
      <w:r w:rsidRPr="00B97426">
        <w:rPr>
          <w:rFonts w:ascii="Segoe UI" w:eastAsia="Times New Roman" w:hAnsi="Segoe UI" w:cs="Segoe UI"/>
          <w:color w:val="000000"/>
          <w:sz w:val="22"/>
          <w:lang w:eastAsia="es-CO"/>
        </w:rPr>
        <w:t>, la aplicación de presunciones se extendió al impuesto sobre la renta, pues se precisó que </w:t>
      </w:r>
      <w:r w:rsidRPr="00B97426">
        <w:rPr>
          <w:rFonts w:ascii="Segoe UI" w:eastAsia="Times New Roman" w:hAnsi="Segoe UI" w:cs="Segoe UI"/>
          <w:i/>
          <w:iCs/>
          <w:color w:val="000000"/>
          <w:sz w:val="22"/>
          <w:lang w:eastAsia="es-CO"/>
        </w:rPr>
        <w:t>«Los funcionarios competentes para la determinación de los impuestos, </w:t>
      </w:r>
      <w:r w:rsidRPr="00B97426">
        <w:rPr>
          <w:rFonts w:ascii="Segoe UI" w:eastAsia="Times New Roman" w:hAnsi="Segoe UI" w:cs="Segoe UI"/>
          <w:i/>
          <w:iCs/>
          <w:color w:val="000000"/>
          <w:sz w:val="22"/>
          <w:u w:val="single"/>
          <w:lang w:eastAsia="es-CO"/>
        </w:rPr>
        <w:t>podrán adicionar ingresos para</w:t>
      </w:r>
      <w:r w:rsidRPr="00B97426">
        <w:rPr>
          <w:rFonts w:ascii="Segoe UI" w:eastAsia="Times New Roman" w:hAnsi="Segoe UI" w:cs="Segoe UI"/>
          <w:i/>
          <w:iCs/>
          <w:color w:val="000000"/>
          <w:sz w:val="22"/>
          <w:lang w:eastAsia="es-CO"/>
        </w:rPr>
        <w:t> </w:t>
      </w:r>
      <w:r w:rsidRPr="00B97426">
        <w:rPr>
          <w:rFonts w:ascii="Segoe UI" w:eastAsia="Times New Roman" w:hAnsi="Segoe UI" w:cs="Segoe UI"/>
          <w:i/>
          <w:iCs/>
          <w:color w:val="000000"/>
          <w:sz w:val="22"/>
          <w:u w:val="single"/>
          <w:lang w:eastAsia="es-CO"/>
        </w:rPr>
        <w:t>efectos de los impuestos sobre la renta y complementarios</w:t>
      </w:r>
      <w:r w:rsidRPr="00B97426">
        <w:rPr>
          <w:rFonts w:ascii="Segoe UI" w:eastAsia="Times New Roman" w:hAnsi="Segoe UI" w:cs="Segoe UI"/>
          <w:i/>
          <w:iCs/>
          <w:color w:val="000000"/>
          <w:sz w:val="22"/>
          <w:lang w:eastAsia="es-CO"/>
        </w:rPr>
        <w:t> y sobre las ventas, </w:t>
      </w:r>
      <w:r w:rsidRPr="00B97426">
        <w:rPr>
          <w:rFonts w:ascii="Segoe UI" w:eastAsia="Times New Roman" w:hAnsi="Segoe UI" w:cs="Segoe UI"/>
          <w:i/>
          <w:iCs/>
          <w:color w:val="000000"/>
          <w:sz w:val="22"/>
          <w:u w:val="single"/>
          <w:lang w:eastAsia="es-CO"/>
        </w:rPr>
        <w:t>dentro del proceso de</w:t>
      </w:r>
      <w:r w:rsidRPr="00B97426">
        <w:rPr>
          <w:rFonts w:ascii="Segoe UI" w:eastAsia="Times New Roman" w:hAnsi="Segoe UI" w:cs="Segoe UI"/>
          <w:i/>
          <w:iCs/>
          <w:color w:val="000000"/>
          <w:sz w:val="22"/>
          <w:lang w:eastAsia="es-CO"/>
        </w:rPr>
        <w:t> </w:t>
      </w:r>
      <w:r w:rsidRPr="00B97426">
        <w:rPr>
          <w:rFonts w:ascii="Segoe UI" w:eastAsia="Times New Roman" w:hAnsi="Segoe UI" w:cs="Segoe UI"/>
          <w:i/>
          <w:iCs/>
          <w:color w:val="000000"/>
          <w:sz w:val="22"/>
          <w:u w:val="single"/>
          <w:lang w:eastAsia="es-CO"/>
        </w:rPr>
        <w:t>determinación oficial previsto en el Título IV del Libro V del Estatuto Tributario</w:t>
      </w:r>
      <w:r w:rsidRPr="00B97426">
        <w:rPr>
          <w:rFonts w:ascii="Segoe UI" w:eastAsia="Times New Roman" w:hAnsi="Segoe UI" w:cs="Segoe UI"/>
          <w:i/>
          <w:iCs/>
          <w:color w:val="000000"/>
          <w:sz w:val="22"/>
          <w:lang w:eastAsia="es-CO"/>
        </w:rPr>
        <w:t>, aplicando las presunciones de los artículos siguientes». </w:t>
      </w:r>
      <w:r w:rsidRPr="00B97426">
        <w:rPr>
          <w:rFonts w:ascii="Segoe UI" w:eastAsia="Times New Roman" w:hAnsi="Segoe UI" w:cs="Segoe UI"/>
          <w:color w:val="000000"/>
          <w:sz w:val="22"/>
          <w:lang w:eastAsia="es-CO"/>
        </w:rPr>
        <w:t>(Se subraya).</w:t>
      </w:r>
    </w:p>
    <w:p w14:paraId="77CB79B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409154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Entre las presunciones aplicables en los impuestos de renta y ventas se encuentra la presunción de ingresos por omisión del registro de compras a que alude el </w:t>
      </w:r>
      <w:hyperlink r:id="rId23" w:tooltip="Estatuto Tributario CETA" w:history="1">
        <w:r w:rsidRPr="00B97426">
          <w:rPr>
            <w:rFonts w:ascii="Segoe UI" w:eastAsia="Times New Roman" w:hAnsi="Segoe UI" w:cs="Segoe UI"/>
            <w:color w:val="0089E1"/>
            <w:sz w:val="18"/>
            <w:szCs w:val="18"/>
            <w:lang w:eastAsia="es-CO"/>
          </w:rPr>
          <w:t>artículo 760</w:t>
        </w:r>
      </w:hyperlink>
      <w:r w:rsidRPr="00B97426">
        <w:rPr>
          <w:rFonts w:ascii="Segoe UI" w:eastAsia="Times New Roman" w:hAnsi="Segoe UI" w:cs="Segoe UI"/>
          <w:color w:val="000000"/>
          <w:sz w:val="18"/>
          <w:szCs w:val="18"/>
          <w:lang w:eastAsia="es-CO"/>
        </w:rPr>
        <w:t> del Estatuto Tributario, según la cual, </w:t>
      </w:r>
      <w:r w:rsidRPr="00B97426">
        <w:rPr>
          <w:rFonts w:ascii="Segoe UI" w:eastAsia="Times New Roman" w:hAnsi="Segoe UI" w:cs="Segoe UI"/>
          <w:i/>
          <w:iCs/>
          <w:color w:val="000000"/>
          <w:sz w:val="18"/>
          <w:szCs w:val="18"/>
          <w:lang w:eastAsia="es-CO"/>
        </w:rPr>
        <w:t xml:space="preserve">«Cuando se constate que el </w:t>
      </w:r>
      <w:r w:rsidRPr="00B97426">
        <w:rPr>
          <w:rFonts w:ascii="Segoe UI" w:eastAsia="Times New Roman" w:hAnsi="Segoe UI" w:cs="Segoe UI"/>
          <w:i/>
          <w:iCs/>
          <w:color w:val="000000"/>
          <w:sz w:val="18"/>
          <w:szCs w:val="18"/>
          <w:lang w:eastAsia="es-CO"/>
        </w:rPr>
        <w:lastRenderedPageBreak/>
        <w:t>responsable ha omitido registrar compras destinadas a las operaciones gravadas, se presumirá como ingreso gravado omitido el resultado que se obtenga al efectuar el siguiente cálculo (…)».</w:t>
      </w:r>
    </w:p>
    <w:p w14:paraId="7B814C3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2A5669A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En ese sentido, el inciso adicionado por el artículo 58 de la citada Ley 6ª de 1992, indicó que «</w:t>
      </w:r>
      <w:r w:rsidRPr="00B97426">
        <w:rPr>
          <w:rFonts w:ascii="Segoe UI" w:eastAsia="Times New Roman" w:hAnsi="Segoe UI" w:cs="Segoe UI"/>
          <w:i/>
          <w:iCs/>
          <w:color w:val="000000"/>
          <w:sz w:val="18"/>
          <w:szCs w:val="18"/>
          <w:u w:val="single"/>
          <w:lang w:eastAsia="es-CO"/>
        </w:rPr>
        <w:t>Lo dispuesto en este artículo permitirá presumir, igualmente, que el contribuyente del</w:t>
      </w:r>
      <w:r w:rsidRPr="00B97426">
        <w:rPr>
          <w:rFonts w:ascii="Segoe UI" w:eastAsia="Times New Roman" w:hAnsi="Segoe UI" w:cs="Segoe UI"/>
          <w:i/>
          <w:iCs/>
          <w:color w:val="000000"/>
          <w:sz w:val="18"/>
          <w:szCs w:val="18"/>
          <w:lang w:eastAsia="es-CO"/>
        </w:rPr>
        <w:t> </w:t>
      </w:r>
      <w:r w:rsidRPr="00B97426">
        <w:rPr>
          <w:rFonts w:ascii="Segoe UI" w:eastAsia="Times New Roman" w:hAnsi="Segoe UI" w:cs="Segoe UI"/>
          <w:i/>
          <w:iCs/>
          <w:color w:val="000000"/>
          <w:sz w:val="18"/>
          <w:szCs w:val="18"/>
          <w:u w:val="single"/>
          <w:lang w:eastAsia="es-CO"/>
        </w:rPr>
        <w:t>impuesto sobre la renta y complementarios ha omitido ingresos</w:t>
      </w:r>
      <w:r w:rsidRPr="00B97426">
        <w:rPr>
          <w:rFonts w:ascii="Segoe UI" w:eastAsia="Times New Roman" w:hAnsi="Segoe UI" w:cs="Segoe UI"/>
          <w:i/>
          <w:iCs/>
          <w:color w:val="000000"/>
          <w:sz w:val="18"/>
          <w:szCs w:val="18"/>
          <w:lang w:eastAsia="es-CO"/>
        </w:rPr>
        <w:t>, constitutivos de renta líquida gravable, </w:t>
      </w:r>
      <w:r w:rsidRPr="00B97426">
        <w:rPr>
          <w:rFonts w:ascii="Segoe UI" w:eastAsia="Times New Roman" w:hAnsi="Segoe UI" w:cs="Segoe UI"/>
          <w:i/>
          <w:iCs/>
          <w:color w:val="000000"/>
          <w:sz w:val="18"/>
          <w:szCs w:val="18"/>
          <w:u w:val="single"/>
          <w:lang w:eastAsia="es-CO"/>
        </w:rPr>
        <w:t>en la declaración del respectivo año o período gravable</w:t>
      </w:r>
      <w:r w:rsidRPr="00B97426">
        <w:rPr>
          <w:rFonts w:ascii="Segoe UI" w:eastAsia="Times New Roman" w:hAnsi="Segoe UI" w:cs="Segoe UI"/>
          <w:i/>
          <w:iCs/>
          <w:color w:val="000000"/>
          <w:sz w:val="18"/>
          <w:szCs w:val="18"/>
          <w:lang w:eastAsia="es-CO"/>
        </w:rPr>
        <w:t>, por igual cuantía a la establecida en la forma aquí prevista</w:t>
      </w:r>
      <w:r w:rsidRPr="00B97426">
        <w:rPr>
          <w:rFonts w:ascii="Segoe UI" w:eastAsia="Times New Roman" w:hAnsi="Segoe UI" w:cs="Segoe UI"/>
          <w:color w:val="000000"/>
          <w:sz w:val="18"/>
          <w:szCs w:val="18"/>
          <w:lang w:eastAsia="es-CO"/>
        </w:rPr>
        <w:t>». (Se subraya).</w:t>
      </w:r>
    </w:p>
    <w:p w14:paraId="5020B73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2226B2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Se destaca, además, que las adiciones de ingresos a que alude la normativa invocada se desarrollan «</w:t>
      </w:r>
      <w:r w:rsidRPr="00B97426">
        <w:rPr>
          <w:rFonts w:ascii="Segoe UI" w:eastAsia="Times New Roman" w:hAnsi="Segoe UI" w:cs="Segoe UI"/>
          <w:i/>
          <w:iCs/>
          <w:color w:val="000000"/>
          <w:sz w:val="18"/>
          <w:szCs w:val="18"/>
          <w:lang w:eastAsia="es-CO"/>
        </w:rPr>
        <w:t>dentro del proceso de determinación oficial previsto en el Título IV del Libro V del Estatuto Tributario» </w:t>
      </w:r>
      <w:r w:rsidRPr="00B97426">
        <w:rPr>
          <w:rFonts w:ascii="Segoe UI" w:eastAsia="Times New Roman" w:hAnsi="Segoe UI" w:cs="Segoe UI"/>
          <w:color w:val="000000"/>
          <w:sz w:val="18"/>
          <w:szCs w:val="18"/>
          <w:lang w:eastAsia="es-CO"/>
        </w:rPr>
        <w:t>que conforme con el Capítulo II </w:t>
      </w:r>
      <w:r w:rsidRPr="00B97426">
        <w:rPr>
          <w:rFonts w:ascii="Segoe UI" w:eastAsia="Times New Roman" w:hAnsi="Segoe UI" w:cs="Segoe UI"/>
          <w:i/>
          <w:iCs/>
          <w:color w:val="000000"/>
          <w:sz w:val="18"/>
          <w:szCs w:val="18"/>
          <w:lang w:eastAsia="es-CO"/>
        </w:rPr>
        <w:t>Ib</w:t>
      </w:r>
      <w:r w:rsidRPr="00B97426">
        <w:rPr>
          <w:rFonts w:ascii="Segoe UI" w:eastAsia="Times New Roman" w:hAnsi="Segoe UI" w:cs="Segoe UI"/>
          <w:color w:val="000000"/>
          <w:sz w:val="18"/>
          <w:szCs w:val="18"/>
          <w:lang w:eastAsia="es-CO"/>
        </w:rPr>
        <w:t>., se relaciona con las declaraciones tributarias.</w:t>
      </w:r>
    </w:p>
    <w:p w14:paraId="4D74FE9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C58081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Así las cosas, por disposición del </w:t>
      </w:r>
      <w:hyperlink r:id="rId24" w:tooltip="Estatuto Tributario CETA" w:history="1">
        <w:r w:rsidRPr="00B97426">
          <w:rPr>
            <w:rFonts w:ascii="Segoe UI" w:eastAsia="Times New Roman" w:hAnsi="Segoe UI" w:cs="Segoe UI"/>
            <w:color w:val="0089E1"/>
            <w:sz w:val="22"/>
            <w:lang w:eastAsia="es-CO"/>
          </w:rPr>
          <w:t>artículo 756</w:t>
        </w:r>
      </w:hyperlink>
      <w:r w:rsidRPr="00B97426">
        <w:rPr>
          <w:rFonts w:ascii="Segoe UI" w:eastAsia="Times New Roman" w:hAnsi="Segoe UI" w:cs="Segoe UI"/>
          <w:color w:val="000000"/>
          <w:sz w:val="22"/>
          <w:lang w:eastAsia="es-CO"/>
        </w:rPr>
        <w:t> del Estatuto Tributario, la presunción de ingresos por omisión del registro de compras aplica en los impuestos de renta y ventas, y opera cuando se constata que el responsable omitió registrar compras destinadas a operaciones gravadas en su declaración tributaria.</w:t>
      </w:r>
    </w:p>
    <w:p w14:paraId="783BA31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2EC747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En el caso concreto, con la respuesta al requerimiento ordinario de información del 13 de diciembre de 2011, el contribuyente manifestó que durante el período en discusión se desempeñó «</w:t>
      </w:r>
      <w:r w:rsidRPr="00B97426">
        <w:rPr>
          <w:rFonts w:ascii="Segoe UI" w:eastAsia="Times New Roman" w:hAnsi="Segoe UI" w:cs="Segoe UI"/>
          <w:i/>
          <w:iCs/>
          <w:color w:val="000000"/>
          <w:sz w:val="18"/>
          <w:szCs w:val="18"/>
          <w:lang w:eastAsia="es-CO"/>
        </w:rPr>
        <w:t>como matarife de ganado en pie y comercializador de carne en canal</w:t>
      </w:r>
      <w:r w:rsidRPr="00B97426">
        <w:rPr>
          <w:rFonts w:ascii="Segoe UI" w:eastAsia="Times New Roman" w:hAnsi="Segoe UI" w:cs="Segoe UI"/>
          <w:color w:val="000000"/>
          <w:sz w:val="18"/>
          <w:szCs w:val="18"/>
          <w:lang w:eastAsia="es-CO"/>
        </w:rPr>
        <w:t>», para lo cual realizó las siguientes actividades: «</w:t>
      </w:r>
      <w:r w:rsidRPr="00B97426">
        <w:rPr>
          <w:rFonts w:ascii="Segoe UI" w:eastAsia="Times New Roman" w:hAnsi="Segoe UI" w:cs="Segoe UI"/>
          <w:i/>
          <w:iCs/>
          <w:color w:val="000000"/>
          <w:sz w:val="18"/>
          <w:szCs w:val="18"/>
          <w:lang w:eastAsia="es-CO"/>
        </w:rPr>
        <w:t>1.- Visita a plazas de mercado abierto (…) 2.- Evaluación del tipo de ganado a adquirir (…) 3.- Compra y pago del ganado. 4.- recibido en frigorífico Guadalupe. 5.- Inspección general. 6.- Sacrificio. 7.- Desposte (…) 8.- Venta</w:t>
      </w:r>
      <w:r w:rsidRPr="00B97426">
        <w:rPr>
          <w:rFonts w:ascii="Segoe UI" w:eastAsia="Times New Roman" w:hAnsi="Segoe UI" w:cs="Segoe UI"/>
          <w:color w:val="000000"/>
          <w:sz w:val="18"/>
          <w:szCs w:val="18"/>
          <w:lang w:eastAsia="es-CO"/>
        </w:rPr>
        <w:t>».</w:t>
      </w:r>
    </w:p>
    <w:p w14:paraId="643BA07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E87BC6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Con la respuesta señalada el demandante allegó certificación del Representante Legal de Frigorífico Guadalupe S.A</w:t>
      </w:r>
      <w:bookmarkStart w:id="25" w:name="_ftnref26"/>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"_ftn26"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[26]</w:t>
      </w:r>
      <w:r w:rsidRPr="00B97426">
        <w:rPr>
          <w:rFonts w:ascii="Segoe UI" w:eastAsia="Times New Roman" w:hAnsi="Segoe UI" w:cs="Segoe UI"/>
          <w:color w:val="000000"/>
          <w:sz w:val="22"/>
          <w:lang w:eastAsia="es-CO"/>
        </w:rPr>
        <w:fldChar w:fldCharType="end"/>
      </w:r>
      <w:bookmarkEnd w:id="25"/>
      <w:r w:rsidRPr="00B97426">
        <w:rPr>
          <w:rFonts w:ascii="Segoe UI" w:eastAsia="Times New Roman" w:hAnsi="Segoe UI" w:cs="Segoe UI"/>
          <w:color w:val="000000"/>
          <w:sz w:val="22"/>
          <w:lang w:eastAsia="es-CO"/>
        </w:rPr>
        <w:t>., donde consta que en el año gravable 2009, al actor le fue facturado el servicio de sacrificio de 2.747 animales.</w:t>
      </w:r>
    </w:p>
    <w:p w14:paraId="1853F76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8476D3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ese sentido, la DIAN, mediante oficio 1-32-239-416-290 del 13 de febrero de 2012</w:t>
      </w:r>
      <w:bookmarkStart w:id="26" w:name="_ftnref27"/>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"_ftn27"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[27]</w:t>
      </w:r>
      <w:r w:rsidRPr="00B97426">
        <w:rPr>
          <w:rFonts w:ascii="Segoe UI" w:eastAsia="Times New Roman" w:hAnsi="Segoe UI" w:cs="Segoe UI"/>
          <w:color w:val="000000"/>
          <w:sz w:val="22"/>
          <w:lang w:eastAsia="es-CO"/>
        </w:rPr>
        <w:fldChar w:fldCharType="end"/>
      </w:r>
      <w:bookmarkEnd w:id="26"/>
      <w:r w:rsidRPr="00B97426">
        <w:rPr>
          <w:rFonts w:ascii="Segoe UI" w:eastAsia="Times New Roman" w:hAnsi="Segoe UI" w:cs="Segoe UI"/>
          <w:color w:val="000000"/>
          <w:sz w:val="22"/>
          <w:lang w:eastAsia="es-CO"/>
        </w:rPr>
        <w:t>, solicitó a Frigorífico Guadalupe S.A., certificar las operaciones realizadas con el contribuyente. Con la respuesta a dicho requerimiento, el tercero allegó certificado de revisor fiscal</w:t>
      </w:r>
      <w:bookmarkStart w:id="27" w:name="_ftnref28"/>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"_ftn28"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[28]</w:t>
      </w:r>
      <w:r w:rsidRPr="00B97426">
        <w:rPr>
          <w:rFonts w:ascii="Segoe UI" w:eastAsia="Times New Roman" w:hAnsi="Segoe UI" w:cs="Segoe UI"/>
          <w:color w:val="000000"/>
          <w:sz w:val="22"/>
          <w:lang w:eastAsia="es-CO"/>
        </w:rPr>
        <w:fldChar w:fldCharType="end"/>
      </w:r>
      <w:bookmarkEnd w:id="27"/>
      <w:r w:rsidRPr="00B97426">
        <w:rPr>
          <w:rFonts w:ascii="Segoe UI" w:eastAsia="Times New Roman" w:hAnsi="Segoe UI" w:cs="Segoe UI"/>
          <w:color w:val="000000"/>
          <w:sz w:val="22"/>
          <w:lang w:eastAsia="es-CO"/>
        </w:rPr>
        <w:t>, donde consta que durante el año gravable 2009, el actor solicitó el servicio de sacrificio de ganado de 2.747 animales de la especie bovina.</w:t>
      </w:r>
    </w:p>
    <w:p w14:paraId="1736547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A531F8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consecuencia, se evidenció que el actor compró 2.747 animales, por lo cual, tomando como referencia el valor comercial del mismo establecido para el período 2009 en la Resolución 022 del 18 de enero de 2010 del Ministerio de Agricultura, que para la zona II (Cundinamarca) era de $488.029 por animal, estableció compras por la suma de $1.340.615.663</w:t>
      </w:r>
      <w:bookmarkStart w:id="28" w:name="_ftnref29"/>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"_ftn29"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[29]</w:t>
      </w:r>
      <w:r w:rsidRPr="00B97426">
        <w:rPr>
          <w:rFonts w:ascii="Segoe UI" w:eastAsia="Times New Roman" w:hAnsi="Segoe UI" w:cs="Segoe UI"/>
          <w:color w:val="000000"/>
          <w:sz w:val="22"/>
          <w:lang w:eastAsia="es-CO"/>
        </w:rPr>
        <w:fldChar w:fldCharType="end"/>
      </w:r>
      <w:bookmarkEnd w:id="28"/>
      <w:r w:rsidRPr="00B97426">
        <w:rPr>
          <w:rFonts w:ascii="Segoe UI" w:eastAsia="Times New Roman" w:hAnsi="Segoe UI" w:cs="Segoe UI"/>
          <w:color w:val="000000"/>
          <w:sz w:val="22"/>
          <w:lang w:eastAsia="es-CO"/>
        </w:rPr>
        <w:t>.</w:t>
      </w:r>
    </w:p>
    <w:p w14:paraId="01ECCCF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47FFA8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Ahora bien, con fundamento en las declaraciones del impuesto sobre las ventas presentadas por el año gravable 2009, se estableció que el demandante declaró compras por la suma de $785.525.000, así:</w:t>
      </w:r>
    </w:p>
    <w:p w14:paraId="6CBB860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065"/>
        <w:gridCol w:w="1904"/>
      </w:tblGrid>
      <w:tr w:rsidR="00B97426" w:rsidRPr="00B97426" w14:paraId="7A179911" w14:textId="77777777" w:rsidTr="00B97426">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7111C216"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Bimestre</w:t>
            </w:r>
          </w:p>
        </w:tc>
        <w:tc>
          <w:tcPr>
            <w:tcW w:w="0" w:type="auto"/>
            <w:tcBorders>
              <w:top w:val="single" w:sz="8" w:space="0" w:color="000000"/>
              <w:left w:val="nil"/>
              <w:bottom w:val="single" w:sz="8" w:space="0" w:color="000000"/>
              <w:right w:val="single" w:sz="8" w:space="0" w:color="000000"/>
            </w:tcBorders>
            <w:shd w:val="clear" w:color="auto" w:fill="auto"/>
            <w:hideMark/>
          </w:tcPr>
          <w:p w14:paraId="514FB675"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Compras declaradas</w:t>
            </w:r>
          </w:p>
        </w:tc>
      </w:tr>
      <w:tr w:rsidR="00B97426" w:rsidRPr="00B97426" w14:paraId="3DCEE04F"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65816F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Enero – febrero</w:t>
            </w:r>
          </w:p>
        </w:tc>
        <w:tc>
          <w:tcPr>
            <w:tcW w:w="0" w:type="auto"/>
            <w:tcBorders>
              <w:top w:val="nil"/>
              <w:left w:val="nil"/>
              <w:bottom w:val="single" w:sz="8" w:space="0" w:color="000000"/>
              <w:right w:val="single" w:sz="8" w:space="0" w:color="000000"/>
            </w:tcBorders>
            <w:shd w:val="clear" w:color="auto" w:fill="auto"/>
            <w:hideMark/>
          </w:tcPr>
          <w:p w14:paraId="2C75C9E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$139.269.000</w:t>
            </w:r>
          </w:p>
        </w:tc>
      </w:tr>
      <w:tr w:rsidR="00B97426" w:rsidRPr="00B97426" w14:paraId="2A2A1404"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47FFE2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Marzo – abril</w:t>
            </w:r>
          </w:p>
        </w:tc>
        <w:tc>
          <w:tcPr>
            <w:tcW w:w="0" w:type="auto"/>
            <w:tcBorders>
              <w:top w:val="nil"/>
              <w:left w:val="nil"/>
              <w:bottom w:val="single" w:sz="8" w:space="0" w:color="000000"/>
              <w:right w:val="single" w:sz="8" w:space="0" w:color="000000"/>
            </w:tcBorders>
            <w:shd w:val="clear" w:color="auto" w:fill="auto"/>
            <w:hideMark/>
          </w:tcPr>
          <w:p w14:paraId="7D470F7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$128.600.000</w:t>
            </w:r>
          </w:p>
        </w:tc>
      </w:tr>
      <w:tr w:rsidR="00B97426" w:rsidRPr="00B97426" w14:paraId="51FE94AF"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B4E9C9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Mayo – junio</w:t>
            </w:r>
          </w:p>
        </w:tc>
        <w:tc>
          <w:tcPr>
            <w:tcW w:w="0" w:type="auto"/>
            <w:tcBorders>
              <w:top w:val="nil"/>
              <w:left w:val="nil"/>
              <w:bottom w:val="single" w:sz="8" w:space="0" w:color="000000"/>
              <w:right w:val="single" w:sz="8" w:space="0" w:color="000000"/>
            </w:tcBorders>
            <w:shd w:val="clear" w:color="auto" w:fill="auto"/>
            <w:hideMark/>
          </w:tcPr>
          <w:p w14:paraId="01DB37F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$139.127.000</w:t>
            </w:r>
          </w:p>
        </w:tc>
      </w:tr>
      <w:tr w:rsidR="00B97426" w:rsidRPr="00B97426" w14:paraId="390E270B"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E9ADFE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Julio – agosto</w:t>
            </w:r>
          </w:p>
        </w:tc>
        <w:tc>
          <w:tcPr>
            <w:tcW w:w="0" w:type="auto"/>
            <w:tcBorders>
              <w:top w:val="nil"/>
              <w:left w:val="nil"/>
              <w:bottom w:val="single" w:sz="8" w:space="0" w:color="000000"/>
              <w:right w:val="single" w:sz="8" w:space="0" w:color="000000"/>
            </w:tcBorders>
            <w:shd w:val="clear" w:color="auto" w:fill="auto"/>
            <w:hideMark/>
          </w:tcPr>
          <w:p w14:paraId="068BB79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$124.261.000</w:t>
            </w:r>
          </w:p>
        </w:tc>
      </w:tr>
      <w:tr w:rsidR="00B97426" w:rsidRPr="00B97426" w14:paraId="74F908EB" w14:textId="77777777" w:rsidTr="00B97426">
        <w:trPr>
          <w:trHeight w:val="22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EFCA40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Septiembre – octubre</w:t>
            </w:r>
          </w:p>
        </w:tc>
        <w:tc>
          <w:tcPr>
            <w:tcW w:w="0" w:type="auto"/>
            <w:tcBorders>
              <w:top w:val="nil"/>
              <w:left w:val="nil"/>
              <w:bottom w:val="single" w:sz="8" w:space="0" w:color="000000"/>
              <w:right w:val="single" w:sz="8" w:space="0" w:color="000000"/>
            </w:tcBorders>
            <w:shd w:val="clear" w:color="auto" w:fill="auto"/>
            <w:hideMark/>
          </w:tcPr>
          <w:p w14:paraId="6D2D112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$128.174.000</w:t>
            </w:r>
          </w:p>
        </w:tc>
      </w:tr>
      <w:tr w:rsidR="00B97426" w:rsidRPr="00B97426" w14:paraId="536B1699"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0D81F47"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Noviembre - diciembre</w:t>
            </w:r>
          </w:p>
        </w:tc>
        <w:tc>
          <w:tcPr>
            <w:tcW w:w="0" w:type="auto"/>
            <w:tcBorders>
              <w:top w:val="nil"/>
              <w:left w:val="nil"/>
              <w:bottom w:val="single" w:sz="8" w:space="0" w:color="000000"/>
              <w:right w:val="single" w:sz="8" w:space="0" w:color="000000"/>
            </w:tcBorders>
            <w:shd w:val="clear" w:color="auto" w:fill="auto"/>
            <w:hideMark/>
          </w:tcPr>
          <w:p w14:paraId="4E349CA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$126.094.000</w:t>
            </w:r>
          </w:p>
        </w:tc>
      </w:tr>
      <w:tr w:rsidR="00B97426" w:rsidRPr="00B97426" w14:paraId="5A92EFD6" w14:textId="77777777" w:rsidTr="00B97426">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E4EDA8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Total</w:t>
            </w:r>
          </w:p>
        </w:tc>
        <w:tc>
          <w:tcPr>
            <w:tcW w:w="0" w:type="auto"/>
            <w:tcBorders>
              <w:top w:val="nil"/>
              <w:left w:val="nil"/>
              <w:bottom w:val="single" w:sz="8" w:space="0" w:color="000000"/>
              <w:right w:val="single" w:sz="8" w:space="0" w:color="000000"/>
            </w:tcBorders>
            <w:shd w:val="clear" w:color="auto" w:fill="auto"/>
            <w:hideMark/>
          </w:tcPr>
          <w:p w14:paraId="42232D7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$785.525.000</w:t>
            </w:r>
          </w:p>
        </w:tc>
      </w:tr>
    </w:tbl>
    <w:p w14:paraId="5207CFE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0BF2DE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151BD9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Por lo anterior, se determinaron compras omitidas por la suma de $555.090.663, que corresponden a la diferencia entre las compras determinadas en </w:t>
      </w:r>
      <w:r w:rsidRPr="00B97426">
        <w:rPr>
          <w:rFonts w:ascii="Segoe UI" w:eastAsia="Times New Roman" w:hAnsi="Segoe UI" w:cs="Segoe UI"/>
          <w:b/>
          <w:bCs/>
          <w:color w:val="000000"/>
          <w:sz w:val="22"/>
          <w:lang w:eastAsia="es-CO"/>
        </w:rPr>
        <w:t>$1.340.615.663</w:t>
      </w:r>
      <w:r w:rsidRPr="00B97426">
        <w:rPr>
          <w:rFonts w:ascii="Segoe UI" w:eastAsia="Times New Roman" w:hAnsi="Segoe UI" w:cs="Segoe UI"/>
          <w:color w:val="000000"/>
          <w:sz w:val="22"/>
          <w:lang w:eastAsia="es-CO"/>
        </w:rPr>
        <w:t>, y las declaradas por $785.525.000. Al valor de las compras omitidas se aplicó la fórmula establecida en el </w:t>
      </w:r>
      <w:hyperlink r:id="rId25" w:tooltip="Estatuto Tributario CETA" w:history="1">
        <w:r w:rsidRPr="00B97426">
          <w:rPr>
            <w:rFonts w:ascii="Segoe UI" w:eastAsia="Times New Roman" w:hAnsi="Segoe UI" w:cs="Segoe UI"/>
            <w:color w:val="0089E1"/>
            <w:sz w:val="22"/>
            <w:lang w:eastAsia="es-CO"/>
          </w:rPr>
          <w:t>artículo 760</w:t>
        </w:r>
      </w:hyperlink>
      <w:r w:rsidRPr="00B97426">
        <w:rPr>
          <w:rFonts w:ascii="Segoe UI" w:eastAsia="Times New Roman" w:hAnsi="Segoe UI" w:cs="Segoe UI"/>
          <w:color w:val="000000"/>
          <w:sz w:val="22"/>
          <w:lang w:eastAsia="es-CO"/>
        </w:rPr>
        <w:t> del Estatuto Tributario</w:t>
      </w:r>
      <w:bookmarkStart w:id="29" w:name="_ftnref30"/>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"_ftn30"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[30]</w:t>
      </w:r>
      <w:r w:rsidRPr="00B97426">
        <w:rPr>
          <w:rFonts w:ascii="Segoe UI" w:eastAsia="Times New Roman" w:hAnsi="Segoe UI" w:cs="Segoe UI"/>
          <w:color w:val="000000"/>
          <w:sz w:val="22"/>
          <w:lang w:eastAsia="es-CO"/>
        </w:rPr>
        <w:fldChar w:fldCharType="end"/>
      </w:r>
      <w:bookmarkEnd w:id="29"/>
      <w:r w:rsidRPr="00B97426">
        <w:rPr>
          <w:rFonts w:ascii="Segoe UI" w:eastAsia="Times New Roman" w:hAnsi="Segoe UI" w:cs="Segoe UI"/>
          <w:color w:val="000000"/>
          <w:sz w:val="22"/>
          <w:lang w:eastAsia="es-CO"/>
        </w:rPr>
        <w:t>, que no fue objeto de discusión, y se adicionaron ingresos presuntos por la suma de </w:t>
      </w:r>
      <w:r w:rsidRPr="00B97426">
        <w:rPr>
          <w:rFonts w:ascii="Segoe UI" w:eastAsia="Times New Roman" w:hAnsi="Segoe UI" w:cs="Segoe UI"/>
          <w:b/>
          <w:bCs/>
          <w:color w:val="000000"/>
          <w:sz w:val="22"/>
          <w:lang w:eastAsia="es-CO"/>
        </w:rPr>
        <w:t>$645.454.259</w:t>
      </w:r>
      <w:r w:rsidRPr="00B97426">
        <w:rPr>
          <w:rFonts w:ascii="Segoe UI" w:eastAsia="Times New Roman" w:hAnsi="Segoe UI" w:cs="Segoe UI"/>
          <w:color w:val="000000"/>
          <w:sz w:val="22"/>
          <w:lang w:eastAsia="es-CO"/>
        </w:rPr>
        <w:t>.</w:t>
      </w:r>
    </w:p>
    <w:p w14:paraId="07E3BB5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6972F9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lastRenderedPageBreak/>
        <w:t>En esas condiciones, se advierte que la entidad demandada, en ejercicio de sus facultades de fiscalización, practicó diferentes medios de prueba mediante los cuales demostró que el contribuyente omitió registrar compras destinadas a operaciones gravadas con el impuesto sobre la renta, pruebas que no fueron controvertidas por el demandante, sobre quien recaía la carga de desvirtuar los hallazgos establecidos en los actos demandados.</w:t>
      </w:r>
    </w:p>
    <w:p w14:paraId="3109305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890187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Al efecto, el demandante se limitó a señalar que la presunción procede en el impuesto sobre las ventas y resulta aplicable en renta cuando las compras no se encuentran contabilizadas, argumento que no tiene vocación de prosperidad, pues de la interpretación sistemática de la normativa aplicable se evidencia que la presunción establecida en el </w:t>
      </w:r>
      <w:hyperlink r:id="rId26" w:tooltip="Estatuto Tributario CETA" w:history="1">
        <w:r w:rsidRPr="00B97426">
          <w:rPr>
            <w:rFonts w:ascii="Segoe UI" w:eastAsia="Times New Roman" w:hAnsi="Segoe UI" w:cs="Segoe UI"/>
            <w:color w:val="0089E1"/>
            <w:sz w:val="22"/>
            <w:lang w:eastAsia="es-CO"/>
          </w:rPr>
          <w:t>artículo 760</w:t>
        </w:r>
      </w:hyperlink>
      <w:r w:rsidRPr="00B97426">
        <w:rPr>
          <w:rFonts w:ascii="Segoe UI" w:eastAsia="Times New Roman" w:hAnsi="Segoe UI" w:cs="Segoe UI"/>
          <w:color w:val="000000"/>
          <w:sz w:val="22"/>
          <w:lang w:eastAsia="es-CO"/>
        </w:rPr>
        <w:t> del Estatuto Tributario opera en los impuestos de renta y ventas, cuando se omite el registro de compras en las declaraciones tributarias.</w:t>
      </w:r>
    </w:p>
    <w:p w14:paraId="5B07D3D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657B36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No obstante, se aceptarán los costos asociados a los ingresos presuntos determinados que demostró la Administración, por cuanto la Sala, en sentencia del 19 de noviembre de 2020</w:t>
      </w:r>
      <w:bookmarkStart w:id="30" w:name="_ftnref31"/>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"_ftn31"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[31]</w:t>
      </w:r>
      <w:r w:rsidRPr="00B97426">
        <w:rPr>
          <w:rFonts w:ascii="Segoe UI" w:eastAsia="Times New Roman" w:hAnsi="Segoe UI" w:cs="Segoe UI"/>
          <w:color w:val="000000"/>
          <w:sz w:val="18"/>
          <w:szCs w:val="18"/>
          <w:lang w:eastAsia="es-CO"/>
        </w:rPr>
        <w:fldChar w:fldCharType="end"/>
      </w:r>
      <w:bookmarkEnd w:id="30"/>
      <w:r w:rsidRPr="00B97426">
        <w:rPr>
          <w:rFonts w:ascii="Segoe UI" w:eastAsia="Times New Roman" w:hAnsi="Segoe UI" w:cs="Segoe UI"/>
          <w:color w:val="000000"/>
          <w:sz w:val="18"/>
          <w:szCs w:val="18"/>
          <w:lang w:eastAsia="es-CO"/>
        </w:rPr>
        <w:t>, rectificó su anterior posición, según la cual «</w:t>
      </w:r>
      <w:r w:rsidRPr="00B97426">
        <w:rPr>
          <w:rFonts w:ascii="Segoe UI" w:eastAsia="Times New Roman" w:hAnsi="Segoe UI" w:cs="Segoe UI"/>
          <w:i/>
          <w:iCs/>
          <w:color w:val="000000"/>
          <w:sz w:val="18"/>
          <w:szCs w:val="18"/>
          <w:lang w:eastAsia="es-CO"/>
        </w:rPr>
        <w:t>la renta líquida gravable presumida no admite ningún descuento diferente a los que el contribuyente declaró y soportó oportuna y adecuadamente</w:t>
      </w:r>
      <w:bookmarkStart w:id="31" w:name="_ftnref32"/>
      <w:r w:rsidRPr="00B97426">
        <w:rPr>
          <w:rFonts w:ascii="Segoe UI" w:eastAsia="Times New Roman" w:hAnsi="Segoe UI" w:cs="Segoe UI"/>
          <w:i/>
          <w:iCs/>
          <w:color w:val="000000"/>
          <w:sz w:val="18"/>
          <w:szCs w:val="18"/>
          <w:lang w:eastAsia="es-CO"/>
        </w:rPr>
        <w:fldChar w:fldCharType="begin"/>
      </w:r>
      <w:r w:rsidRPr="00B97426">
        <w:rPr>
          <w:rFonts w:ascii="Segoe UI" w:eastAsia="Times New Roman" w:hAnsi="Segoe UI" w:cs="Segoe UI"/>
          <w:i/>
          <w:iCs/>
          <w:color w:val="000000"/>
          <w:sz w:val="18"/>
          <w:szCs w:val="18"/>
          <w:lang w:eastAsia="es-CO"/>
        </w:rPr>
        <w:instrText xml:space="preserve"> HYPERLINK "https://www.ceta.org.co/html/vista_de_un_documento.asp?DocumentoID=41236" \l "_ftn32" \o "" </w:instrText>
      </w:r>
      <w:r w:rsidRPr="00B97426">
        <w:rPr>
          <w:rFonts w:ascii="Segoe UI" w:eastAsia="Times New Roman" w:hAnsi="Segoe UI" w:cs="Segoe UI"/>
          <w:i/>
          <w:iCs/>
          <w:color w:val="000000"/>
          <w:sz w:val="18"/>
          <w:szCs w:val="18"/>
          <w:lang w:eastAsia="es-CO"/>
        </w:rPr>
        <w:fldChar w:fldCharType="separate"/>
      </w:r>
      <w:r w:rsidRPr="00B97426">
        <w:rPr>
          <w:rFonts w:ascii="Segoe UI" w:eastAsia="Times New Roman" w:hAnsi="Segoe UI" w:cs="Segoe UI"/>
          <w:b/>
          <w:bCs/>
          <w:i/>
          <w:iCs/>
          <w:color w:val="0089E1"/>
          <w:sz w:val="22"/>
          <w:lang w:eastAsia="es-CO"/>
        </w:rPr>
        <w:t>[32]</w:t>
      </w:r>
      <w:r w:rsidRPr="00B97426">
        <w:rPr>
          <w:rFonts w:ascii="Segoe UI" w:eastAsia="Times New Roman" w:hAnsi="Segoe UI" w:cs="Segoe UI"/>
          <w:i/>
          <w:iCs/>
          <w:color w:val="000000"/>
          <w:sz w:val="18"/>
          <w:szCs w:val="18"/>
          <w:lang w:eastAsia="es-CO"/>
        </w:rPr>
        <w:fldChar w:fldCharType="end"/>
      </w:r>
      <w:bookmarkEnd w:id="31"/>
      <w:r w:rsidRPr="00B97426">
        <w:rPr>
          <w:rFonts w:ascii="Segoe UI" w:eastAsia="Times New Roman" w:hAnsi="Segoe UI" w:cs="Segoe UI"/>
          <w:i/>
          <w:iCs/>
          <w:color w:val="000000"/>
          <w:sz w:val="18"/>
          <w:szCs w:val="18"/>
          <w:lang w:eastAsia="es-CO"/>
        </w:rPr>
        <w:t>»</w:t>
      </w:r>
      <w:r w:rsidRPr="00B97426">
        <w:rPr>
          <w:rFonts w:ascii="Segoe UI" w:eastAsia="Times New Roman" w:hAnsi="Segoe UI" w:cs="Segoe UI"/>
          <w:color w:val="000000"/>
          <w:sz w:val="18"/>
          <w:szCs w:val="18"/>
          <w:lang w:eastAsia="es-CO"/>
        </w:rPr>
        <w:t>, para precisar que «</w:t>
      </w:r>
      <w:r w:rsidRPr="00B97426">
        <w:rPr>
          <w:rFonts w:ascii="Segoe UI" w:eastAsia="Times New Roman" w:hAnsi="Segoe UI" w:cs="Segoe UI"/>
          <w:i/>
          <w:iCs/>
          <w:color w:val="000000"/>
          <w:sz w:val="18"/>
          <w:szCs w:val="18"/>
          <w:lang w:eastAsia="es-CO"/>
        </w:rPr>
        <w:t>los ingresos presumidos como resultado de la omisión del registro de compras deben afectarse con los costos probados por la administración, que precisamente sirven de base para calcular los ingresos presuntos, pues se encuentran debidamente demostrados. Ello, porque para determinar la renta líquida gravable deben afectarse los ingresos con los costos asociados a tales ingresos (</w:t>
      </w:r>
      <w:hyperlink r:id="rId27" w:tooltip="Estatuto Tributario CETA" w:history="1">
        <w:r w:rsidRPr="00B97426">
          <w:rPr>
            <w:rFonts w:ascii="Segoe UI" w:eastAsia="Times New Roman" w:hAnsi="Segoe UI" w:cs="Segoe UI"/>
            <w:i/>
            <w:iCs/>
            <w:color w:val="0089E1"/>
            <w:sz w:val="18"/>
            <w:szCs w:val="18"/>
            <w:lang w:eastAsia="es-CO"/>
          </w:rPr>
          <w:t>artículo 26</w:t>
        </w:r>
      </w:hyperlink>
      <w:r w:rsidRPr="00B97426">
        <w:rPr>
          <w:rFonts w:ascii="Segoe UI" w:eastAsia="Times New Roman" w:hAnsi="Segoe UI" w:cs="Segoe UI"/>
          <w:i/>
          <w:iCs/>
          <w:color w:val="000000"/>
          <w:sz w:val="18"/>
          <w:szCs w:val="18"/>
          <w:lang w:eastAsia="es-CO"/>
        </w:rPr>
        <w:t> del E.T)</w:t>
      </w:r>
      <w:r w:rsidRPr="00B97426">
        <w:rPr>
          <w:rFonts w:ascii="Segoe UI" w:eastAsia="Times New Roman" w:hAnsi="Segoe UI" w:cs="Segoe UI"/>
          <w:color w:val="000000"/>
          <w:sz w:val="18"/>
          <w:szCs w:val="18"/>
          <w:lang w:eastAsia="es-CO"/>
        </w:rPr>
        <w:t>».</w:t>
      </w:r>
    </w:p>
    <w:p w14:paraId="7D8B5D3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685355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Lo anterior, como lo expresó la Sección en la referida sentencia que se reitera, bajo el supuesto de que </w:t>
      </w:r>
      <w:r w:rsidRPr="00B97426">
        <w:rPr>
          <w:rFonts w:ascii="Segoe UI" w:eastAsia="Times New Roman" w:hAnsi="Segoe UI" w:cs="Segoe UI"/>
          <w:i/>
          <w:iCs/>
          <w:color w:val="000000"/>
          <w:sz w:val="18"/>
          <w:szCs w:val="18"/>
          <w:lang w:eastAsia="es-CO"/>
        </w:rPr>
        <w:t>«el inciso quinto del </w:t>
      </w:r>
      <w:hyperlink r:id="rId28" w:tooltip="Estatuto Tributario CETA" w:history="1">
        <w:r w:rsidRPr="00B97426">
          <w:rPr>
            <w:rFonts w:ascii="Segoe UI" w:eastAsia="Times New Roman" w:hAnsi="Segoe UI" w:cs="Segoe UI"/>
            <w:i/>
            <w:iCs/>
            <w:color w:val="0089E1"/>
            <w:sz w:val="18"/>
            <w:szCs w:val="18"/>
            <w:lang w:eastAsia="es-CO"/>
          </w:rPr>
          <w:t>artículo 760</w:t>
        </w:r>
      </w:hyperlink>
      <w:r w:rsidRPr="00B97426">
        <w:rPr>
          <w:rFonts w:ascii="Segoe UI" w:eastAsia="Times New Roman" w:hAnsi="Segoe UI" w:cs="Segoe UI"/>
          <w:i/>
          <w:iCs/>
          <w:color w:val="000000"/>
          <w:sz w:val="18"/>
          <w:szCs w:val="18"/>
          <w:lang w:eastAsia="es-CO"/>
        </w:rPr>
        <w:t> del Estatuto Tributario no prevé una limitación de costos similar a la limitación de descuentos en IVA».</w:t>
      </w:r>
    </w:p>
    <w:p w14:paraId="1F5D3E2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72714D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consecuencia, como desarrollo del debido proceso, además de aceptar la adición de ingresos presuntos por la suma de </w:t>
      </w:r>
      <w:r w:rsidRPr="00B97426">
        <w:rPr>
          <w:rFonts w:ascii="Segoe UI" w:eastAsia="Times New Roman" w:hAnsi="Segoe UI" w:cs="Segoe UI"/>
          <w:b/>
          <w:bCs/>
          <w:color w:val="000000"/>
          <w:sz w:val="22"/>
          <w:lang w:eastAsia="es-CO"/>
        </w:rPr>
        <w:t>$645.454.259</w:t>
      </w:r>
      <w:r w:rsidRPr="00B97426">
        <w:rPr>
          <w:rFonts w:ascii="Segoe UI" w:eastAsia="Times New Roman" w:hAnsi="Segoe UI" w:cs="Segoe UI"/>
          <w:color w:val="000000"/>
          <w:sz w:val="22"/>
          <w:lang w:eastAsia="es-CO"/>
        </w:rPr>
        <w:t>, se reconocerán costos asociados a los ingresos determinados la suma de </w:t>
      </w:r>
      <w:r w:rsidRPr="00B97426">
        <w:rPr>
          <w:rFonts w:ascii="Segoe UI" w:eastAsia="Times New Roman" w:hAnsi="Segoe UI" w:cs="Segoe UI"/>
          <w:b/>
          <w:bCs/>
          <w:color w:val="000000"/>
          <w:sz w:val="22"/>
          <w:lang w:eastAsia="es-CO"/>
        </w:rPr>
        <w:t>$1.340.615.663</w:t>
      </w:r>
      <w:bookmarkStart w:id="32" w:name="_ftnref33"/>
      <w:r w:rsidRPr="00B97426">
        <w:rPr>
          <w:rFonts w:ascii="Segoe UI" w:eastAsia="Times New Roman" w:hAnsi="Segoe UI" w:cs="Segoe UI"/>
          <w:b/>
          <w:bCs/>
          <w:color w:val="000000"/>
          <w:sz w:val="22"/>
          <w:lang w:eastAsia="es-CO"/>
        </w:rPr>
        <w:fldChar w:fldCharType="begin"/>
      </w:r>
      <w:r w:rsidRPr="00B97426">
        <w:rPr>
          <w:rFonts w:ascii="Segoe UI" w:eastAsia="Times New Roman" w:hAnsi="Segoe UI" w:cs="Segoe UI"/>
          <w:b/>
          <w:bCs/>
          <w:color w:val="000000"/>
          <w:sz w:val="22"/>
          <w:lang w:eastAsia="es-CO"/>
        </w:rPr>
        <w:instrText xml:space="preserve"> HYPERLINK "https://www.ceta.org.co/html/vista_de_un_documento.asp?DocumentoID=41236" \l "_ftn33" \o "" </w:instrText>
      </w:r>
      <w:r w:rsidRPr="00B97426">
        <w:rPr>
          <w:rFonts w:ascii="Segoe UI" w:eastAsia="Times New Roman" w:hAnsi="Segoe UI" w:cs="Segoe UI"/>
          <w:b/>
          <w:bCs/>
          <w:color w:val="000000"/>
          <w:sz w:val="22"/>
          <w:lang w:eastAsia="es-CO"/>
        </w:rPr>
        <w:fldChar w:fldCharType="separate"/>
      </w:r>
      <w:r w:rsidRPr="00B97426">
        <w:rPr>
          <w:rFonts w:ascii="Segoe UI" w:eastAsia="Times New Roman" w:hAnsi="Segoe UI" w:cs="Segoe UI"/>
          <w:b/>
          <w:bCs/>
          <w:color w:val="0089E1"/>
          <w:sz w:val="22"/>
          <w:lang w:eastAsia="es-CO"/>
        </w:rPr>
        <w:t>[33]</w:t>
      </w:r>
      <w:r w:rsidRPr="00B97426">
        <w:rPr>
          <w:rFonts w:ascii="Segoe UI" w:eastAsia="Times New Roman" w:hAnsi="Segoe UI" w:cs="Segoe UI"/>
          <w:b/>
          <w:bCs/>
          <w:color w:val="000000"/>
          <w:sz w:val="22"/>
          <w:lang w:eastAsia="es-CO"/>
        </w:rPr>
        <w:fldChar w:fldCharType="end"/>
      </w:r>
      <w:bookmarkEnd w:id="32"/>
      <w:r w:rsidRPr="00B97426">
        <w:rPr>
          <w:rFonts w:ascii="Segoe UI" w:eastAsia="Times New Roman" w:hAnsi="Segoe UI" w:cs="Segoe UI"/>
          <w:color w:val="000000"/>
          <w:sz w:val="22"/>
          <w:lang w:eastAsia="es-CO"/>
        </w:rPr>
        <w:t>, que fue demostrada por la Administración.</w:t>
      </w:r>
    </w:p>
    <w:p w14:paraId="1156994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242FC3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De otro lado, en cuanto a la adición de ingresos por la suma de $70.664.986, por operaciones adelantadas con Comercializadora de Carnes Continental M.G. C.I., se observa que dicha diferencia se originó en la información exógena recaudada</w:t>
      </w:r>
      <w:bookmarkStart w:id="33" w:name="_ftnref34"/>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"_ftn34"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[34]</w:t>
      </w:r>
      <w:r w:rsidRPr="00B97426">
        <w:rPr>
          <w:rFonts w:ascii="Segoe UI" w:eastAsia="Times New Roman" w:hAnsi="Segoe UI" w:cs="Segoe UI"/>
          <w:color w:val="000000"/>
          <w:sz w:val="22"/>
          <w:lang w:eastAsia="es-CO"/>
        </w:rPr>
        <w:fldChar w:fldCharType="end"/>
      </w:r>
      <w:bookmarkEnd w:id="33"/>
      <w:r w:rsidRPr="00B97426">
        <w:rPr>
          <w:rFonts w:ascii="Segoe UI" w:eastAsia="Times New Roman" w:hAnsi="Segoe UI" w:cs="Segoe UI"/>
          <w:color w:val="000000"/>
          <w:sz w:val="22"/>
          <w:lang w:eastAsia="es-CO"/>
        </w:rPr>
        <w:t>, la cual no fue controvertida por el demandante, a quien, se reitera, le correspondía la carga de hacerlo.</w:t>
      </w:r>
    </w:p>
    <w:p w14:paraId="1ED3293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5E01AC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Se resalta, además, que en la respuesta al requerimiento ordinario de información del 13 de diciembre de 2011, el actor manifestó que «</w:t>
      </w:r>
      <w:r w:rsidRPr="00B97426">
        <w:rPr>
          <w:rFonts w:ascii="Segoe UI" w:eastAsia="Times New Roman" w:hAnsi="Segoe UI" w:cs="Segoe UI"/>
          <w:i/>
          <w:iCs/>
          <w:color w:val="000000"/>
          <w:sz w:val="18"/>
          <w:szCs w:val="18"/>
          <w:lang w:eastAsia="es-CO"/>
        </w:rPr>
        <w:t>según lo contenido en el anexo No. 6 es posible que haya incurrido en omisión de ingresos por cuanto las reses sacrificadas no concuerdan con las vendidas, por tanto quisiera tener la oportunidad de corregir mi declaración de renta voluntariamente</w:t>
      </w:r>
      <w:bookmarkStart w:id="34" w:name="_ftnref35"/>
      <w:r w:rsidRPr="00B97426">
        <w:rPr>
          <w:rFonts w:ascii="Segoe UI" w:eastAsia="Times New Roman" w:hAnsi="Segoe UI" w:cs="Segoe UI"/>
          <w:i/>
          <w:iCs/>
          <w:color w:val="000000"/>
          <w:sz w:val="18"/>
          <w:szCs w:val="18"/>
          <w:lang w:eastAsia="es-CO"/>
        </w:rPr>
        <w:fldChar w:fldCharType="begin"/>
      </w:r>
      <w:r w:rsidRPr="00B97426">
        <w:rPr>
          <w:rFonts w:ascii="Segoe UI" w:eastAsia="Times New Roman" w:hAnsi="Segoe UI" w:cs="Segoe UI"/>
          <w:i/>
          <w:iCs/>
          <w:color w:val="000000"/>
          <w:sz w:val="18"/>
          <w:szCs w:val="18"/>
          <w:lang w:eastAsia="es-CO"/>
        </w:rPr>
        <w:instrText xml:space="preserve"> HYPERLINK "https://www.ceta.org.co/html/vista_de_un_documento.asp?DocumentoID=41236" \l "_ftn35" \o "" </w:instrText>
      </w:r>
      <w:r w:rsidRPr="00B97426">
        <w:rPr>
          <w:rFonts w:ascii="Segoe UI" w:eastAsia="Times New Roman" w:hAnsi="Segoe UI" w:cs="Segoe UI"/>
          <w:i/>
          <w:iCs/>
          <w:color w:val="000000"/>
          <w:sz w:val="18"/>
          <w:szCs w:val="18"/>
          <w:lang w:eastAsia="es-CO"/>
        </w:rPr>
        <w:fldChar w:fldCharType="separate"/>
      </w:r>
      <w:r w:rsidRPr="00B97426">
        <w:rPr>
          <w:rFonts w:ascii="Segoe UI" w:eastAsia="Times New Roman" w:hAnsi="Segoe UI" w:cs="Segoe UI"/>
          <w:b/>
          <w:bCs/>
          <w:i/>
          <w:iCs/>
          <w:color w:val="0089E1"/>
          <w:sz w:val="22"/>
          <w:lang w:eastAsia="es-CO"/>
        </w:rPr>
        <w:t>[35]</w:t>
      </w:r>
      <w:r w:rsidRPr="00B97426">
        <w:rPr>
          <w:rFonts w:ascii="Segoe UI" w:eastAsia="Times New Roman" w:hAnsi="Segoe UI" w:cs="Segoe UI"/>
          <w:i/>
          <w:iCs/>
          <w:color w:val="000000"/>
          <w:sz w:val="18"/>
          <w:szCs w:val="18"/>
          <w:lang w:eastAsia="es-CO"/>
        </w:rPr>
        <w:fldChar w:fldCharType="end"/>
      </w:r>
      <w:bookmarkEnd w:id="34"/>
      <w:r w:rsidRPr="00B97426">
        <w:rPr>
          <w:rFonts w:ascii="Segoe UI" w:eastAsia="Times New Roman" w:hAnsi="Segoe UI" w:cs="Segoe UI"/>
          <w:i/>
          <w:iCs/>
          <w:color w:val="000000"/>
          <w:sz w:val="18"/>
          <w:szCs w:val="18"/>
          <w:lang w:eastAsia="es-CO"/>
        </w:rPr>
        <w:t>», </w:t>
      </w:r>
      <w:r w:rsidRPr="00B97426">
        <w:rPr>
          <w:rFonts w:ascii="Segoe UI" w:eastAsia="Times New Roman" w:hAnsi="Segoe UI" w:cs="Segoe UI"/>
          <w:color w:val="000000"/>
          <w:sz w:val="18"/>
          <w:szCs w:val="18"/>
          <w:lang w:eastAsia="es-CO"/>
        </w:rPr>
        <w:t>lo cual evidencia falta de certeza en cuanto a los ingresos declarados.</w:t>
      </w:r>
    </w:p>
    <w:p w14:paraId="216F7C2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4CFA27A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Costo de ventas</w:t>
      </w:r>
    </w:p>
    <w:p w14:paraId="33CF07F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 </w:t>
      </w:r>
    </w:p>
    <w:p w14:paraId="28710BE3"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demandante adujo que la relación de costos que aportó a la actuación administrativa se acompañó de facturas y documentos equivalentes, que cumplen los requisitos para su reconocimiento.</w:t>
      </w:r>
    </w:p>
    <w:p w14:paraId="13E1BAB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5C3C6C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Para la procedencia de costos y deducciones en el impuesto sobre la renta, el </w:t>
      </w:r>
      <w:hyperlink r:id="rId29" w:tooltip="Estatuto Tributario CETA" w:history="1">
        <w:r w:rsidRPr="00B97426">
          <w:rPr>
            <w:rFonts w:ascii="Segoe UI" w:eastAsia="Times New Roman" w:hAnsi="Segoe UI" w:cs="Segoe UI"/>
            <w:color w:val="0089E1"/>
            <w:sz w:val="22"/>
            <w:lang w:eastAsia="es-CO"/>
          </w:rPr>
          <w:t>artículo 771-2</w:t>
        </w:r>
      </w:hyperlink>
      <w:r w:rsidRPr="00B97426">
        <w:rPr>
          <w:rFonts w:ascii="Segoe UI" w:eastAsia="Times New Roman" w:hAnsi="Segoe UI" w:cs="Segoe UI"/>
          <w:color w:val="000000"/>
          <w:sz w:val="22"/>
          <w:lang w:eastAsia="es-CO"/>
        </w:rPr>
        <w:t> del Estatuto Tributario exige que estén soportados en facturas o documentos equivalentes con el lleno de los requisitos establecidos en la legislación fiscal</w:t>
      </w:r>
      <w:bookmarkStart w:id="35" w:name="_ftnref36"/>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"_ftn36"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[36]</w:t>
      </w:r>
      <w:r w:rsidRPr="00B97426">
        <w:rPr>
          <w:rFonts w:ascii="Segoe UI" w:eastAsia="Times New Roman" w:hAnsi="Segoe UI" w:cs="Segoe UI"/>
          <w:color w:val="000000"/>
          <w:sz w:val="22"/>
          <w:lang w:eastAsia="es-CO"/>
        </w:rPr>
        <w:fldChar w:fldCharType="end"/>
      </w:r>
      <w:bookmarkEnd w:id="35"/>
      <w:r w:rsidRPr="00B97426">
        <w:rPr>
          <w:rFonts w:ascii="Segoe UI" w:eastAsia="Times New Roman" w:hAnsi="Segoe UI" w:cs="Segoe UI"/>
          <w:color w:val="000000"/>
          <w:sz w:val="22"/>
          <w:lang w:eastAsia="es-CO"/>
        </w:rPr>
        <w:t>; sin embargo, esa norma no limita la facultad comprobatoria de la autoridad fiscal</w:t>
      </w:r>
      <w:bookmarkStart w:id="36" w:name="_ftnref37"/>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"_ftn37"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[37]</w:t>
      </w:r>
      <w:r w:rsidRPr="00B97426">
        <w:rPr>
          <w:rFonts w:ascii="Segoe UI" w:eastAsia="Times New Roman" w:hAnsi="Segoe UI" w:cs="Segoe UI"/>
          <w:color w:val="000000"/>
          <w:sz w:val="22"/>
          <w:lang w:eastAsia="es-CO"/>
        </w:rPr>
        <w:fldChar w:fldCharType="end"/>
      </w:r>
      <w:bookmarkEnd w:id="36"/>
      <w:r w:rsidRPr="00B97426">
        <w:rPr>
          <w:rFonts w:ascii="Segoe UI" w:eastAsia="Times New Roman" w:hAnsi="Segoe UI" w:cs="Segoe UI"/>
          <w:color w:val="000000"/>
          <w:sz w:val="22"/>
          <w:lang w:eastAsia="es-CO"/>
        </w:rPr>
        <w:t> quien en ejercicio de sus facultades de fiscalización puede verificar las transacciones constitutivas de costo o deducción y, si es del caso, proceder a su rechazo.</w:t>
      </w:r>
    </w:p>
    <w:p w14:paraId="52ACCBA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A0CC07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el renglón 49 de la declaración de renta del año gravable 2009, el demandante registró costos de ventas por la suma de $785.525.000, de los cuales, los actos demandados reconocieron la suma de $478.863.000.</w:t>
      </w:r>
    </w:p>
    <w:p w14:paraId="663FB0E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4725F71" w14:textId="5E8FE0EC"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Al</w:t>
      </w:r>
      <w:r w:rsidR="008E5475">
        <w:rPr>
          <w:rFonts w:ascii="Segoe UI" w:eastAsia="Times New Roman" w:hAnsi="Segoe UI" w:cs="Segoe UI"/>
          <w:color w:val="000000"/>
          <w:sz w:val="22"/>
          <w:lang w:eastAsia="es-CO"/>
        </w:rPr>
        <w:t xml:space="preserve"> </w:t>
      </w:r>
      <w:r w:rsidR="008E5475" w:rsidRPr="00B97426">
        <w:rPr>
          <w:rFonts w:ascii="Segoe UI" w:eastAsia="Times New Roman" w:hAnsi="Segoe UI" w:cs="Segoe UI"/>
          <w:color w:val="000000"/>
          <w:sz w:val="22"/>
          <w:lang w:eastAsia="es-CO"/>
        </w:rPr>
        <w:t>respecto, se</w:t>
      </w:r>
      <w:r w:rsidRPr="00B97426">
        <w:rPr>
          <w:rFonts w:ascii="Segoe UI" w:eastAsia="Times New Roman" w:hAnsi="Segoe UI" w:cs="Segoe UI"/>
          <w:color w:val="000000"/>
          <w:sz w:val="22"/>
          <w:lang w:eastAsia="es-CO"/>
        </w:rPr>
        <w:t>  advierte  que el costo  de  ventas declarado por el contribuyente  en </w:t>
      </w:r>
      <w:r w:rsidRPr="00B97426">
        <w:rPr>
          <w:rFonts w:ascii="Segoe UI" w:eastAsia="Times New Roman" w:hAnsi="Segoe UI" w:cs="Segoe UI"/>
          <w:b/>
          <w:bCs/>
          <w:color w:val="000000"/>
          <w:sz w:val="22"/>
          <w:lang w:eastAsia="es-CO"/>
        </w:rPr>
        <w:t>$785.525.000</w:t>
      </w:r>
      <w:r w:rsidRPr="00B97426">
        <w:rPr>
          <w:rFonts w:ascii="Segoe UI" w:eastAsia="Times New Roman" w:hAnsi="Segoe UI" w:cs="Segoe UI"/>
          <w:color w:val="000000"/>
          <w:sz w:val="22"/>
          <w:lang w:eastAsia="es-CO"/>
        </w:rPr>
        <w:t xml:space="preserve">, corresponde a las compras declaradas en esa misma cuantía, sobre </w:t>
      </w:r>
      <w:r w:rsidRPr="00B97426">
        <w:rPr>
          <w:rFonts w:ascii="Segoe UI" w:eastAsia="Times New Roman" w:hAnsi="Segoe UI" w:cs="Segoe UI"/>
          <w:color w:val="000000"/>
          <w:sz w:val="22"/>
          <w:lang w:eastAsia="es-CO"/>
        </w:rPr>
        <w:lastRenderedPageBreak/>
        <w:t>las  cuales  la  Administración  demostró  que  eran  superiores  y  las  cuantificó  en </w:t>
      </w:r>
      <w:r w:rsidRPr="00B97426">
        <w:rPr>
          <w:rFonts w:ascii="Segoe UI" w:eastAsia="Times New Roman" w:hAnsi="Segoe UI" w:cs="Segoe UI"/>
          <w:b/>
          <w:bCs/>
          <w:color w:val="000000"/>
          <w:sz w:val="22"/>
          <w:lang w:eastAsia="es-CO"/>
        </w:rPr>
        <w:t>$1.340.615.663</w:t>
      </w:r>
      <w:r w:rsidRPr="00B97426">
        <w:rPr>
          <w:rFonts w:ascii="Segoe UI" w:eastAsia="Times New Roman" w:hAnsi="Segoe UI" w:cs="Segoe UI"/>
          <w:color w:val="000000"/>
          <w:sz w:val="22"/>
          <w:lang w:eastAsia="es-CO"/>
        </w:rPr>
        <w:t>. Por ello, este último valor corresponde al costo de ventas asociado a los ingresos adicionados, siendo procedente su reconocimiento.</w:t>
      </w:r>
    </w:p>
    <w:p w14:paraId="22C43D8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D78545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Finalmente, en cuanto al renglón de «</w:t>
      </w:r>
      <w:r w:rsidRPr="00B97426">
        <w:rPr>
          <w:rFonts w:ascii="Segoe UI" w:eastAsia="Times New Roman" w:hAnsi="Segoe UI" w:cs="Segoe UI"/>
          <w:i/>
          <w:iCs/>
          <w:color w:val="000000"/>
          <w:sz w:val="18"/>
          <w:szCs w:val="18"/>
          <w:lang w:eastAsia="es-CO"/>
        </w:rPr>
        <w:t>otras deducciones</w:t>
      </w:r>
      <w:r w:rsidRPr="00B97426">
        <w:rPr>
          <w:rFonts w:ascii="Segoe UI" w:eastAsia="Times New Roman" w:hAnsi="Segoe UI" w:cs="Segoe UI"/>
          <w:color w:val="000000"/>
          <w:sz w:val="18"/>
          <w:szCs w:val="18"/>
          <w:lang w:eastAsia="es-CO"/>
        </w:rPr>
        <w:t>», se advierte que de los $86.926.000 declarados por el contribuyente, se reconoció la suma de $3.766.000, por concepto del pago del impuesto de industria y comercio, pues está soportada con las declaraciones respectivas</w:t>
      </w:r>
      <w:bookmarkStart w:id="37" w:name="_ftnref38"/>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"_ftn38"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[38]</w:t>
      </w:r>
      <w:r w:rsidRPr="00B97426">
        <w:rPr>
          <w:rFonts w:ascii="Segoe UI" w:eastAsia="Times New Roman" w:hAnsi="Segoe UI" w:cs="Segoe UI"/>
          <w:color w:val="000000"/>
          <w:sz w:val="18"/>
          <w:szCs w:val="18"/>
          <w:lang w:eastAsia="es-CO"/>
        </w:rPr>
        <w:fldChar w:fldCharType="end"/>
      </w:r>
      <w:bookmarkEnd w:id="37"/>
      <w:r w:rsidRPr="00B97426">
        <w:rPr>
          <w:rFonts w:ascii="Segoe UI" w:eastAsia="Times New Roman" w:hAnsi="Segoe UI" w:cs="Segoe UI"/>
          <w:color w:val="000000"/>
          <w:sz w:val="18"/>
          <w:szCs w:val="18"/>
          <w:lang w:eastAsia="es-CO"/>
        </w:rPr>
        <w:t>.</w:t>
      </w:r>
    </w:p>
    <w:p w14:paraId="6C480BE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22FCB02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Sobre este punto se considera que no es posible aceptar la suma certificada por Frigorífico Guadalupe S.A. por concepto de sacrificio de ganado y arrendamiento de cuartos fríos ($175.955.067), teniendo en cuenta que fue reconocida como costo en los actos administrativos demandados, y que no hizo parte de los conceptos declarados por el contribuyente en el citado renglón otras deducciones.</w:t>
      </w:r>
    </w:p>
    <w:p w14:paraId="52FD78F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117790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Por lo expuesto, del análisis de las pruebas del proceso bajo las reglas de la sana crítica, la Sala considera que los actos demandados se fundaron en el acervo probatorio recaudado en el proceso, y que no se violaron el debido proceso ni el derecho de defensa, pues las pruebas allegadas por el actor no soportaron los conceptos declarados, fueron debidamente valoradas y no lograron desvirtuar las presentadas por la DIAN.</w:t>
      </w:r>
    </w:p>
    <w:p w14:paraId="5C8B93D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1B411D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Sanción por inexactitud - Reiteración Jurisprudencial</w:t>
      </w:r>
      <w:bookmarkStart w:id="38" w:name="_ftnref39"/>
      <w:r w:rsidRPr="00B97426">
        <w:rPr>
          <w:rFonts w:ascii="Arial" w:eastAsia="Times New Roman" w:hAnsi="Arial" w:cs="Arial"/>
          <w:color w:val="000000"/>
          <w:sz w:val="18"/>
          <w:szCs w:val="18"/>
          <w:lang w:eastAsia="es-CO"/>
        </w:rPr>
        <w:fldChar w:fldCharType="begin"/>
      </w:r>
      <w:r w:rsidRPr="00B97426">
        <w:rPr>
          <w:rFonts w:ascii="Arial" w:eastAsia="Times New Roman" w:hAnsi="Arial" w:cs="Arial"/>
          <w:color w:val="000000"/>
          <w:sz w:val="18"/>
          <w:szCs w:val="18"/>
          <w:lang w:eastAsia="es-CO"/>
        </w:rPr>
        <w:instrText xml:space="preserve"> HYPERLINK "https://www.ceta.org.co/html/vista_de_un_documento.asp?DocumentoID=41236" \l "_ftn39" \o "" </w:instrText>
      </w:r>
      <w:r w:rsidRPr="00B97426">
        <w:rPr>
          <w:rFonts w:ascii="Arial" w:eastAsia="Times New Roman" w:hAnsi="Arial" w:cs="Arial"/>
          <w:color w:val="000000"/>
          <w:sz w:val="18"/>
          <w:szCs w:val="18"/>
          <w:lang w:eastAsia="es-CO"/>
        </w:rPr>
        <w:fldChar w:fldCharType="separate"/>
      </w:r>
      <w:r w:rsidRPr="00B97426">
        <w:rPr>
          <w:rFonts w:ascii="Segoe UI" w:eastAsia="Times New Roman" w:hAnsi="Segoe UI" w:cs="Segoe UI"/>
          <w:color w:val="0089E1"/>
          <w:sz w:val="22"/>
          <w:lang w:eastAsia="es-CO"/>
        </w:rPr>
        <w:t>[39]</w:t>
      </w:r>
      <w:r w:rsidRPr="00B97426">
        <w:rPr>
          <w:rFonts w:ascii="Arial" w:eastAsia="Times New Roman" w:hAnsi="Arial" w:cs="Arial"/>
          <w:color w:val="000000"/>
          <w:sz w:val="18"/>
          <w:szCs w:val="18"/>
          <w:lang w:eastAsia="es-CO"/>
        </w:rPr>
        <w:fldChar w:fldCharType="end"/>
      </w:r>
      <w:bookmarkEnd w:id="38"/>
      <w:r w:rsidRPr="00B97426">
        <w:rPr>
          <w:rFonts w:ascii="Segoe UI" w:eastAsia="Times New Roman" w:hAnsi="Segoe UI" w:cs="Segoe UI"/>
          <w:b/>
          <w:bCs/>
          <w:color w:val="000000"/>
          <w:sz w:val="22"/>
          <w:lang w:eastAsia="es-CO"/>
        </w:rPr>
        <w:t>.</w:t>
      </w:r>
    </w:p>
    <w:p w14:paraId="241E85A2"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1F967C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El </w:t>
      </w:r>
      <w:hyperlink r:id="rId30" w:tooltip="Estatuto Tributario CETA" w:history="1">
        <w:r w:rsidRPr="00B97426">
          <w:rPr>
            <w:rFonts w:ascii="Segoe UI" w:eastAsia="Times New Roman" w:hAnsi="Segoe UI" w:cs="Segoe UI"/>
            <w:color w:val="0089E1"/>
            <w:sz w:val="22"/>
            <w:lang w:eastAsia="es-CO"/>
          </w:rPr>
          <w:t>artículo 647</w:t>
        </w:r>
      </w:hyperlink>
      <w:r w:rsidRPr="00B97426">
        <w:rPr>
          <w:rFonts w:ascii="Segoe UI" w:eastAsia="Times New Roman" w:hAnsi="Segoe UI" w:cs="Segoe UI"/>
          <w:color w:val="000000"/>
          <w:sz w:val="22"/>
          <w:lang w:eastAsia="es-CO"/>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14:paraId="180FF60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75EE448"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este caso, se considera que es procedente la sanción, porque se demostró que los conceptos declarados que fueron cuestionados en el proceso no son reales, lo cual derivó en un menor impuesto a pagar, circunstancia que constituye inexactitud sancionable.</w:t>
      </w:r>
    </w:p>
    <w:p w14:paraId="4E68614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15694A7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Ahora bien, la Sala advierte que en desarrollo del artículo 29 de la Constitución, el artículo 282 de la Ley 1819 de 2016</w:t>
      </w:r>
      <w:bookmarkStart w:id="39" w:name="_ftnref40"/>
      <w:r w:rsidRPr="00B97426">
        <w:rPr>
          <w:rFonts w:ascii="Segoe UI" w:eastAsia="Times New Roman" w:hAnsi="Segoe UI" w:cs="Segoe UI"/>
          <w:color w:val="000000"/>
          <w:sz w:val="18"/>
          <w:szCs w:val="18"/>
          <w:lang w:eastAsia="es-CO"/>
        </w:rPr>
        <w:fldChar w:fldCharType="begin"/>
      </w:r>
      <w:r w:rsidRPr="00B97426">
        <w:rPr>
          <w:rFonts w:ascii="Segoe UI" w:eastAsia="Times New Roman" w:hAnsi="Segoe UI" w:cs="Segoe UI"/>
          <w:color w:val="000000"/>
          <w:sz w:val="18"/>
          <w:szCs w:val="18"/>
          <w:lang w:eastAsia="es-CO"/>
        </w:rPr>
        <w:instrText xml:space="preserve"> HYPERLINK "https://www.ceta.org.co/html/vista_de_un_documento.asp?DocumentoID=41236" \l "_ftn40" \o "" </w:instrText>
      </w:r>
      <w:r w:rsidRPr="00B97426">
        <w:rPr>
          <w:rFonts w:ascii="Segoe UI" w:eastAsia="Times New Roman" w:hAnsi="Segoe UI" w:cs="Segoe UI"/>
          <w:color w:val="000000"/>
          <w:sz w:val="18"/>
          <w:szCs w:val="18"/>
          <w:lang w:eastAsia="es-CO"/>
        </w:rPr>
        <w:fldChar w:fldCharType="separate"/>
      </w:r>
      <w:r w:rsidRPr="00B97426">
        <w:rPr>
          <w:rFonts w:ascii="Segoe UI" w:eastAsia="Times New Roman" w:hAnsi="Segoe UI" w:cs="Segoe UI"/>
          <w:color w:val="0089E1"/>
          <w:sz w:val="22"/>
          <w:lang w:eastAsia="es-CO"/>
        </w:rPr>
        <w:t>[40]</w:t>
      </w:r>
      <w:r w:rsidRPr="00B97426">
        <w:rPr>
          <w:rFonts w:ascii="Segoe UI" w:eastAsia="Times New Roman" w:hAnsi="Segoe UI" w:cs="Segoe UI"/>
          <w:color w:val="000000"/>
          <w:sz w:val="18"/>
          <w:szCs w:val="18"/>
          <w:lang w:eastAsia="es-CO"/>
        </w:rPr>
        <w:fldChar w:fldCharType="end"/>
      </w:r>
      <w:bookmarkEnd w:id="39"/>
      <w:r w:rsidRPr="00B97426">
        <w:rPr>
          <w:rFonts w:ascii="Segoe UI" w:eastAsia="Times New Roman" w:hAnsi="Segoe UI" w:cs="Segoe UI"/>
          <w:color w:val="000000"/>
          <w:sz w:val="18"/>
          <w:szCs w:val="18"/>
          <w:lang w:eastAsia="es-CO"/>
        </w:rPr>
        <w:t>, que modificó el </w:t>
      </w:r>
      <w:hyperlink r:id="rId31" w:tooltip="Estatuto Tributario CETA" w:history="1">
        <w:r w:rsidRPr="00B97426">
          <w:rPr>
            <w:rFonts w:ascii="Segoe UI" w:eastAsia="Times New Roman" w:hAnsi="Segoe UI" w:cs="Segoe UI"/>
            <w:color w:val="0089E1"/>
            <w:sz w:val="18"/>
            <w:szCs w:val="18"/>
            <w:lang w:eastAsia="es-CO"/>
          </w:rPr>
          <w:t>artículo 640</w:t>
        </w:r>
      </w:hyperlink>
      <w:r w:rsidRPr="00B97426">
        <w:rPr>
          <w:rFonts w:ascii="Segoe UI" w:eastAsia="Times New Roman" w:hAnsi="Segoe UI" w:cs="Segoe UI"/>
          <w:color w:val="000000"/>
          <w:sz w:val="18"/>
          <w:szCs w:val="18"/>
          <w:lang w:eastAsia="es-CO"/>
        </w:rPr>
        <w:t> del Estatuto Tributario, estableció en el parágrafo 5 que «</w:t>
      </w:r>
      <w:r w:rsidRPr="00B97426">
        <w:rPr>
          <w:rFonts w:ascii="Segoe UI" w:eastAsia="Times New Roman" w:hAnsi="Segoe UI" w:cs="Segoe UI"/>
          <w:i/>
          <w:iCs/>
          <w:color w:val="000000"/>
          <w:sz w:val="18"/>
          <w:szCs w:val="18"/>
          <w:lang w:eastAsia="es-CO"/>
        </w:rPr>
        <w:t>el principio de favorabilidad aplicará para el régimen sancionatorio tributario, aun cuando la ley permisiva o favorable sea posterior».</w:t>
      </w:r>
    </w:p>
    <w:p w14:paraId="035BB23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6FD0DE2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Al respecto, se observa que la sanción por inexactitud consagrada en el </w:t>
      </w:r>
      <w:hyperlink r:id="rId32" w:tooltip="Estatuto Tributario CETA" w:history="1">
        <w:r w:rsidRPr="00B97426">
          <w:rPr>
            <w:rFonts w:ascii="Segoe UI" w:eastAsia="Times New Roman" w:hAnsi="Segoe UI" w:cs="Segoe UI"/>
            <w:color w:val="0089E1"/>
            <w:sz w:val="22"/>
            <w:lang w:eastAsia="es-CO"/>
          </w:rPr>
          <w:t>artículo 647</w:t>
        </w:r>
      </w:hyperlink>
      <w:r w:rsidRPr="00B97426">
        <w:rPr>
          <w:rFonts w:ascii="Segoe UI" w:eastAsia="Times New Roman" w:hAnsi="Segoe UI" w:cs="Segoe UI"/>
          <w:color w:val="000000"/>
          <w:sz w:val="22"/>
          <w:lang w:eastAsia="es-CO"/>
        </w:rPr>
        <w:t> del Estatuto Tributario</w:t>
      </w:r>
      <w:bookmarkStart w:id="40" w:name="_ftnref41"/>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"_ftn41"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[41]</w:t>
      </w:r>
      <w:r w:rsidRPr="00B97426">
        <w:rPr>
          <w:rFonts w:ascii="Segoe UI" w:eastAsia="Times New Roman" w:hAnsi="Segoe UI" w:cs="Segoe UI"/>
          <w:color w:val="000000"/>
          <w:sz w:val="22"/>
          <w:lang w:eastAsia="es-CO"/>
        </w:rPr>
        <w:fldChar w:fldCharType="end"/>
      </w:r>
      <w:bookmarkEnd w:id="40"/>
      <w:r w:rsidRPr="00B97426">
        <w:rPr>
          <w:rFonts w:ascii="Segoe UI" w:eastAsia="Times New Roman" w:hAnsi="Segoe UI" w:cs="Segoe UI"/>
          <w:color w:val="000000"/>
          <w:sz w:val="22"/>
          <w:lang w:eastAsia="es-CO"/>
        </w:rPr>
        <w:t>, fue modificada por la Ley 1819 de 2016</w:t>
      </w:r>
      <w:bookmarkStart w:id="41" w:name="_ftnref42"/>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"_ftn42"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[42]</w:t>
      </w:r>
      <w:r w:rsidRPr="00B97426">
        <w:rPr>
          <w:rFonts w:ascii="Segoe UI" w:eastAsia="Times New Roman" w:hAnsi="Segoe UI" w:cs="Segoe UI"/>
          <w:color w:val="000000"/>
          <w:sz w:val="22"/>
          <w:lang w:eastAsia="es-CO"/>
        </w:rPr>
        <w:fldChar w:fldCharType="end"/>
      </w:r>
      <w:bookmarkEnd w:id="41"/>
      <w:r w:rsidRPr="00B97426">
        <w:rPr>
          <w:rFonts w:ascii="Segoe UI" w:eastAsia="Times New Roman" w:hAnsi="Segoe UI" w:cs="Segoe UI"/>
          <w:color w:val="000000"/>
          <w:sz w:val="22"/>
          <w:lang w:eastAsia="es-CO"/>
        </w:rPr>
        <w:t>, al establecer una sanción más favorable, en tanto disminuyó el valor del 160% -establecido en la legislación anterior- al 100% de la diferencia entre el saldo a pagar o saldo a favor determinado en las liquidaciones oficiales y el declarado por el contribuyente.</w:t>
      </w:r>
    </w:p>
    <w:p w14:paraId="3AE6F61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97B1F6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consideración a lo anterior, la Sala dará aplicación al principio de favorabilidad y establecerá el valor de la sanción por inexactitud en el 100% y no el 160% impuesto en los actos demandados.</w:t>
      </w:r>
    </w:p>
    <w:p w14:paraId="1371815A"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047C0AA1"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Por las razones expuestas, la Sala confirmará el rechazo de pasivos por $46.178.000 y los ingresos brutos determinados en $1.629.505.000</w:t>
      </w:r>
      <w:bookmarkStart w:id="42" w:name="_ftnref43"/>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"_ftn43"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[43]</w:t>
      </w:r>
      <w:r w:rsidRPr="00B97426">
        <w:rPr>
          <w:rFonts w:ascii="Segoe UI" w:eastAsia="Times New Roman" w:hAnsi="Segoe UI" w:cs="Segoe UI"/>
          <w:color w:val="000000"/>
          <w:sz w:val="22"/>
          <w:lang w:eastAsia="es-CO"/>
        </w:rPr>
        <w:fldChar w:fldCharType="end"/>
      </w:r>
      <w:bookmarkEnd w:id="42"/>
      <w:r w:rsidRPr="00B97426">
        <w:rPr>
          <w:rFonts w:ascii="Segoe UI" w:eastAsia="Times New Roman" w:hAnsi="Segoe UI" w:cs="Segoe UI"/>
          <w:color w:val="000000"/>
          <w:sz w:val="22"/>
          <w:lang w:eastAsia="es-CO"/>
        </w:rPr>
        <w:t>, reconocerá como costos asociados a los ingresos determinados la suma de $1.340.615.663, y fijará la sanción por inexactitud en el 100 %, para lo cual practicará una nueva liquidación del impuesto sobre la renta del año gravable 2009, así:</w:t>
      </w:r>
    </w:p>
    <w:p w14:paraId="25B0670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848"/>
        <w:gridCol w:w="1279"/>
        <w:gridCol w:w="1337"/>
        <w:gridCol w:w="1449"/>
      </w:tblGrid>
      <w:tr w:rsidR="00B97426" w:rsidRPr="00B97426" w14:paraId="524B6012" w14:textId="77777777" w:rsidTr="00B97426">
        <w:trPr>
          <w:trHeight w:val="28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7B6E5023"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Concepto</w:t>
            </w:r>
          </w:p>
        </w:tc>
        <w:tc>
          <w:tcPr>
            <w:tcW w:w="0" w:type="auto"/>
            <w:tcBorders>
              <w:top w:val="single" w:sz="8" w:space="0" w:color="000000"/>
              <w:left w:val="nil"/>
              <w:bottom w:val="single" w:sz="8" w:space="0" w:color="000000"/>
              <w:right w:val="single" w:sz="8" w:space="0" w:color="000000"/>
            </w:tcBorders>
            <w:shd w:val="clear" w:color="auto" w:fill="auto"/>
            <w:hideMark/>
          </w:tcPr>
          <w:p w14:paraId="52053691" w14:textId="77777777" w:rsidR="00B97426" w:rsidRPr="00B97426" w:rsidRDefault="00B97426" w:rsidP="00B97426">
            <w:pPr>
              <w:spacing w:after="0" w:line="240" w:lineRule="auto"/>
              <w:jc w:val="center"/>
              <w:rPr>
                <w:rFonts w:eastAsia="Times New Roman" w:cs="Times New Roman"/>
                <w:szCs w:val="24"/>
                <w:lang w:eastAsia="es-CO"/>
              </w:rPr>
            </w:pPr>
            <w:proofErr w:type="spellStart"/>
            <w:r w:rsidRPr="00B97426">
              <w:rPr>
                <w:rFonts w:ascii="Segoe UI" w:eastAsia="Times New Roman" w:hAnsi="Segoe UI" w:cs="Segoe UI"/>
                <w:b/>
                <w:bCs/>
                <w:sz w:val="20"/>
                <w:szCs w:val="20"/>
                <w:lang w:eastAsia="es-CO"/>
              </w:rPr>
              <w:t>Liq</w:t>
            </w:r>
            <w:proofErr w:type="spellEnd"/>
            <w:r w:rsidRPr="00B97426">
              <w:rPr>
                <w:rFonts w:ascii="Segoe UI" w:eastAsia="Times New Roman" w:hAnsi="Segoe UI" w:cs="Segoe UI"/>
                <w:b/>
                <w:bCs/>
                <w:sz w:val="20"/>
                <w:szCs w:val="20"/>
                <w:lang w:eastAsia="es-CO"/>
              </w:rPr>
              <w:t>. Privada</w:t>
            </w:r>
          </w:p>
        </w:tc>
        <w:tc>
          <w:tcPr>
            <w:tcW w:w="0" w:type="auto"/>
            <w:tcBorders>
              <w:top w:val="single" w:sz="8" w:space="0" w:color="000000"/>
              <w:left w:val="nil"/>
              <w:bottom w:val="single" w:sz="8" w:space="0" w:color="000000"/>
              <w:right w:val="single" w:sz="8" w:space="0" w:color="000000"/>
            </w:tcBorders>
            <w:shd w:val="clear" w:color="auto" w:fill="auto"/>
            <w:hideMark/>
          </w:tcPr>
          <w:p w14:paraId="2D0B293A"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L.O.R.</w:t>
            </w:r>
          </w:p>
        </w:tc>
        <w:tc>
          <w:tcPr>
            <w:tcW w:w="0" w:type="auto"/>
            <w:tcBorders>
              <w:top w:val="single" w:sz="8" w:space="0" w:color="000000"/>
              <w:left w:val="nil"/>
              <w:bottom w:val="single" w:sz="8" w:space="0" w:color="000000"/>
              <w:right w:val="single" w:sz="8" w:space="0" w:color="000000"/>
            </w:tcBorders>
            <w:shd w:val="clear" w:color="auto" w:fill="auto"/>
            <w:hideMark/>
          </w:tcPr>
          <w:p w14:paraId="203953AA"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C. de E.</w:t>
            </w:r>
          </w:p>
        </w:tc>
      </w:tr>
      <w:tr w:rsidR="00B97426" w:rsidRPr="00B97426" w14:paraId="0ADA4BC6"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30B17F0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Efectivo, bancos, inv. mobiliarias</w:t>
            </w:r>
          </w:p>
        </w:tc>
        <w:tc>
          <w:tcPr>
            <w:tcW w:w="0" w:type="auto"/>
            <w:tcBorders>
              <w:top w:val="nil"/>
              <w:left w:val="nil"/>
              <w:bottom w:val="single" w:sz="8" w:space="0" w:color="000000"/>
              <w:right w:val="single" w:sz="8" w:space="0" w:color="000000"/>
            </w:tcBorders>
            <w:shd w:val="clear" w:color="auto" w:fill="auto"/>
            <w:hideMark/>
          </w:tcPr>
          <w:p w14:paraId="246356B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$12,108,000</w:t>
            </w:r>
          </w:p>
        </w:tc>
        <w:tc>
          <w:tcPr>
            <w:tcW w:w="0" w:type="auto"/>
            <w:tcBorders>
              <w:top w:val="nil"/>
              <w:left w:val="nil"/>
              <w:bottom w:val="single" w:sz="8" w:space="0" w:color="000000"/>
              <w:right w:val="single" w:sz="8" w:space="0" w:color="000000"/>
            </w:tcBorders>
            <w:shd w:val="clear" w:color="auto" w:fill="auto"/>
            <w:hideMark/>
          </w:tcPr>
          <w:p w14:paraId="120240D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$12,108,000</w:t>
            </w:r>
          </w:p>
        </w:tc>
        <w:tc>
          <w:tcPr>
            <w:tcW w:w="0" w:type="auto"/>
            <w:tcBorders>
              <w:top w:val="nil"/>
              <w:left w:val="nil"/>
              <w:bottom w:val="single" w:sz="8" w:space="0" w:color="000000"/>
              <w:right w:val="single" w:sz="8" w:space="0" w:color="000000"/>
            </w:tcBorders>
            <w:shd w:val="clear" w:color="auto" w:fill="auto"/>
            <w:hideMark/>
          </w:tcPr>
          <w:p w14:paraId="7B7D23F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$12,108,000</w:t>
            </w:r>
          </w:p>
        </w:tc>
      </w:tr>
      <w:tr w:rsidR="00B97426" w:rsidRPr="00B97426" w14:paraId="145B8E33" w14:textId="77777777" w:rsidTr="00B97426">
        <w:trPr>
          <w:trHeight w:val="29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3999A8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Cuentas por cobrar clientes</w:t>
            </w:r>
          </w:p>
        </w:tc>
        <w:tc>
          <w:tcPr>
            <w:tcW w:w="0" w:type="auto"/>
            <w:tcBorders>
              <w:top w:val="nil"/>
              <w:left w:val="nil"/>
              <w:bottom w:val="single" w:sz="8" w:space="0" w:color="000000"/>
              <w:right w:val="single" w:sz="8" w:space="0" w:color="000000"/>
            </w:tcBorders>
            <w:shd w:val="clear" w:color="auto" w:fill="auto"/>
            <w:hideMark/>
          </w:tcPr>
          <w:p w14:paraId="66C9542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$32,639,000</w:t>
            </w:r>
          </w:p>
        </w:tc>
        <w:tc>
          <w:tcPr>
            <w:tcW w:w="0" w:type="auto"/>
            <w:tcBorders>
              <w:top w:val="nil"/>
              <w:left w:val="nil"/>
              <w:bottom w:val="single" w:sz="8" w:space="0" w:color="000000"/>
              <w:right w:val="single" w:sz="8" w:space="0" w:color="000000"/>
            </w:tcBorders>
            <w:shd w:val="clear" w:color="auto" w:fill="auto"/>
            <w:hideMark/>
          </w:tcPr>
          <w:p w14:paraId="54AF325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$32,639,000</w:t>
            </w:r>
          </w:p>
        </w:tc>
        <w:tc>
          <w:tcPr>
            <w:tcW w:w="0" w:type="auto"/>
            <w:tcBorders>
              <w:top w:val="nil"/>
              <w:left w:val="nil"/>
              <w:bottom w:val="single" w:sz="8" w:space="0" w:color="000000"/>
              <w:right w:val="single" w:sz="8" w:space="0" w:color="000000"/>
            </w:tcBorders>
            <w:shd w:val="clear" w:color="auto" w:fill="auto"/>
            <w:hideMark/>
          </w:tcPr>
          <w:p w14:paraId="602C08D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$32,639,000</w:t>
            </w:r>
          </w:p>
        </w:tc>
      </w:tr>
      <w:tr w:rsidR="00B97426" w:rsidRPr="00B97426" w14:paraId="6825FE65"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76B048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Activos fijos</w:t>
            </w:r>
          </w:p>
        </w:tc>
        <w:tc>
          <w:tcPr>
            <w:tcW w:w="0" w:type="auto"/>
            <w:tcBorders>
              <w:top w:val="nil"/>
              <w:left w:val="nil"/>
              <w:bottom w:val="single" w:sz="8" w:space="0" w:color="000000"/>
              <w:right w:val="single" w:sz="8" w:space="0" w:color="000000"/>
            </w:tcBorders>
            <w:shd w:val="clear" w:color="auto" w:fill="auto"/>
            <w:hideMark/>
          </w:tcPr>
          <w:p w14:paraId="7F9AA71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$357,105,000</w:t>
            </w:r>
          </w:p>
        </w:tc>
        <w:tc>
          <w:tcPr>
            <w:tcW w:w="0" w:type="auto"/>
            <w:tcBorders>
              <w:top w:val="nil"/>
              <w:left w:val="nil"/>
              <w:bottom w:val="single" w:sz="8" w:space="0" w:color="000000"/>
              <w:right w:val="single" w:sz="8" w:space="0" w:color="000000"/>
            </w:tcBorders>
            <w:shd w:val="clear" w:color="auto" w:fill="auto"/>
            <w:hideMark/>
          </w:tcPr>
          <w:p w14:paraId="6B09A9B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$364,193,000</w:t>
            </w:r>
          </w:p>
        </w:tc>
        <w:tc>
          <w:tcPr>
            <w:tcW w:w="0" w:type="auto"/>
            <w:tcBorders>
              <w:top w:val="nil"/>
              <w:left w:val="nil"/>
              <w:bottom w:val="single" w:sz="8" w:space="0" w:color="000000"/>
              <w:right w:val="single" w:sz="8" w:space="0" w:color="000000"/>
            </w:tcBorders>
            <w:shd w:val="clear" w:color="auto" w:fill="auto"/>
            <w:hideMark/>
          </w:tcPr>
          <w:p w14:paraId="6CC1F6C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$364,193,000</w:t>
            </w:r>
          </w:p>
        </w:tc>
      </w:tr>
      <w:tr w:rsidR="00B97426" w:rsidRPr="00B97426" w14:paraId="7D1308B7" w14:textId="77777777" w:rsidTr="00B97426">
        <w:trPr>
          <w:trHeight w:val="28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49D668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patrimonio bruto</w:t>
            </w:r>
          </w:p>
        </w:tc>
        <w:tc>
          <w:tcPr>
            <w:tcW w:w="0" w:type="auto"/>
            <w:tcBorders>
              <w:top w:val="nil"/>
              <w:left w:val="nil"/>
              <w:bottom w:val="single" w:sz="8" w:space="0" w:color="000000"/>
              <w:right w:val="single" w:sz="8" w:space="0" w:color="000000"/>
            </w:tcBorders>
            <w:shd w:val="clear" w:color="auto" w:fill="auto"/>
            <w:hideMark/>
          </w:tcPr>
          <w:p w14:paraId="7571EF0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$401,852,000</w:t>
            </w:r>
          </w:p>
        </w:tc>
        <w:tc>
          <w:tcPr>
            <w:tcW w:w="0" w:type="auto"/>
            <w:tcBorders>
              <w:top w:val="nil"/>
              <w:left w:val="nil"/>
              <w:bottom w:val="single" w:sz="8" w:space="0" w:color="000000"/>
              <w:right w:val="single" w:sz="8" w:space="0" w:color="000000"/>
            </w:tcBorders>
            <w:shd w:val="clear" w:color="auto" w:fill="auto"/>
            <w:hideMark/>
          </w:tcPr>
          <w:p w14:paraId="2EEABD2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$408,940,000</w:t>
            </w:r>
          </w:p>
        </w:tc>
        <w:tc>
          <w:tcPr>
            <w:tcW w:w="0" w:type="auto"/>
            <w:tcBorders>
              <w:top w:val="nil"/>
              <w:left w:val="nil"/>
              <w:bottom w:val="single" w:sz="8" w:space="0" w:color="000000"/>
              <w:right w:val="single" w:sz="8" w:space="0" w:color="000000"/>
            </w:tcBorders>
            <w:shd w:val="clear" w:color="auto" w:fill="auto"/>
            <w:hideMark/>
          </w:tcPr>
          <w:p w14:paraId="7E6829A8"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$408,940,000</w:t>
            </w:r>
          </w:p>
        </w:tc>
      </w:tr>
      <w:tr w:rsidR="00B97426" w:rsidRPr="00B97426" w14:paraId="62C105A2"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E4249E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Pasivos</w:t>
            </w:r>
          </w:p>
        </w:tc>
        <w:tc>
          <w:tcPr>
            <w:tcW w:w="0" w:type="auto"/>
            <w:tcBorders>
              <w:top w:val="nil"/>
              <w:left w:val="nil"/>
              <w:bottom w:val="single" w:sz="8" w:space="0" w:color="000000"/>
              <w:right w:val="single" w:sz="8" w:space="0" w:color="000000"/>
            </w:tcBorders>
            <w:shd w:val="clear" w:color="auto" w:fill="auto"/>
            <w:hideMark/>
          </w:tcPr>
          <w:p w14:paraId="3019A1F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$46,178,000</w:t>
            </w:r>
          </w:p>
        </w:tc>
        <w:tc>
          <w:tcPr>
            <w:tcW w:w="0" w:type="auto"/>
            <w:tcBorders>
              <w:top w:val="nil"/>
              <w:left w:val="nil"/>
              <w:bottom w:val="single" w:sz="8" w:space="0" w:color="000000"/>
              <w:right w:val="single" w:sz="8" w:space="0" w:color="000000"/>
            </w:tcBorders>
            <w:shd w:val="clear" w:color="auto" w:fill="auto"/>
            <w:hideMark/>
          </w:tcPr>
          <w:p w14:paraId="62668CE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1337E7B7"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$0</w:t>
            </w:r>
          </w:p>
        </w:tc>
      </w:tr>
      <w:tr w:rsidR="00B97426" w:rsidRPr="00B97426" w14:paraId="21487777"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20213D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lastRenderedPageBreak/>
              <w:t>Total patrimonio líquido</w:t>
            </w:r>
          </w:p>
        </w:tc>
        <w:tc>
          <w:tcPr>
            <w:tcW w:w="0" w:type="auto"/>
            <w:tcBorders>
              <w:top w:val="nil"/>
              <w:left w:val="nil"/>
              <w:bottom w:val="single" w:sz="8" w:space="0" w:color="000000"/>
              <w:right w:val="single" w:sz="8" w:space="0" w:color="000000"/>
            </w:tcBorders>
            <w:shd w:val="clear" w:color="auto" w:fill="auto"/>
            <w:hideMark/>
          </w:tcPr>
          <w:p w14:paraId="44C0AA0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$355,674,000</w:t>
            </w:r>
          </w:p>
        </w:tc>
        <w:tc>
          <w:tcPr>
            <w:tcW w:w="0" w:type="auto"/>
            <w:tcBorders>
              <w:top w:val="nil"/>
              <w:left w:val="nil"/>
              <w:bottom w:val="single" w:sz="8" w:space="0" w:color="000000"/>
              <w:right w:val="single" w:sz="8" w:space="0" w:color="000000"/>
            </w:tcBorders>
            <w:shd w:val="clear" w:color="auto" w:fill="auto"/>
            <w:hideMark/>
          </w:tcPr>
          <w:p w14:paraId="2E469BF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$408,940,000</w:t>
            </w:r>
          </w:p>
        </w:tc>
        <w:tc>
          <w:tcPr>
            <w:tcW w:w="0" w:type="auto"/>
            <w:tcBorders>
              <w:top w:val="nil"/>
              <w:left w:val="nil"/>
              <w:bottom w:val="single" w:sz="8" w:space="0" w:color="000000"/>
              <w:right w:val="single" w:sz="8" w:space="0" w:color="000000"/>
            </w:tcBorders>
            <w:shd w:val="clear" w:color="auto" w:fill="auto"/>
            <w:hideMark/>
          </w:tcPr>
          <w:p w14:paraId="65DB188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$408,940,000</w:t>
            </w:r>
          </w:p>
        </w:tc>
      </w:tr>
      <w:tr w:rsidR="00B97426" w:rsidRPr="00B97426" w14:paraId="4EBAF2A6"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41BDF3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Ingresos brutos operacionales</w:t>
            </w:r>
          </w:p>
        </w:tc>
        <w:tc>
          <w:tcPr>
            <w:tcW w:w="0" w:type="auto"/>
            <w:tcBorders>
              <w:top w:val="nil"/>
              <w:left w:val="nil"/>
              <w:bottom w:val="single" w:sz="8" w:space="0" w:color="000000"/>
              <w:right w:val="single" w:sz="8" w:space="0" w:color="000000"/>
            </w:tcBorders>
            <w:shd w:val="clear" w:color="auto" w:fill="auto"/>
            <w:hideMark/>
          </w:tcPr>
          <w:p w14:paraId="6C4EB8F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$913,386,000</w:t>
            </w:r>
          </w:p>
        </w:tc>
        <w:tc>
          <w:tcPr>
            <w:tcW w:w="0" w:type="auto"/>
            <w:tcBorders>
              <w:top w:val="nil"/>
              <w:left w:val="nil"/>
              <w:bottom w:val="single" w:sz="8" w:space="0" w:color="000000"/>
              <w:right w:val="single" w:sz="8" w:space="0" w:color="000000"/>
            </w:tcBorders>
            <w:shd w:val="clear" w:color="auto" w:fill="auto"/>
            <w:hideMark/>
          </w:tcPr>
          <w:p w14:paraId="231AA4F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$1,629,505,000</w:t>
            </w:r>
          </w:p>
        </w:tc>
        <w:tc>
          <w:tcPr>
            <w:tcW w:w="0" w:type="auto"/>
            <w:tcBorders>
              <w:top w:val="nil"/>
              <w:left w:val="nil"/>
              <w:bottom w:val="single" w:sz="8" w:space="0" w:color="000000"/>
              <w:right w:val="single" w:sz="8" w:space="0" w:color="000000"/>
            </w:tcBorders>
            <w:shd w:val="clear" w:color="auto" w:fill="auto"/>
            <w:hideMark/>
          </w:tcPr>
          <w:p w14:paraId="5036507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$1,629,505,000</w:t>
            </w:r>
          </w:p>
        </w:tc>
      </w:tr>
      <w:tr w:rsidR="00B97426" w:rsidRPr="00B97426" w14:paraId="64359F42" w14:textId="77777777" w:rsidTr="00B97426">
        <w:trPr>
          <w:trHeight w:val="29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4FBB45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ingresos brutos</w:t>
            </w:r>
          </w:p>
        </w:tc>
        <w:tc>
          <w:tcPr>
            <w:tcW w:w="0" w:type="auto"/>
            <w:tcBorders>
              <w:top w:val="nil"/>
              <w:left w:val="nil"/>
              <w:bottom w:val="single" w:sz="8" w:space="0" w:color="000000"/>
              <w:right w:val="single" w:sz="8" w:space="0" w:color="000000"/>
            </w:tcBorders>
            <w:shd w:val="clear" w:color="auto" w:fill="auto"/>
            <w:hideMark/>
          </w:tcPr>
          <w:p w14:paraId="7741D52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$913,386,000</w:t>
            </w:r>
          </w:p>
        </w:tc>
        <w:tc>
          <w:tcPr>
            <w:tcW w:w="0" w:type="auto"/>
            <w:tcBorders>
              <w:top w:val="nil"/>
              <w:left w:val="nil"/>
              <w:bottom w:val="single" w:sz="8" w:space="0" w:color="000000"/>
              <w:right w:val="single" w:sz="8" w:space="0" w:color="000000"/>
            </w:tcBorders>
            <w:shd w:val="clear" w:color="auto" w:fill="auto"/>
            <w:hideMark/>
          </w:tcPr>
          <w:p w14:paraId="339C1775"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$1,629,505,000</w:t>
            </w:r>
          </w:p>
        </w:tc>
        <w:tc>
          <w:tcPr>
            <w:tcW w:w="0" w:type="auto"/>
            <w:tcBorders>
              <w:top w:val="nil"/>
              <w:left w:val="nil"/>
              <w:bottom w:val="single" w:sz="8" w:space="0" w:color="000000"/>
              <w:right w:val="single" w:sz="8" w:space="0" w:color="000000"/>
            </w:tcBorders>
            <w:shd w:val="clear" w:color="auto" w:fill="auto"/>
            <w:hideMark/>
          </w:tcPr>
          <w:p w14:paraId="063CC3F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$1,629,505,000</w:t>
            </w:r>
          </w:p>
        </w:tc>
      </w:tr>
      <w:tr w:rsidR="00B97426" w:rsidRPr="00B97426" w14:paraId="6F73136E"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82B9558"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ingresos netos</w:t>
            </w:r>
          </w:p>
        </w:tc>
        <w:tc>
          <w:tcPr>
            <w:tcW w:w="0" w:type="auto"/>
            <w:tcBorders>
              <w:top w:val="nil"/>
              <w:left w:val="nil"/>
              <w:bottom w:val="single" w:sz="8" w:space="0" w:color="000000"/>
              <w:right w:val="single" w:sz="8" w:space="0" w:color="000000"/>
            </w:tcBorders>
            <w:shd w:val="clear" w:color="auto" w:fill="auto"/>
            <w:hideMark/>
          </w:tcPr>
          <w:p w14:paraId="3B0D402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$913,386,000</w:t>
            </w:r>
          </w:p>
        </w:tc>
        <w:tc>
          <w:tcPr>
            <w:tcW w:w="0" w:type="auto"/>
            <w:tcBorders>
              <w:top w:val="nil"/>
              <w:left w:val="nil"/>
              <w:bottom w:val="single" w:sz="8" w:space="0" w:color="000000"/>
              <w:right w:val="single" w:sz="8" w:space="0" w:color="000000"/>
            </w:tcBorders>
            <w:shd w:val="clear" w:color="auto" w:fill="auto"/>
            <w:hideMark/>
          </w:tcPr>
          <w:p w14:paraId="0663540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$1,629,505,000</w:t>
            </w:r>
          </w:p>
        </w:tc>
        <w:tc>
          <w:tcPr>
            <w:tcW w:w="0" w:type="auto"/>
            <w:tcBorders>
              <w:top w:val="nil"/>
              <w:left w:val="nil"/>
              <w:bottom w:val="single" w:sz="8" w:space="0" w:color="000000"/>
              <w:right w:val="single" w:sz="8" w:space="0" w:color="000000"/>
            </w:tcBorders>
            <w:shd w:val="clear" w:color="auto" w:fill="auto"/>
            <w:hideMark/>
          </w:tcPr>
          <w:p w14:paraId="2B9ADF3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$1,629,505,000</w:t>
            </w:r>
          </w:p>
        </w:tc>
      </w:tr>
      <w:tr w:rsidR="00B97426" w:rsidRPr="00B97426" w14:paraId="3FD9ECBB"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CBD4ED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Costo de Venta</w:t>
            </w:r>
          </w:p>
        </w:tc>
        <w:tc>
          <w:tcPr>
            <w:tcW w:w="0" w:type="auto"/>
            <w:tcBorders>
              <w:top w:val="nil"/>
              <w:left w:val="nil"/>
              <w:bottom w:val="single" w:sz="8" w:space="0" w:color="000000"/>
              <w:right w:val="single" w:sz="8" w:space="0" w:color="000000"/>
            </w:tcBorders>
            <w:shd w:val="clear" w:color="auto" w:fill="auto"/>
            <w:hideMark/>
          </w:tcPr>
          <w:p w14:paraId="758716F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$785,525,000</w:t>
            </w:r>
          </w:p>
        </w:tc>
        <w:tc>
          <w:tcPr>
            <w:tcW w:w="0" w:type="auto"/>
            <w:tcBorders>
              <w:top w:val="nil"/>
              <w:left w:val="nil"/>
              <w:bottom w:val="single" w:sz="8" w:space="0" w:color="000000"/>
              <w:right w:val="single" w:sz="8" w:space="0" w:color="000000"/>
            </w:tcBorders>
            <w:shd w:val="clear" w:color="auto" w:fill="auto"/>
            <w:hideMark/>
          </w:tcPr>
          <w:p w14:paraId="5A89527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$478,863,000</w:t>
            </w:r>
          </w:p>
        </w:tc>
        <w:tc>
          <w:tcPr>
            <w:tcW w:w="0" w:type="auto"/>
            <w:tcBorders>
              <w:top w:val="nil"/>
              <w:left w:val="nil"/>
              <w:bottom w:val="single" w:sz="8" w:space="0" w:color="000000"/>
              <w:right w:val="single" w:sz="8" w:space="0" w:color="000000"/>
            </w:tcBorders>
            <w:shd w:val="clear" w:color="auto" w:fill="auto"/>
            <w:hideMark/>
          </w:tcPr>
          <w:p w14:paraId="612E149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$1,340,616,000</w:t>
            </w:r>
          </w:p>
        </w:tc>
      </w:tr>
      <w:tr w:rsidR="00B97426" w:rsidRPr="00B97426" w14:paraId="7642BBA7"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65B9B0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costos</w:t>
            </w:r>
          </w:p>
        </w:tc>
        <w:tc>
          <w:tcPr>
            <w:tcW w:w="0" w:type="auto"/>
            <w:tcBorders>
              <w:top w:val="nil"/>
              <w:left w:val="nil"/>
              <w:bottom w:val="single" w:sz="8" w:space="0" w:color="000000"/>
              <w:right w:val="single" w:sz="8" w:space="0" w:color="000000"/>
            </w:tcBorders>
            <w:shd w:val="clear" w:color="auto" w:fill="auto"/>
            <w:hideMark/>
          </w:tcPr>
          <w:p w14:paraId="23570DE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$785,525,000</w:t>
            </w:r>
          </w:p>
        </w:tc>
        <w:tc>
          <w:tcPr>
            <w:tcW w:w="0" w:type="auto"/>
            <w:tcBorders>
              <w:top w:val="nil"/>
              <w:left w:val="nil"/>
              <w:bottom w:val="single" w:sz="8" w:space="0" w:color="000000"/>
              <w:right w:val="single" w:sz="8" w:space="0" w:color="000000"/>
            </w:tcBorders>
            <w:shd w:val="clear" w:color="auto" w:fill="auto"/>
            <w:hideMark/>
          </w:tcPr>
          <w:p w14:paraId="5DBCE66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$478,863,000</w:t>
            </w:r>
          </w:p>
        </w:tc>
        <w:tc>
          <w:tcPr>
            <w:tcW w:w="0" w:type="auto"/>
            <w:tcBorders>
              <w:top w:val="nil"/>
              <w:left w:val="nil"/>
              <w:bottom w:val="single" w:sz="8" w:space="0" w:color="000000"/>
              <w:right w:val="single" w:sz="8" w:space="0" w:color="000000"/>
            </w:tcBorders>
            <w:shd w:val="clear" w:color="auto" w:fill="auto"/>
            <w:hideMark/>
          </w:tcPr>
          <w:p w14:paraId="32E0D47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$1,340,616,000</w:t>
            </w:r>
          </w:p>
        </w:tc>
      </w:tr>
      <w:tr w:rsidR="00B97426" w:rsidRPr="00B97426" w14:paraId="710961A4"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925F63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Otras deducciones</w:t>
            </w:r>
          </w:p>
        </w:tc>
        <w:tc>
          <w:tcPr>
            <w:tcW w:w="0" w:type="auto"/>
            <w:tcBorders>
              <w:top w:val="nil"/>
              <w:left w:val="nil"/>
              <w:bottom w:val="single" w:sz="8" w:space="0" w:color="000000"/>
              <w:right w:val="single" w:sz="8" w:space="0" w:color="000000"/>
            </w:tcBorders>
            <w:shd w:val="clear" w:color="auto" w:fill="auto"/>
            <w:hideMark/>
          </w:tcPr>
          <w:p w14:paraId="40649D0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$86,926,000</w:t>
            </w:r>
          </w:p>
        </w:tc>
        <w:tc>
          <w:tcPr>
            <w:tcW w:w="0" w:type="auto"/>
            <w:tcBorders>
              <w:top w:val="nil"/>
              <w:left w:val="nil"/>
              <w:bottom w:val="single" w:sz="8" w:space="0" w:color="000000"/>
              <w:right w:val="single" w:sz="8" w:space="0" w:color="000000"/>
            </w:tcBorders>
            <w:shd w:val="clear" w:color="auto" w:fill="auto"/>
            <w:hideMark/>
          </w:tcPr>
          <w:p w14:paraId="6EE94D7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$3,766,000</w:t>
            </w:r>
          </w:p>
        </w:tc>
        <w:tc>
          <w:tcPr>
            <w:tcW w:w="0" w:type="auto"/>
            <w:tcBorders>
              <w:top w:val="nil"/>
              <w:left w:val="nil"/>
              <w:bottom w:val="single" w:sz="8" w:space="0" w:color="000000"/>
              <w:right w:val="single" w:sz="8" w:space="0" w:color="000000"/>
            </w:tcBorders>
            <w:shd w:val="clear" w:color="auto" w:fill="auto"/>
            <w:hideMark/>
          </w:tcPr>
          <w:p w14:paraId="074EB1D8"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$3,766,000</w:t>
            </w:r>
          </w:p>
        </w:tc>
      </w:tr>
      <w:tr w:rsidR="00B97426" w:rsidRPr="00B97426" w14:paraId="14389C29"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FF3B6E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deducciones</w:t>
            </w:r>
          </w:p>
        </w:tc>
        <w:tc>
          <w:tcPr>
            <w:tcW w:w="0" w:type="auto"/>
            <w:tcBorders>
              <w:top w:val="nil"/>
              <w:left w:val="nil"/>
              <w:bottom w:val="single" w:sz="8" w:space="0" w:color="000000"/>
              <w:right w:val="single" w:sz="8" w:space="0" w:color="000000"/>
            </w:tcBorders>
            <w:shd w:val="clear" w:color="auto" w:fill="auto"/>
            <w:hideMark/>
          </w:tcPr>
          <w:p w14:paraId="13BDA71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$86,926,000</w:t>
            </w:r>
          </w:p>
        </w:tc>
        <w:tc>
          <w:tcPr>
            <w:tcW w:w="0" w:type="auto"/>
            <w:tcBorders>
              <w:top w:val="nil"/>
              <w:left w:val="nil"/>
              <w:bottom w:val="single" w:sz="8" w:space="0" w:color="000000"/>
              <w:right w:val="single" w:sz="8" w:space="0" w:color="000000"/>
            </w:tcBorders>
            <w:shd w:val="clear" w:color="auto" w:fill="auto"/>
            <w:hideMark/>
          </w:tcPr>
          <w:p w14:paraId="6DC02D5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$3,766,000</w:t>
            </w:r>
          </w:p>
        </w:tc>
        <w:tc>
          <w:tcPr>
            <w:tcW w:w="0" w:type="auto"/>
            <w:tcBorders>
              <w:top w:val="nil"/>
              <w:left w:val="nil"/>
              <w:bottom w:val="single" w:sz="8" w:space="0" w:color="000000"/>
              <w:right w:val="single" w:sz="8" w:space="0" w:color="000000"/>
            </w:tcBorders>
            <w:shd w:val="clear" w:color="auto" w:fill="auto"/>
            <w:hideMark/>
          </w:tcPr>
          <w:p w14:paraId="00994D5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$3,766,000</w:t>
            </w:r>
          </w:p>
        </w:tc>
      </w:tr>
      <w:tr w:rsidR="00B97426" w:rsidRPr="00B97426" w14:paraId="6A08D0E3"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ACB820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Renta líquida del ejercicio</w:t>
            </w:r>
          </w:p>
        </w:tc>
        <w:tc>
          <w:tcPr>
            <w:tcW w:w="0" w:type="auto"/>
            <w:tcBorders>
              <w:top w:val="nil"/>
              <w:left w:val="nil"/>
              <w:bottom w:val="single" w:sz="8" w:space="0" w:color="000000"/>
              <w:right w:val="single" w:sz="8" w:space="0" w:color="000000"/>
            </w:tcBorders>
            <w:shd w:val="clear" w:color="auto" w:fill="auto"/>
            <w:hideMark/>
          </w:tcPr>
          <w:p w14:paraId="4C48F1B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$40,935,000</w:t>
            </w:r>
          </w:p>
        </w:tc>
        <w:tc>
          <w:tcPr>
            <w:tcW w:w="0" w:type="auto"/>
            <w:tcBorders>
              <w:top w:val="nil"/>
              <w:left w:val="nil"/>
              <w:bottom w:val="single" w:sz="8" w:space="0" w:color="000000"/>
              <w:right w:val="single" w:sz="8" w:space="0" w:color="000000"/>
            </w:tcBorders>
            <w:shd w:val="clear" w:color="auto" w:fill="auto"/>
            <w:hideMark/>
          </w:tcPr>
          <w:p w14:paraId="256D080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$1,146,876,000</w:t>
            </w:r>
          </w:p>
        </w:tc>
        <w:tc>
          <w:tcPr>
            <w:tcW w:w="0" w:type="auto"/>
            <w:tcBorders>
              <w:top w:val="nil"/>
              <w:left w:val="nil"/>
              <w:bottom w:val="single" w:sz="8" w:space="0" w:color="000000"/>
              <w:right w:val="single" w:sz="8" w:space="0" w:color="000000"/>
            </w:tcBorders>
            <w:shd w:val="clear" w:color="auto" w:fill="auto"/>
            <w:hideMark/>
          </w:tcPr>
          <w:p w14:paraId="62DA415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$285,123,000</w:t>
            </w:r>
          </w:p>
        </w:tc>
      </w:tr>
      <w:tr w:rsidR="00B97426" w:rsidRPr="00B97426" w14:paraId="7E961088" w14:textId="77777777" w:rsidTr="00B97426">
        <w:trPr>
          <w:trHeight w:val="29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F427618"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Renta líquida</w:t>
            </w:r>
          </w:p>
        </w:tc>
        <w:tc>
          <w:tcPr>
            <w:tcW w:w="0" w:type="auto"/>
            <w:tcBorders>
              <w:top w:val="nil"/>
              <w:left w:val="nil"/>
              <w:bottom w:val="single" w:sz="8" w:space="0" w:color="000000"/>
              <w:right w:val="single" w:sz="8" w:space="0" w:color="000000"/>
            </w:tcBorders>
            <w:shd w:val="clear" w:color="auto" w:fill="auto"/>
            <w:hideMark/>
          </w:tcPr>
          <w:p w14:paraId="63B96A8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$40,935,000</w:t>
            </w:r>
          </w:p>
        </w:tc>
        <w:tc>
          <w:tcPr>
            <w:tcW w:w="0" w:type="auto"/>
            <w:tcBorders>
              <w:top w:val="nil"/>
              <w:left w:val="nil"/>
              <w:bottom w:val="single" w:sz="8" w:space="0" w:color="000000"/>
              <w:right w:val="single" w:sz="8" w:space="0" w:color="000000"/>
            </w:tcBorders>
            <w:shd w:val="clear" w:color="auto" w:fill="auto"/>
            <w:hideMark/>
          </w:tcPr>
          <w:p w14:paraId="5B39C2E5"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$1,146,876,000</w:t>
            </w:r>
          </w:p>
        </w:tc>
        <w:tc>
          <w:tcPr>
            <w:tcW w:w="0" w:type="auto"/>
            <w:tcBorders>
              <w:top w:val="nil"/>
              <w:left w:val="nil"/>
              <w:bottom w:val="single" w:sz="8" w:space="0" w:color="000000"/>
              <w:right w:val="single" w:sz="8" w:space="0" w:color="000000"/>
            </w:tcBorders>
            <w:shd w:val="clear" w:color="auto" w:fill="auto"/>
            <w:hideMark/>
          </w:tcPr>
          <w:p w14:paraId="51F6A7F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$285,123,000</w:t>
            </w:r>
          </w:p>
        </w:tc>
      </w:tr>
      <w:tr w:rsidR="00B97426" w:rsidRPr="00B97426" w14:paraId="7050EC0C"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E0529E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Renta presuntiva</w:t>
            </w:r>
          </w:p>
        </w:tc>
        <w:tc>
          <w:tcPr>
            <w:tcW w:w="0" w:type="auto"/>
            <w:tcBorders>
              <w:top w:val="nil"/>
              <w:left w:val="nil"/>
              <w:bottom w:val="single" w:sz="8" w:space="0" w:color="000000"/>
              <w:right w:val="single" w:sz="8" w:space="0" w:color="000000"/>
            </w:tcBorders>
            <w:shd w:val="clear" w:color="auto" w:fill="auto"/>
            <w:hideMark/>
          </w:tcPr>
          <w:p w14:paraId="0724ECA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$9,529,000</w:t>
            </w:r>
          </w:p>
        </w:tc>
        <w:tc>
          <w:tcPr>
            <w:tcW w:w="0" w:type="auto"/>
            <w:tcBorders>
              <w:top w:val="nil"/>
              <w:left w:val="nil"/>
              <w:bottom w:val="single" w:sz="8" w:space="0" w:color="000000"/>
              <w:right w:val="single" w:sz="8" w:space="0" w:color="000000"/>
            </w:tcBorders>
            <w:shd w:val="clear" w:color="auto" w:fill="auto"/>
            <w:hideMark/>
          </w:tcPr>
          <w:p w14:paraId="2E98119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$9,529,000</w:t>
            </w:r>
          </w:p>
        </w:tc>
        <w:tc>
          <w:tcPr>
            <w:tcW w:w="0" w:type="auto"/>
            <w:tcBorders>
              <w:top w:val="nil"/>
              <w:left w:val="nil"/>
              <w:bottom w:val="single" w:sz="8" w:space="0" w:color="000000"/>
              <w:right w:val="single" w:sz="8" w:space="0" w:color="000000"/>
            </w:tcBorders>
            <w:shd w:val="clear" w:color="auto" w:fill="auto"/>
            <w:hideMark/>
          </w:tcPr>
          <w:p w14:paraId="1AE8CEC4"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$9,529,000</w:t>
            </w:r>
          </w:p>
        </w:tc>
      </w:tr>
      <w:tr w:rsidR="00B97426" w:rsidRPr="00B97426" w14:paraId="42F3A2F9"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B7C871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Renta líquida gravable</w:t>
            </w:r>
          </w:p>
        </w:tc>
        <w:tc>
          <w:tcPr>
            <w:tcW w:w="0" w:type="auto"/>
            <w:tcBorders>
              <w:top w:val="nil"/>
              <w:left w:val="nil"/>
              <w:bottom w:val="single" w:sz="8" w:space="0" w:color="000000"/>
              <w:right w:val="single" w:sz="8" w:space="0" w:color="000000"/>
            </w:tcBorders>
            <w:shd w:val="clear" w:color="auto" w:fill="auto"/>
            <w:hideMark/>
          </w:tcPr>
          <w:p w14:paraId="235650A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$40,935,000</w:t>
            </w:r>
          </w:p>
        </w:tc>
        <w:tc>
          <w:tcPr>
            <w:tcW w:w="0" w:type="auto"/>
            <w:tcBorders>
              <w:top w:val="nil"/>
              <w:left w:val="nil"/>
              <w:bottom w:val="single" w:sz="8" w:space="0" w:color="000000"/>
              <w:right w:val="single" w:sz="8" w:space="0" w:color="000000"/>
            </w:tcBorders>
            <w:shd w:val="clear" w:color="auto" w:fill="auto"/>
            <w:hideMark/>
          </w:tcPr>
          <w:p w14:paraId="4160B01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$1,146,876,000</w:t>
            </w:r>
          </w:p>
        </w:tc>
        <w:tc>
          <w:tcPr>
            <w:tcW w:w="0" w:type="auto"/>
            <w:tcBorders>
              <w:top w:val="nil"/>
              <w:left w:val="nil"/>
              <w:bottom w:val="single" w:sz="8" w:space="0" w:color="000000"/>
              <w:right w:val="single" w:sz="8" w:space="0" w:color="000000"/>
            </w:tcBorders>
            <w:shd w:val="clear" w:color="auto" w:fill="auto"/>
            <w:hideMark/>
          </w:tcPr>
          <w:p w14:paraId="354F6C1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$285,123,000</w:t>
            </w:r>
          </w:p>
        </w:tc>
      </w:tr>
      <w:tr w:rsidR="00B97426" w:rsidRPr="00B97426" w14:paraId="0B731C34"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7C00FC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Impuesto sobre renta gravable</w:t>
            </w:r>
          </w:p>
        </w:tc>
        <w:tc>
          <w:tcPr>
            <w:tcW w:w="0" w:type="auto"/>
            <w:tcBorders>
              <w:top w:val="nil"/>
              <w:left w:val="nil"/>
              <w:bottom w:val="single" w:sz="8" w:space="0" w:color="000000"/>
              <w:right w:val="single" w:sz="8" w:space="0" w:color="000000"/>
            </w:tcBorders>
            <w:shd w:val="clear" w:color="auto" w:fill="auto"/>
            <w:hideMark/>
          </w:tcPr>
          <w:p w14:paraId="3E29757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$2,907,000</w:t>
            </w:r>
          </w:p>
        </w:tc>
        <w:tc>
          <w:tcPr>
            <w:tcW w:w="0" w:type="auto"/>
            <w:tcBorders>
              <w:top w:val="nil"/>
              <w:left w:val="nil"/>
              <w:bottom w:val="single" w:sz="8" w:space="0" w:color="000000"/>
              <w:right w:val="single" w:sz="8" w:space="0" w:color="000000"/>
            </w:tcBorders>
            <w:shd w:val="clear" w:color="auto" w:fill="auto"/>
            <w:hideMark/>
          </w:tcPr>
          <w:p w14:paraId="578D51D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$365,043,000</w:t>
            </w:r>
          </w:p>
        </w:tc>
        <w:tc>
          <w:tcPr>
            <w:tcW w:w="0" w:type="auto"/>
            <w:tcBorders>
              <w:top w:val="nil"/>
              <w:left w:val="nil"/>
              <w:bottom w:val="single" w:sz="8" w:space="0" w:color="000000"/>
              <w:right w:val="single" w:sz="8" w:space="0" w:color="000000"/>
            </w:tcBorders>
            <w:shd w:val="clear" w:color="auto" w:fill="auto"/>
            <w:hideMark/>
          </w:tcPr>
          <w:p w14:paraId="6388A01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$80,664,000</w:t>
            </w:r>
          </w:p>
        </w:tc>
      </w:tr>
      <w:tr w:rsidR="00B97426" w:rsidRPr="00B97426" w14:paraId="0C0EC287"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A0DBC0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Impuesto neto de renta</w:t>
            </w:r>
          </w:p>
        </w:tc>
        <w:tc>
          <w:tcPr>
            <w:tcW w:w="0" w:type="auto"/>
            <w:tcBorders>
              <w:top w:val="nil"/>
              <w:left w:val="nil"/>
              <w:bottom w:val="single" w:sz="8" w:space="0" w:color="000000"/>
              <w:right w:val="single" w:sz="8" w:space="0" w:color="000000"/>
            </w:tcBorders>
            <w:shd w:val="clear" w:color="auto" w:fill="auto"/>
            <w:hideMark/>
          </w:tcPr>
          <w:p w14:paraId="5BF40B4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$2,907,000</w:t>
            </w:r>
          </w:p>
        </w:tc>
        <w:tc>
          <w:tcPr>
            <w:tcW w:w="0" w:type="auto"/>
            <w:tcBorders>
              <w:top w:val="nil"/>
              <w:left w:val="nil"/>
              <w:bottom w:val="single" w:sz="8" w:space="0" w:color="000000"/>
              <w:right w:val="single" w:sz="8" w:space="0" w:color="000000"/>
            </w:tcBorders>
            <w:shd w:val="clear" w:color="auto" w:fill="auto"/>
            <w:hideMark/>
          </w:tcPr>
          <w:p w14:paraId="3C6254E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$365,043,000</w:t>
            </w:r>
          </w:p>
        </w:tc>
        <w:tc>
          <w:tcPr>
            <w:tcW w:w="0" w:type="auto"/>
            <w:tcBorders>
              <w:top w:val="nil"/>
              <w:left w:val="nil"/>
              <w:bottom w:val="single" w:sz="8" w:space="0" w:color="000000"/>
              <w:right w:val="single" w:sz="8" w:space="0" w:color="000000"/>
            </w:tcBorders>
            <w:shd w:val="clear" w:color="auto" w:fill="auto"/>
            <w:hideMark/>
          </w:tcPr>
          <w:p w14:paraId="235EEF4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$80,664,000</w:t>
            </w:r>
          </w:p>
        </w:tc>
      </w:tr>
      <w:tr w:rsidR="00B97426" w:rsidRPr="00B97426" w14:paraId="591CD4C5"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D4963F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impuesto a cargo</w:t>
            </w:r>
          </w:p>
        </w:tc>
        <w:tc>
          <w:tcPr>
            <w:tcW w:w="0" w:type="auto"/>
            <w:tcBorders>
              <w:top w:val="nil"/>
              <w:left w:val="nil"/>
              <w:bottom w:val="single" w:sz="8" w:space="0" w:color="000000"/>
              <w:right w:val="single" w:sz="8" w:space="0" w:color="000000"/>
            </w:tcBorders>
            <w:shd w:val="clear" w:color="auto" w:fill="auto"/>
            <w:hideMark/>
          </w:tcPr>
          <w:p w14:paraId="738C2FE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$2,907,000</w:t>
            </w:r>
          </w:p>
        </w:tc>
        <w:tc>
          <w:tcPr>
            <w:tcW w:w="0" w:type="auto"/>
            <w:tcBorders>
              <w:top w:val="nil"/>
              <w:left w:val="nil"/>
              <w:bottom w:val="single" w:sz="8" w:space="0" w:color="000000"/>
              <w:right w:val="single" w:sz="8" w:space="0" w:color="000000"/>
            </w:tcBorders>
            <w:shd w:val="clear" w:color="auto" w:fill="auto"/>
            <w:hideMark/>
          </w:tcPr>
          <w:p w14:paraId="641592F8"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$365,043,000</w:t>
            </w:r>
          </w:p>
        </w:tc>
        <w:tc>
          <w:tcPr>
            <w:tcW w:w="0" w:type="auto"/>
            <w:tcBorders>
              <w:top w:val="nil"/>
              <w:left w:val="nil"/>
              <w:bottom w:val="single" w:sz="8" w:space="0" w:color="000000"/>
              <w:right w:val="single" w:sz="8" w:space="0" w:color="000000"/>
            </w:tcBorders>
            <w:shd w:val="clear" w:color="auto" w:fill="auto"/>
            <w:hideMark/>
          </w:tcPr>
          <w:p w14:paraId="2AB411D5"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$80,664,000</w:t>
            </w:r>
          </w:p>
        </w:tc>
      </w:tr>
      <w:tr w:rsidR="00B97426" w:rsidRPr="00B97426" w14:paraId="541C9C9E" w14:textId="77777777" w:rsidTr="00B97426">
        <w:trPr>
          <w:trHeight w:val="28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21B72D7"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Otros conceptos</w:t>
            </w:r>
          </w:p>
        </w:tc>
        <w:tc>
          <w:tcPr>
            <w:tcW w:w="0" w:type="auto"/>
            <w:tcBorders>
              <w:top w:val="nil"/>
              <w:left w:val="nil"/>
              <w:bottom w:val="single" w:sz="8" w:space="0" w:color="000000"/>
              <w:right w:val="single" w:sz="8" w:space="0" w:color="000000"/>
            </w:tcBorders>
            <w:shd w:val="clear" w:color="auto" w:fill="auto"/>
            <w:hideMark/>
          </w:tcPr>
          <w:p w14:paraId="321183D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c>
          <w:tcPr>
            <w:tcW w:w="0" w:type="auto"/>
            <w:tcBorders>
              <w:top w:val="nil"/>
              <w:left w:val="nil"/>
              <w:bottom w:val="single" w:sz="8" w:space="0" w:color="000000"/>
              <w:right w:val="single" w:sz="8" w:space="0" w:color="000000"/>
            </w:tcBorders>
            <w:shd w:val="clear" w:color="auto" w:fill="auto"/>
            <w:hideMark/>
          </w:tcPr>
          <w:p w14:paraId="64FA970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c>
          <w:tcPr>
            <w:tcW w:w="0" w:type="auto"/>
            <w:tcBorders>
              <w:top w:val="nil"/>
              <w:left w:val="nil"/>
              <w:bottom w:val="single" w:sz="8" w:space="0" w:color="000000"/>
              <w:right w:val="single" w:sz="8" w:space="0" w:color="000000"/>
            </w:tcBorders>
            <w:shd w:val="clear" w:color="auto" w:fill="auto"/>
            <w:hideMark/>
          </w:tcPr>
          <w:p w14:paraId="7C7FF66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r>
      <w:tr w:rsidR="00B97426" w:rsidRPr="00B97426" w14:paraId="157DDFA2"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8B1331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retenciones año gravable</w:t>
            </w:r>
          </w:p>
        </w:tc>
        <w:tc>
          <w:tcPr>
            <w:tcW w:w="0" w:type="auto"/>
            <w:tcBorders>
              <w:top w:val="nil"/>
              <w:left w:val="nil"/>
              <w:bottom w:val="single" w:sz="8" w:space="0" w:color="000000"/>
              <w:right w:val="single" w:sz="8" w:space="0" w:color="000000"/>
            </w:tcBorders>
            <w:shd w:val="clear" w:color="auto" w:fill="auto"/>
            <w:hideMark/>
          </w:tcPr>
          <w:p w14:paraId="7101BD17"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c>
          <w:tcPr>
            <w:tcW w:w="0" w:type="auto"/>
            <w:tcBorders>
              <w:top w:val="nil"/>
              <w:left w:val="nil"/>
              <w:bottom w:val="single" w:sz="8" w:space="0" w:color="000000"/>
              <w:right w:val="single" w:sz="8" w:space="0" w:color="000000"/>
            </w:tcBorders>
            <w:shd w:val="clear" w:color="auto" w:fill="auto"/>
            <w:hideMark/>
          </w:tcPr>
          <w:p w14:paraId="6ABFFCF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c>
          <w:tcPr>
            <w:tcW w:w="0" w:type="auto"/>
            <w:tcBorders>
              <w:top w:val="nil"/>
              <w:left w:val="nil"/>
              <w:bottom w:val="single" w:sz="8" w:space="0" w:color="000000"/>
              <w:right w:val="single" w:sz="8" w:space="0" w:color="000000"/>
            </w:tcBorders>
            <w:shd w:val="clear" w:color="auto" w:fill="auto"/>
            <w:hideMark/>
          </w:tcPr>
          <w:p w14:paraId="6259437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$2,082,000</w:t>
            </w:r>
          </w:p>
        </w:tc>
      </w:tr>
      <w:tr w:rsidR="00B97426" w:rsidRPr="00B97426" w14:paraId="6CCCB8D0"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8F9148F"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Saldo a pagar por impuesto</w:t>
            </w:r>
          </w:p>
        </w:tc>
        <w:tc>
          <w:tcPr>
            <w:tcW w:w="0" w:type="auto"/>
            <w:tcBorders>
              <w:top w:val="nil"/>
              <w:left w:val="nil"/>
              <w:bottom w:val="single" w:sz="8" w:space="0" w:color="000000"/>
              <w:right w:val="single" w:sz="8" w:space="0" w:color="000000"/>
            </w:tcBorders>
            <w:shd w:val="clear" w:color="auto" w:fill="auto"/>
            <w:hideMark/>
          </w:tcPr>
          <w:p w14:paraId="2696691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$825,000</w:t>
            </w:r>
          </w:p>
        </w:tc>
        <w:tc>
          <w:tcPr>
            <w:tcW w:w="0" w:type="auto"/>
            <w:tcBorders>
              <w:top w:val="nil"/>
              <w:left w:val="nil"/>
              <w:bottom w:val="single" w:sz="8" w:space="0" w:color="000000"/>
              <w:right w:val="single" w:sz="8" w:space="0" w:color="000000"/>
            </w:tcBorders>
            <w:shd w:val="clear" w:color="auto" w:fill="auto"/>
            <w:hideMark/>
          </w:tcPr>
          <w:p w14:paraId="734AB1E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$362,961,000</w:t>
            </w:r>
          </w:p>
        </w:tc>
        <w:tc>
          <w:tcPr>
            <w:tcW w:w="0" w:type="auto"/>
            <w:tcBorders>
              <w:top w:val="nil"/>
              <w:left w:val="nil"/>
              <w:bottom w:val="single" w:sz="8" w:space="0" w:color="000000"/>
              <w:right w:val="single" w:sz="8" w:space="0" w:color="000000"/>
            </w:tcBorders>
            <w:shd w:val="clear" w:color="auto" w:fill="auto"/>
            <w:hideMark/>
          </w:tcPr>
          <w:p w14:paraId="1398ED1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$78,582,000</w:t>
            </w:r>
          </w:p>
        </w:tc>
      </w:tr>
      <w:tr w:rsidR="00B97426" w:rsidRPr="00B97426" w14:paraId="4F46A849"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4DAF08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Sanciones</w:t>
            </w:r>
          </w:p>
        </w:tc>
        <w:tc>
          <w:tcPr>
            <w:tcW w:w="0" w:type="auto"/>
            <w:tcBorders>
              <w:top w:val="nil"/>
              <w:left w:val="nil"/>
              <w:bottom w:val="single" w:sz="8" w:space="0" w:color="000000"/>
              <w:right w:val="single" w:sz="8" w:space="0" w:color="000000"/>
            </w:tcBorders>
            <w:shd w:val="clear" w:color="auto" w:fill="auto"/>
            <w:hideMark/>
          </w:tcPr>
          <w:p w14:paraId="5E49894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4623A79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$579,418,000</w:t>
            </w:r>
          </w:p>
        </w:tc>
        <w:tc>
          <w:tcPr>
            <w:tcW w:w="0" w:type="auto"/>
            <w:tcBorders>
              <w:top w:val="nil"/>
              <w:left w:val="nil"/>
              <w:bottom w:val="single" w:sz="8" w:space="0" w:color="000000"/>
              <w:right w:val="single" w:sz="8" w:space="0" w:color="000000"/>
            </w:tcBorders>
            <w:shd w:val="clear" w:color="auto" w:fill="auto"/>
            <w:hideMark/>
          </w:tcPr>
          <w:p w14:paraId="60E1BE1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$77,757,000</w:t>
            </w:r>
          </w:p>
        </w:tc>
      </w:tr>
      <w:tr w:rsidR="00B97426" w:rsidRPr="00B97426" w14:paraId="68C910CB"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4B2E53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Total saldo a pagar</w:t>
            </w:r>
          </w:p>
        </w:tc>
        <w:tc>
          <w:tcPr>
            <w:tcW w:w="0" w:type="auto"/>
            <w:tcBorders>
              <w:top w:val="nil"/>
              <w:left w:val="nil"/>
              <w:bottom w:val="single" w:sz="8" w:space="0" w:color="000000"/>
              <w:right w:val="single" w:sz="8" w:space="0" w:color="000000"/>
            </w:tcBorders>
            <w:shd w:val="clear" w:color="auto" w:fill="auto"/>
            <w:hideMark/>
          </w:tcPr>
          <w:p w14:paraId="3E11448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$825,000</w:t>
            </w:r>
          </w:p>
        </w:tc>
        <w:tc>
          <w:tcPr>
            <w:tcW w:w="0" w:type="auto"/>
            <w:tcBorders>
              <w:top w:val="nil"/>
              <w:left w:val="nil"/>
              <w:bottom w:val="single" w:sz="8" w:space="0" w:color="000000"/>
              <w:right w:val="single" w:sz="8" w:space="0" w:color="000000"/>
            </w:tcBorders>
            <w:shd w:val="clear" w:color="auto" w:fill="auto"/>
            <w:hideMark/>
          </w:tcPr>
          <w:p w14:paraId="377DDF8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$942,379,000</w:t>
            </w:r>
          </w:p>
        </w:tc>
        <w:tc>
          <w:tcPr>
            <w:tcW w:w="0" w:type="auto"/>
            <w:tcBorders>
              <w:top w:val="nil"/>
              <w:left w:val="nil"/>
              <w:bottom w:val="single" w:sz="8" w:space="0" w:color="000000"/>
              <w:right w:val="single" w:sz="8" w:space="0" w:color="000000"/>
            </w:tcBorders>
            <w:shd w:val="clear" w:color="auto" w:fill="auto"/>
            <w:hideMark/>
          </w:tcPr>
          <w:p w14:paraId="72F62A7E"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$156,339,000</w:t>
            </w:r>
          </w:p>
        </w:tc>
      </w:tr>
    </w:tbl>
    <w:p w14:paraId="049620A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E705A0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549"/>
        <w:gridCol w:w="1078"/>
        <w:gridCol w:w="1164"/>
      </w:tblGrid>
      <w:tr w:rsidR="00B97426" w:rsidRPr="00B97426" w14:paraId="68B93589" w14:textId="77777777" w:rsidTr="00B97426">
        <w:trPr>
          <w:trHeight w:val="289"/>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14:paraId="073A7578" w14:textId="77777777" w:rsidR="00B97426" w:rsidRPr="00B97426" w:rsidRDefault="00B97426" w:rsidP="00B97426">
            <w:pPr>
              <w:spacing w:after="0" w:line="240" w:lineRule="auto"/>
              <w:jc w:val="center"/>
              <w:rPr>
                <w:rFonts w:eastAsia="Times New Roman" w:cs="Times New Roman"/>
                <w:szCs w:val="24"/>
                <w:lang w:eastAsia="es-CO"/>
              </w:rPr>
            </w:pPr>
            <w:r w:rsidRPr="00B97426">
              <w:rPr>
                <w:rFonts w:ascii="Segoe UI" w:eastAsia="Times New Roman" w:hAnsi="Segoe UI" w:cs="Segoe UI"/>
                <w:b/>
                <w:bCs/>
                <w:sz w:val="20"/>
                <w:szCs w:val="20"/>
                <w:lang w:eastAsia="es-CO"/>
              </w:rPr>
              <w:t>LIQUIDACIÓN SANCIÓN POR INEXACTITUD</w:t>
            </w:r>
          </w:p>
        </w:tc>
      </w:tr>
      <w:tr w:rsidR="00B97426" w:rsidRPr="00B97426" w14:paraId="40F93568" w14:textId="77777777" w:rsidTr="00B97426">
        <w:trPr>
          <w:trHeight w:val="28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447CAC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Saldo a pagar según liquidación privada</w:t>
            </w:r>
          </w:p>
        </w:tc>
        <w:tc>
          <w:tcPr>
            <w:tcW w:w="0" w:type="auto"/>
            <w:tcBorders>
              <w:top w:val="nil"/>
              <w:left w:val="nil"/>
              <w:bottom w:val="single" w:sz="8" w:space="0" w:color="000000"/>
              <w:right w:val="single" w:sz="8" w:space="0" w:color="000000"/>
            </w:tcBorders>
            <w:shd w:val="clear" w:color="auto" w:fill="auto"/>
            <w:hideMark/>
          </w:tcPr>
          <w:p w14:paraId="713AC706"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$825,000</w:t>
            </w:r>
          </w:p>
        </w:tc>
        <w:tc>
          <w:tcPr>
            <w:tcW w:w="0" w:type="auto"/>
            <w:tcBorders>
              <w:top w:val="nil"/>
              <w:left w:val="nil"/>
              <w:bottom w:val="single" w:sz="8" w:space="0" w:color="000000"/>
              <w:right w:val="single" w:sz="8" w:space="0" w:color="000000"/>
            </w:tcBorders>
            <w:shd w:val="clear" w:color="auto" w:fill="auto"/>
            <w:hideMark/>
          </w:tcPr>
          <w:p w14:paraId="76F21AC0"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 </w:t>
            </w:r>
          </w:p>
        </w:tc>
      </w:tr>
      <w:tr w:rsidR="00B97426" w:rsidRPr="00B97426" w14:paraId="6BBDDE8E"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3382A1C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Saldo a pagar según C. de E.</w:t>
            </w:r>
          </w:p>
        </w:tc>
        <w:tc>
          <w:tcPr>
            <w:tcW w:w="0" w:type="auto"/>
            <w:tcBorders>
              <w:top w:val="nil"/>
              <w:left w:val="nil"/>
              <w:bottom w:val="single" w:sz="8" w:space="0" w:color="000000"/>
              <w:right w:val="single" w:sz="8" w:space="0" w:color="000000"/>
            </w:tcBorders>
            <w:shd w:val="clear" w:color="auto" w:fill="auto"/>
            <w:hideMark/>
          </w:tcPr>
          <w:p w14:paraId="35856F0B"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$78,582,000</w:t>
            </w:r>
          </w:p>
        </w:tc>
        <w:tc>
          <w:tcPr>
            <w:tcW w:w="0" w:type="auto"/>
            <w:tcBorders>
              <w:top w:val="nil"/>
              <w:left w:val="nil"/>
              <w:bottom w:val="single" w:sz="8" w:space="0" w:color="000000"/>
              <w:right w:val="single" w:sz="8" w:space="0" w:color="000000"/>
            </w:tcBorders>
            <w:shd w:val="clear" w:color="auto" w:fill="auto"/>
            <w:hideMark/>
          </w:tcPr>
          <w:p w14:paraId="5B01B65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 </w:t>
            </w:r>
          </w:p>
        </w:tc>
      </w:tr>
      <w:tr w:rsidR="00B97426" w:rsidRPr="00B97426" w14:paraId="0ED34684"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E0FE67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Base sanción por inexactitud</w:t>
            </w:r>
          </w:p>
        </w:tc>
        <w:tc>
          <w:tcPr>
            <w:tcW w:w="0" w:type="auto"/>
            <w:tcBorders>
              <w:top w:val="nil"/>
              <w:left w:val="nil"/>
              <w:bottom w:val="single" w:sz="8" w:space="0" w:color="000000"/>
              <w:right w:val="single" w:sz="8" w:space="0" w:color="000000"/>
            </w:tcBorders>
            <w:shd w:val="clear" w:color="auto" w:fill="auto"/>
            <w:hideMark/>
          </w:tcPr>
          <w:p w14:paraId="73087CCD"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27A8B923"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$77,757,000</w:t>
            </w:r>
          </w:p>
        </w:tc>
      </w:tr>
      <w:tr w:rsidR="00B97426" w:rsidRPr="00B97426" w14:paraId="18BBACF2" w14:textId="77777777" w:rsidTr="00B97426">
        <w:trPr>
          <w:trHeight w:val="28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A44DE6A"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Tarifa: (E.T. arts. 640 y 648)</w:t>
            </w:r>
          </w:p>
        </w:tc>
        <w:tc>
          <w:tcPr>
            <w:tcW w:w="0" w:type="auto"/>
            <w:tcBorders>
              <w:top w:val="nil"/>
              <w:left w:val="nil"/>
              <w:bottom w:val="single" w:sz="8" w:space="0" w:color="000000"/>
              <w:right w:val="single" w:sz="8" w:space="0" w:color="000000"/>
            </w:tcBorders>
            <w:shd w:val="clear" w:color="auto" w:fill="auto"/>
            <w:hideMark/>
          </w:tcPr>
          <w:p w14:paraId="1F1565A5"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12E93C51"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100%</w:t>
            </w:r>
          </w:p>
        </w:tc>
      </w:tr>
      <w:tr w:rsidR="00B97426" w:rsidRPr="00B97426" w14:paraId="40A2D99B" w14:textId="77777777" w:rsidTr="00B97426">
        <w:trPr>
          <w:trHeight w:val="301"/>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2E67842"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Sanción por inexactitud</w:t>
            </w:r>
          </w:p>
        </w:tc>
        <w:tc>
          <w:tcPr>
            <w:tcW w:w="0" w:type="auto"/>
            <w:tcBorders>
              <w:top w:val="nil"/>
              <w:left w:val="nil"/>
              <w:bottom w:val="single" w:sz="8" w:space="0" w:color="000000"/>
              <w:right w:val="single" w:sz="8" w:space="0" w:color="000000"/>
            </w:tcBorders>
            <w:shd w:val="clear" w:color="auto" w:fill="auto"/>
            <w:hideMark/>
          </w:tcPr>
          <w:p w14:paraId="0EA06C99"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3B72DD5C" w14:textId="77777777" w:rsidR="00B97426" w:rsidRPr="00B97426" w:rsidRDefault="00B97426" w:rsidP="00B97426">
            <w:pPr>
              <w:spacing w:after="0" w:line="240" w:lineRule="auto"/>
              <w:jc w:val="both"/>
              <w:rPr>
                <w:rFonts w:eastAsia="Times New Roman" w:cs="Times New Roman"/>
                <w:szCs w:val="24"/>
                <w:lang w:eastAsia="es-CO"/>
              </w:rPr>
            </w:pPr>
            <w:r w:rsidRPr="00B97426">
              <w:rPr>
                <w:rFonts w:ascii="Segoe UI" w:eastAsia="Times New Roman" w:hAnsi="Segoe UI" w:cs="Segoe UI"/>
                <w:b/>
                <w:bCs/>
                <w:sz w:val="20"/>
                <w:szCs w:val="20"/>
                <w:lang w:eastAsia="es-CO"/>
              </w:rPr>
              <w:t>$77,757,000</w:t>
            </w:r>
          </w:p>
        </w:tc>
      </w:tr>
    </w:tbl>
    <w:p w14:paraId="4282D83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30AD85B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BEF2E6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consecuencia, la Sala revocará la sentencia apelada y, en su lugar, declarará la nulidad parcial de los actos administrativos demandados. A título de restablecimiento del derecho, fijará como saldo a pagar a cargo del demandante por concepto del impuesto sobre la renta y complementarios del año gravable 2009, el valor determinado en la anterior liquidación.</w:t>
      </w:r>
    </w:p>
    <w:p w14:paraId="71D4AB84"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06C4CF5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Finalmente, de conformidad con lo previsto en los artículos 188 del Código de Procedimiento Administrativo y de lo Contencioso Administrativo y 365 del Código General del Proceso</w:t>
      </w:r>
      <w:bookmarkStart w:id="43" w:name="_ftnref44"/>
      <w:r w:rsidRPr="00B97426">
        <w:rPr>
          <w:rFonts w:ascii="Segoe UI" w:eastAsia="Times New Roman" w:hAnsi="Segoe UI" w:cs="Segoe UI"/>
          <w:color w:val="000000"/>
          <w:sz w:val="22"/>
          <w:lang w:eastAsia="es-CO"/>
        </w:rPr>
        <w:fldChar w:fldCharType="begin"/>
      </w:r>
      <w:r w:rsidRPr="00B97426">
        <w:rPr>
          <w:rFonts w:ascii="Segoe UI" w:eastAsia="Times New Roman" w:hAnsi="Segoe UI" w:cs="Segoe UI"/>
          <w:color w:val="000000"/>
          <w:sz w:val="22"/>
          <w:lang w:eastAsia="es-CO"/>
        </w:rPr>
        <w:instrText xml:space="preserve"> HYPERLINK "https://www.ceta.org.co/html/vista_de_un_documento.asp?DocumentoID=41236" \l "_ftn44" \o "" </w:instrText>
      </w:r>
      <w:r w:rsidRPr="00B97426">
        <w:rPr>
          <w:rFonts w:ascii="Segoe UI" w:eastAsia="Times New Roman" w:hAnsi="Segoe UI" w:cs="Segoe UI"/>
          <w:color w:val="000000"/>
          <w:sz w:val="22"/>
          <w:lang w:eastAsia="es-CO"/>
        </w:rPr>
        <w:fldChar w:fldCharType="separate"/>
      </w:r>
      <w:r w:rsidRPr="00B97426">
        <w:rPr>
          <w:rFonts w:ascii="Segoe UI" w:eastAsia="Times New Roman" w:hAnsi="Segoe UI" w:cs="Segoe UI"/>
          <w:color w:val="0089E1"/>
          <w:sz w:val="22"/>
          <w:lang w:eastAsia="es-CO"/>
        </w:rPr>
        <w:t>[44]</w:t>
      </w:r>
      <w:r w:rsidRPr="00B97426">
        <w:rPr>
          <w:rFonts w:ascii="Segoe UI" w:eastAsia="Times New Roman" w:hAnsi="Segoe UI" w:cs="Segoe UI"/>
          <w:color w:val="000000"/>
          <w:sz w:val="22"/>
          <w:lang w:eastAsia="es-CO"/>
        </w:rPr>
        <w:fldChar w:fldCharType="end"/>
      </w:r>
      <w:bookmarkEnd w:id="43"/>
      <w:r w:rsidRPr="00B97426">
        <w:rPr>
          <w:rFonts w:ascii="Segoe UI" w:eastAsia="Times New Roman" w:hAnsi="Segoe UI" w:cs="Segoe UI"/>
          <w:color w:val="000000"/>
          <w:sz w:val="22"/>
          <w:lang w:eastAsia="es-CO"/>
        </w:rPr>
        <w:t>, no se condenará en costas (agencias en derecho y gastos del proceso), comoquiera que no se encuentran probadas en el proceso.</w:t>
      </w:r>
    </w:p>
    <w:p w14:paraId="4752A467"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4879E9EB"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080FC8C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096E737" w14:textId="77777777" w:rsidR="00B97426" w:rsidRPr="00B97426" w:rsidRDefault="00B97426" w:rsidP="00B97426">
      <w:pPr>
        <w:spacing w:after="0" w:line="240" w:lineRule="auto"/>
        <w:jc w:val="center"/>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FALLA</w:t>
      </w:r>
    </w:p>
    <w:p w14:paraId="0025C22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br/>
        <w:t>1.- DECLARAR </w:t>
      </w:r>
      <w:r w:rsidRPr="00B97426">
        <w:rPr>
          <w:rFonts w:ascii="Segoe UI" w:eastAsia="Times New Roman" w:hAnsi="Segoe UI" w:cs="Segoe UI"/>
          <w:color w:val="000000"/>
          <w:sz w:val="22"/>
          <w:lang w:eastAsia="es-CO"/>
        </w:rPr>
        <w:t>fundado el impedimento manifestado por el magistrado Milton Chaves García. En consecuencia, queda separado del conocimiento de este proceso.</w:t>
      </w:r>
    </w:p>
    <w:p w14:paraId="4395EC9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69A347CF"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2.- REVOCAR </w:t>
      </w:r>
      <w:r w:rsidRPr="00B97426">
        <w:rPr>
          <w:rFonts w:ascii="Segoe UI" w:eastAsia="Times New Roman" w:hAnsi="Segoe UI" w:cs="Segoe UI"/>
          <w:color w:val="000000"/>
          <w:sz w:val="22"/>
          <w:lang w:eastAsia="es-CO"/>
        </w:rPr>
        <w:t>la sentencia del 26 de enero de 2017, proferida por el Tribunal Administrativo de Cundinamarca, Sección Cuarta subsección B. En su lugar se dispone:</w:t>
      </w:r>
    </w:p>
    <w:p w14:paraId="3806B355"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741A8344"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b/>
          <w:bCs/>
          <w:i/>
          <w:iCs/>
          <w:color w:val="000000"/>
          <w:sz w:val="18"/>
          <w:szCs w:val="18"/>
          <w:lang w:eastAsia="es-CO"/>
        </w:rPr>
        <w:t>ANULAR </w:t>
      </w:r>
      <w:r w:rsidRPr="00B97426">
        <w:rPr>
          <w:rFonts w:ascii="Segoe UI" w:eastAsia="Times New Roman" w:hAnsi="Segoe UI" w:cs="Segoe UI"/>
          <w:i/>
          <w:iCs/>
          <w:color w:val="000000"/>
          <w:sz w:val="18"/>
          <w:szCs w:val="18"/>
          <w:lang w:eastAsia="es-CO"/>
        </w:rPr>
        <w:t>parcialmente la Liquidación Oficial de Revisión 322412013000349 del 16 de mayo de 2013, proferida por la División de Gestión de Liquidación de la Dirección Seccional de Impuestos de Bogotá, y su confirmatoria, la 900.218 del 11 de junio de 2014, expedida por la Subdirección de Gestión de Recursos Jurídicos de la Dirección de Gestión Jurídica de la DIAN.</w:t>
      </w:r>
    </w:p>
    <w:p w14:paraId="382ABB2B"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lastRenderedPageBreak/>
        <w:t> </w:t>
      </w:r>
    </w:p>
    <w:p w14:paraId="5A5B3703" w14:textId="77777777" w:rsidR="00B97426" w:rsidRPr="00B97426" w:rsidRDefault="00B97426" w:rsidP="00B97426">
      <w:pPr>
        <w:spacing w:after="0" w:line="240" w:lineRule="auto"/>
        <w:ind w:left="284"/>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18"/>
          <w:szCs w:val="18"/>
          <w:lang w:eastAsia="es-CO"/>
        </w:rPr>
        <w:t>A título de restablecimiento del derecho, </w:t>
      </w:r>
      <w:r w:rsidRPr="00B97426">
        <w:rPr>
          <w:rFonts w:ascii="Segoe UI" w:eastAsia="Times New Roman" w:hAnsi="Segoe UI" w:cs="Segoe UI"/>
          <w:b/>
          <w:bCs/>
          <w:i/>
          <w:iCs/>
          <w:color w:val="000000"/>
          <w:sz w:val="18"/>
          <w:szCs w:val="18"/>
          <w:lang w:eastAsia="es-CO"/>
        </w:rPr>
        <w:t>FIJAR </w:t>
      </w:r>
      <w:r w:rsidRPr="00B97426">
        <w:rPr>
          <w:rFonts w:ascii="Segoe UI" w:eastAsia="Times New Roman" w:hAnsi="Segoe UI" w:cs="Segoe UI"/>
          <w:i/>
          <w:iCs/>
          <w:color w:val="000000"/>
          <w:sz w:val="18"/>
          <w:szCs w:val="18"/>
          <w:lang w:eastAsia="es-CO"/>
        </w:rPr>
        <w:t>el total saldo a pagar a cargo de Fabio González Perdomo, en relación con el impuesto sobre la renta del año gravable 2009, en la suma liquidada en la parte motiva de esta providencia.</w:t>
      </w:r>
    </w:p>
    <w:p w14:paraId="785A587C"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i/>
          <w:iCs/>
          <w:color w:val="000000"/>
          <w:sz w:val="22"/>
          <w:lang w:eastAsia="es-CO"/>
        </w:rPr>
        <w:t> </w:t>
      </w:r>
    </w:p>
    <w:p w14:paraId="3D018A8D"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22"/>
          <w:lang w:eastAsia="es-CO"/>
        </w:rPr>
        <w:t>2.- </w:t>
      </w:r>
      <w:r w:rsidRPr="00B97426">
        <w:rPr>
          <w:rFonts w:ascii="Segoe UI" w:eastAsia="Times New Roman" w:hAnsi="Segoe UI" w:cs="Segoe UI"/>
          <w:color w:val="000000"/>
          <w:sz w:val="22"/>
          <w:lang w:eastAsia="es-CO"/>
        </w:rPr>
        <w:t>Sin condena en costas en esta instancia.</w:t>
      </w:r>
    </w:p>
    <w:p w14:paraId="3F522418" w14:textId="77777777" w:rsidR="008E5475" w:rsidRDefault="008E5475" w:rsidP="00B97426">
      <w:pPr>
        <w:spacing w:after="0" w:line="240" w:lineRule="auto"/>
        <w:jc w:val="both"/>
        <w:rPr>
          <w:rFonts w:ascii="Segoe UI" w:eastAsia="Times New Roman" w:hAnsi="Segoe UI" w:cs="Segoe UI"/>
          <w:color w:val="000000"/>
          <w:sz w:val="22"/>
          <w:lang w:eastAsia="es-CO"/>
        </w:rPr>
      </w:pPr>
    </w:p>
    <w:p w14:paraId="74E3926B" w14:textId="50B4B35F" w:rsidR="00B97426" w:rsidRPr="00B97426" w:rsidRDefault="00B97426" w:rsidP="00B97426">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22"/>
          <w:lang w:eastAsia="es-CO"/>
        </w:rPr>
        <w:t>C</w:t>
      </w:r>
      <w:r w:rsidRPr="00B97426">
        <w:rPr>
          <w:rFonts w:ascii="Segoe UI" w:eastAsia="Times New Roman" w:hAnsi="Segoe UI" w:cs="Segoe UI"/>
          <w:color w:val="000000"/>
          <w:sz w:val="22"/>
          <w:lang w:eastAsia="es-CO"/>
        </w:rPr>
        <w:t>ópiese, notifíquese, comuníquese y devuélvase el expediente al Tribunal de origen y cúmplase. La presente providencia se aprobó en la sesión de la fecha.</w:t>
      </w:r>
    </w:p>
    <w:p w14:paraId="5975183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22"/>
          <w:lang w:eastAsia="es-CO"/>
        </w:rPr>
        <w:t> </w:t>
      </w:r>
    </w:p>
    <w:p w14:paraId="54FD183F" w14:textId="19E044B3"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(Firmado electrónicamente)</w:t>
      </w:r>
    </w:p>
    <w:p w14:paraId="0C98111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STELLA JEANNETTE CARVAJAL BASTO</w:t>
      </w:r>
    </w:p>
    <w:p w14:paraId="40D55269"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Presidenta de la Sección Aclara Voto</w:t>
      </w:r>
    </w:p>
    <w:p w14:paraId="4647FC68" w14:textId="77777777" w:rsidR="008E5475" w:rsidRDefault="008E5475" w:rsidP="00B97426">
      <w:pPr>
        <w:spacing w:after="0" w:line="240" w:lineRule="auto"/>
        <w:jc w:val="both"/>
        <w:rPr>
          <w:rFonts w:ascii="Segoe UI" w:eastAsia="Times New Roman" w:hAnsi="Segoe UI" w:cs="Segoe UI"/>
          <w:color w:val="000000"/>
          <w:sz w:val="18"/>
          <w:szCs w:val="18"/>
          <w:lang w:eastAsia="es-CO"/>
        </w:rPr>
      </w:pPr>
    </w:p>
    <w:p w14:paraId="2E68E566" w14:textId="52AB0D4D" w:rsidR="00B97426" w:rsidRPr="00B97426" w:rsidRDefault="008E5475" w:rsidP="00B97426">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18"/>
          <w:szCs w:val="18"/>
          <w:lang w:eastAsia="es-CO"/>
        </w:rPr>
        <w:t>(</w:t>
      </w:r>
      <w:r w:rsidR="00B97426" w:rsidRPr="00B97426">
        <w:rPr>
          <w:rFonts w:ascii="Segoe UI" w:eastAsia="Times New Roman" w:hAnsi="Segoe UI" w:cs="Segoe UI"/>
          <w:color w:val="000000"/>
          <w:sz w:val="18"/>
          <w:szCs w:val="18"/>
          <w:lang w:eastAsia="es-CO"/>
        </w:rPr>
        <w:t>Firmado electrónicamente)</w:t>
      </w:r>
    </w:p>
    <w:p w14:paraId="0935413E"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b/>
          <w:bCs/>
          <w:color w:val="000000"/>
          <w:sz w:val="18"/>
          <w:szCs w:val="18"/>
          <w:lang w:eastAsia="es-CO"/>
        </w:rPr>
        <w:t>JULIO ROBERTO PIZA RODRÍGUEZ</w:t>
      </w:r>
    </w:p>
    <w:p w14:paraId="5B148A10"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Conjuez</w:t>
      </w:r>
    </w:p>
    <w:p w14:paraId="3E017DE6" w14:textId="77777777"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w:t>
      </w:r>
    </w:p>
    <w:p w14:paraId="0E4D74C7" w14:textId="072A35EB" w:rsidR="00B97426" w:rsidRPr="00B97426" w:rsidRDefault="00B97426" w:rsidP="00B97426">
      <w:pPr>
        <w:spacing w:after="0" w:line="240" w:lineRule="auto"/>
        <w:jc w:val="both"/>
        <w:rPr>
          <w:rFonts w:ascii="Arial" w:eastAsia="Times New Roman" w:hAnsi="Arial" w:cs="Arial"/>
          <w:color w:val="000000"/>
          <w:sz w:val="18"/>
          <w:szCs w:val="18"/>
          <w:lang w:eastAsia="es-CO"/>
        </w:rPr>
      </w:pPr>
      <w:r w:rsidRPr="00B97426">
        <w:rPr>
          <w:rFonts w:ascii="Segoe UI" w:eastAsia="Times New Roman" w:hAnsi="Segoe UI" w:cs="Segoe UI"/>
          <w:color w:val="000000"/>
          <w:sz w:val="18"/>
          <w:szCs w:val="18"/>
          <w:lang w:eastAsia="es-CO"/>
        </w:rPr>
        <w:t> (Firmado electrónicamente)</w:t>
      </w:r>
    </w:p>
    <w:p w14:paraId="4C85B84E" w14:textId="79631DE8" w:rsidR="00B97426" w:rsidRDefault="00B97426" w:rsidP="00B97426">
      <w:pPr>
        <w:spacing w:after="0" w:line="240" w:lineRule="auto"/>
        <w:jc w:val="both"/>
        <w:rPr>
          <w:rFonts w:ascii="Segoe UI" w:eastAsia="Times New Roman" w:hAnsi="Segoe UI" w:cs="Segoe UI"/>
          <w:b/>
          <w:bCs/>
          <w:color w:val="000000"/>
          <w:sz w:val="18"/>
          <w:szCs w:val="18"/>
          <w:lang w:eastAsia="es-CO"/>
        </w:rPr>
      </w:pPr>
      <w:r w:rsidRPr="00B97426">
        <w:rPr>
          <w:rFonts w:ascii="Segoe UI" w:eastAsia="Times New Roman" w:hAnsi="Segoe UI" w:cs="Segoe UI"/>
          <w:b/>
          <w:bCs/>
          <w:color w:val="000000"/>
          <w:sz w:val="18"/>
          <w:szCs w:val="18"/>
          <w:lang w:eastAsia="es-CO"/>
        </w:rPr>
        <w:t>LUCY CRUZ DE QUIÑONES</w:t>
      </w:r>
    </w:p>
    <w:p w14:paraId="6A7F4D8E" w14:textId="6F9494D6" w:rsidR="008E5475" w:rsidRPr="00B97426" w:rsidRDefault="008E5475" w:rsidP="00B97426">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b/>
          <w:bCs/>
          <w:color w:val="000000"/>
          <w:sz w:val="18"/>
          <w:szCs w:val="18"/>
          <w:lang w:eastAsia="es-CO"/>
        </w:rPr>
        <w:t>_____________________________________________________________________________________________________________________________</w:t>
      </w:r>
    </w:p>
    <w:p w14:paraId="7041EFA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26"/>
    <w:rsid w:val="000F3837"/>
    <w:rsid w:val="001E311E"/>
    <w:rsid w:val="00434AE6"/>
    <w:rsid w:val="007F5CC8"/>
    <w:rsid w:val="008779BE"/>
    <w:rsid w:val="008E5475"/>
    <w:rsid w:val="00B9742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6D9D"/>
  <w15:chartTrackingRefBased/>
  <w15:docId w15:val="{4187A246-5F6A-462F-82F1-AD4225DE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97426"/>
  </w:style>
  <w:style w:type="paragraph" w:customStyle="1" w:styleId="msonormal0">
    <w:name w:val="msonormal"/>
    <w:basedOn w:val="Normal"/>
    <w:rsid w:val="00B97426"/>
    <w:pPr>
      <w:spacing w:before="100" w:beforeAutospacing="1" w:after="100" w:afterAutospacing="1" w:line="240" w:lineRule="auto"/>
    </w:pPr>
    <w:rPr>
      <w:rFonts w:eastAsia="Times New Roman" w:cs="Times New Roman"/>
      <w:szCs w:val="24"/>
      <w:lang w:eastAsia="es-CO"/>
    </w:rPr>
  </w:style>
  <w:style w:type="paragraph" w:customStyle="1" w:styleId="tableparagraph">
    <w:name w:val="tableparagraph"/>
    <w:basedOn w:val="Normal"/>
    <w:rsid w:val="00B97426"/>
    <w:pPr>
      <w:spacing w:before="100" w:beforeAutospacing="1" w:after="100" w:afterAutospacing="1" w:line="240" w:lineRule="auto"/>
    </w:pPr>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B97426"/>
    <w:pPr>
      <w:spacing w:before="100" w:beforeAutospacing="1" w:after="100" w:afterAutospacing="1" w:line="240" w:lineRule="auto"/>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B97426"/>
    <w:rPr>
      <w:rFonts w:eastAsia="Times New Roman" w:cs="Times New Roman"/>
      <w:szCs w:val="24"/>
      <w:lang w:eastAsia="es-CO"/>
    </w:rPr>
  </w:style>
  <w:style w:type="character" w:styleId="Hipervnculo">
    <w:name w:val="Hyperlink"/>
    <w:basedOn w:val="Fuentedeprrafopredeter"/>
    <w:uiPriority w:val="99"/>
    <w:semiHidden/>
    <w:unhideWhenUsed/>
    <w:rsid w:val="00B97426"/>
    <w:rPr>
      <w:color w:val="0000FF"/>
      <w:u w:val="single"/>
    </w:rPr>
  </w:style>
  <w:style w:type="character" w:styleId="Hipervnculovisitado">
    <w:name w:val="FollowedHyperlink"/>
    <w:basedOn w:val="Fuentedeprrafopredeter"/>
    <w:uiPriority w:val="99"/>
    <w:semiHidden/>
    <w:unhideWhenUsed/>
    <w:rsid w:val="00B97426"/>
    <w:rPr>
      <w:color w:val="800080"/>
      <w:u w:val="single"/>
    </w:rPr>
  </w:style>
  <w:style w:type="character" w:styleId="Refdenotaalpie">
    <w:name w:val="footnote reference"/>
    <w:basedOn w:val="Fuentedeprrafopredeter"/>
    <w:uiPriority w:val="99"/>
    <w:semiHidden/>
    <w:unhideWhenUsed/>
    <w:rsid w:val="00B97426"/>
  </w:style>
  <w:style w:type="paragraph" w:styleId="Prrafodelista">
    <w:name w:val="List Paragraph"/>
    <w:basedOn w:val="Normal"/>
    <w:uiPriority w:val="34"/>
    <w:qFormat/>
    <w:rsid w:val="00B97426"/>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480">
      <w:bodyDiv w:val="1"/>
      <w:marLeft w:val="0"/>
      <w:marRight w:val="0"/>
      <w:marTop w:val="0"/>
      <w:marBottom w:val="0"/>
      <w:divBdr>
        <w:top w:val="none" w:sz="0" w:space="0" w:color="auto"/>
        <w:left w:val="none" w:sz="0" w:space="0" w:color="auto"/>
        <w:bottom w:val="none" w:sz="0" w:space="0" w:color="auto"/>
        <w:right w:val="none" w:sz="0" w:space="0" w:color="auto"/>
      </w:divBdr>
    </w:div>
    <w:div w:id="1674260826">
      <w:bodyDiv w:val="1"/>
      <w:marLeft w:val="0"/>
      <w:marRight w:val="0"/>
      <w:marTop w:val="0"/>
      <w:marBottom w:val="0"/>
      <w:divBdr>
        <w:top w:val="none" w:sz="0" w:space="0" w:color="auto"/>
        <w:left w:val="none" w:sz="0" w:space="0" w:color="auto"/>
        <w:bottom w:val="none" w:sz="0" w:space="0" w:color="auto"/>
        <w:right w:val="none" w:sz="0" w:space="0" w:color="auto"/>
      </w:divBdr>
      <w:divsChild>
        <w:div w:id="1084838431">
          <w:marLeft w:val="0"/>
          <w:marRight w:val="0"/>
          <w:marTop w:val="0"/>
          <w:marBottom w:val="0"/>
          <w:divBdr>
            <w:top w:val="none" w:sz="0" w:space="0" w:color="auto"/>
            <w:left w:val="none" w:sz="0" w:space="0" w:color="auto"/>
            <w:bottom w:val="none" w:sz="0" w:space="0" w:color="auto"/>
            <w:right w:val="none" w:sz="0" w:space="0" w:color="auto"/>
          </w:divBdr>
          <w:divsChild>
            <w:div w:id="1774088269">
              <w:marLeft w:val="0"/>
              <w:marRight w:val="0"/>
              <w:marTop w:val="0"/>
              <w:marBottom w:val="0"/>
              <w:divBdr>
                <w:top w:val="none" w:sz="0" w:space="0" w:color="auto"/>
                <w:left w:val="none" w:sz="0" w:space="0" w:color="auto"/>
                <w:bottom w:val="none" w:sz="0" w:space="0" w:color="auto"/>
                <w:right w:val="none" w:sz="0" w:space="0" w:color="auto"/>
              </w:divBdr>
            </w:div>
            <w:div w:id="1939362833">
              <w:marLeft w:val="0"/>
              <w:marRight w:val="0"/>
              <w:marTop w:val="0"/>
              <w:marBottom w:val="0"/>
              <w:divBdr>
                <w:top w:val="none" w:sz="0" w:space="0" w:color="auto"/>
                <w:left w:val="none" w:sz="0" w:space="0" w:color="auto"/>
                <w:bottom w:val="none" w:sz="0" w:space="0" w:color="auto"/>
                <w:right w:val="none" w:sz="0" w:space="0" w:color="auto"/>
              </w:divBdr>
            </w:div>
            <w:div w:id="515193490">
              <w:marLeft w:val="0"/>
              <w:marRight w:val="0"/>
              <w:marTop w:val="0"/>
              <w:marBottom w:val="0"/>
              <w:divBdr>
                <w:top w:val="none" w:sz="0" w:space="0" w:color="auto"/>
                <w:left w:val="none" w:sz="0" w:space="0" w:color="auto"/>
                <w:bottom w:val="none" w:sz="0" w:space="0" w:color="auto"/>
                <w:right w:val="none" w:sz="0" w:space="0" w:color="auto"/>
              </w:divBdr>
            </w:div>
            <w:div w:id="409237998">
              <w:marLeft w:val="0"/>
              <w:marRight w:val="0"/>
              <w:marTop w:val="0"/>
              <w:marBottom w:val="0"/>
              <w:divBdr>
                <w:top w:val="none" w:sz="0" w:space="0" w:color="auto"/>
                <w:left w:val="none" w:sz="0" w:space="0" w:color="auto"/>
                <w:bottom w:val="none" w:sz="0" w:space="0" w:color="auto"/>
                <w:right w:val="none" w:sz="0" w:space="0" w:color="auto"/>
              </w:divBdr>
            </w:div>
            <w:div w:id="980884996">
              <w:marLeft w:val="0"/>
              <w:marRight w:val="0"/>
              <w:marTop w:val="0"/>
              <w:marBottom w:val="0"/>
              <w:divBdr>
                <w:top w:val="none" w:sz="0" w:space="0" w:color="auto"/>
                <w:left w:val="none" w:sz="0" w:space="0" w:color="auto"/>
                <w:bottom w:val="none" w:sz="0" w:space="0" w:color="auto"/>
                <w:right w:val="none" w:sz="0" w:space="0" w:color="auto"/>
              </w:divBdr>
            </w:div>
            <w:div w:id="172650927">
              <w:marLeft w:val="0"/>
              <w:marRight w:val="0"/>
              <w:marTop w:val="0"/>
              <w:marBottom w:val="0"/>
              <w:divBdr>
                <w:top w:val="none" w:sz="0" w:space="0" w:color="auto"/>
                <w:left w:val="none" w:sz="0" w:space="0" w:color="auto"/>
                <w:bottom w:val="none" w:sz="0" w:space="0" w:color="auto"/>
                <w:right w:val="none" w:sz="0" w:space="0" w:color="auto"/>
              </w:divBdr>
            </w:div>
            <w:div w:id="1963416275">
              <w:marLeft w:val="0"/>
              <w:marRight w:val="0"/>
              <w:marTop w:val="0"/>
              <w:marBottom w:val="0"/>
              <w:divBdr>
                <w:top w:val="none" w:sz="0" w:space="0" w:color="auto"/>
                <w:left w:val="none" w:sz="0" w:space="0" w:color="auto"/>
                <w:bottom w:val="none" w:sz="0" w:space="0" w:color="auto"/>
                <w:right w:val="none" w:sz="0" w:space="0" w:color="auto"/>
              </w:divBdr>
            </w:div>
            <w:div w:id="115874160">
              <w:marLeft w:val="0"/>
              <w:marRight w:val="0"/>
              <w:marTop w:val="0"/>
              <w:marBottom w:val="0"/>
              <w:divBdr>
                <w:top w:val="none" w:sz="0" w:space="0" w:color="auto"/>
                <w:left w:val="none" w:sz="0" w:space="0" w:color="auto"/>
                <w:bottom w:val="none" w:sz="0" w:space="0" w:color="auto"/>
                <w:right w:val="none" w:sz="0" w:space="0" w:color="auto"/>
              </w:divBdr>
            </w:div>
            <w:div w:id="1534466549">
              <w:marLeft w:val="0"/>
              <w:marRight w:val="0"/>
              <w:marTop w:val="0"/>
              <w:marBottom w:val="0"/>
              <w:divBdr>
                <w:top w:val="none" w:sz="0" w:space="0" w:color="auto"/>
                <w:left w:val="none" w:sz="0" w:space="0" w:color="auto"/>
                <w:bottom w:val="none" w:sz="0" w:space="0" w:color="auto"/>
                <w:right w:val="none" w:sz="0" w:space="0" w:color="auto"/>
              </w:divBdr>
            </w:div>
            <w:div w:id="1581913032">
              <w:marLeft w:val="0"/>
              <w:marRight w:val="0"/>
              <w:marTop w:val="0"/>
              <w:marBottom w:val="0"/>
              <w:divBdr>
                <w:top w:val="none" w:sz="0" w:space="0" w:color="auto"/>
                <w:left w:val="none" w:sz="0" w:space="0" w:color="auto"/>
                <w:bottom w:val="none" w:sz="0" w:space="0" w:color="auto"/>
                <w:right w:val="none" w:sz="0" w:space="0" w:color="auto"/>
              </w:divBdr>
            </w:div>
            <w:div w:id="1771468129">
              <w:marLeft w:val="0"/>
              <w:marRight w:val="0"/>
              <w:marTop w:val="0"/>
              <w:marBottom w:val="0"/>
              <w:divBdr>
                <w:top w:val="none" w:sz="0" w:space="0" w:color="auto"/>
                <w:left w:val="none" w:sz="0" w:space="0" w:color="auto"/>
                <w:bottom w:val="none" w:sz="0" w:space="0" w:color="auto"/>
                <w:right w:val="none" w:sz="0" w:space="0" w:color="auto"/>
              </w:divBdr>
            </w:div>
            <w:div w:id="788551836">
              <w:marLeft w:val="0"/>
              <w:marRight w:val="0"/>
              <w:marTop w:val="0"/>
              <w:marBottom w:val="0"/>
              <w:divBdr>
                <w:top w:val="none" w:sz="0" w:space="0" w:color="auto"/>
                <w:left w:val="none" w:sz="0" w:space="0" w:color="auto"/>
                <w:bottom w:val="none" w:sz="0" w:space="0" w:color="auto"/>
                <w:right w:val="none" w:sz="0" w:space="0" w:color="auto"/>
              </w:divBdr>
            </w:div>
            <w:div w:id="1860391764">
              <w:marLeft w:val="0"/>
              <w:marRight w:val="0"/>
              <w:marTop w:val="0"/>
              <w:marBottom w:val="0"/>
              <w:divBdr>
                <w:top w:val="none" w:sz="0" w:space="0" w:color="auto"/>
                <w:left w:val="none" w:sz="0" w:space="0" w:color="auto"/>
                <w:bottom w:val="none" w:sz="0" w:space="0" w:color="auto"/>
                <w:right w:val="none" w:sz="0" w:space="0" w:color="auto"/>
              </w:divBdr>
            </w:div>
            <w:div w:id="1317954886">
              <w:marLeft w:val="0"/>
              <w:marRight w:val="0"/>
              <w:marTop w:val="0"/>
              <w:marBottom w:val="0"/>
              <w:divBdr>
                <w:top w:val="none" w:sz="0" w:space="0" w:color="auto"/>
                <w:left w:val="none" w:sz="0" w:space="0" w:color="auto"/>
                <w:bottom w:val="none" w:sz="0" w:space="0" w:color="auto"/>
                <w:right w:val="none" w:sz="0" w:space="0" w:color="auto"/>
              </w:divBdr>
            </w:div>
            <w:div w:id="1284651680">
              <w:marLeft w:val="0"/>
              <w:marRight w:val="0"/>
              <w:marTop w:val="0"/>
              <w:marBottom w:val="0"/>
              <w:divBdr>
                <w:top w:val="none" w:sz="0" w:space="0" w:color="auto"/>
                <w:left w:val="none" w:sz="0" w:space="0" w:color="auto"/>
                <w:bottom w:val="none" w:sz="0" w:space="0" w:color="auto"/>
                <w:right w:val="none" w:sz="0" w:space="0" w:color="auto"/>
              </w:divBdr>
            </w:div>
            <w:div w:id="848252389">
              <w:marLeft w:val="0"/>
              <w:marRight w:val="0"/>
              <w:marTop w:val="0"/>
              <w:marBottom w:val="0"/>
              <w:divBdr>
                <w:top w:val="none" w:sz="0" w:space="0" w:color="auto"/>
                <w:left w:val="none" w:sz="0" w:space="0" w:color="auto"/>
                <w:bottom w:val="none" w:sz="0" w:space="0" w:color="auto"/>
                <w:right w:val="none" w:sz="0" w:space="0" w:color="auto"/>
              </w:divBdr>
            </w:div>
            <w:div w:id="1764521983">
              <w:marLeft w:val="0"/>
              <w:marRight w:val="0"/>
              <w:marTop w:val="0"/>
              <w:marBottom w:val="0"/>
              <w:divBdr>
                <w:top w:val="none" w:sz="0" w:space="0" w:color="auto"/>
                <w:left w:val="none" w:sz="0" w:space="0" w:color="auto"/>
                <w:bottom w:val="none" w:sz="0" w:space="0" w:color="auto"/>
                <w:right w:val="none" w:sz="0" w:space="0" w:color="auto"/>
              </w:divBdr>
            </w:div>
            <w:div w:id="742872723">
              <w:marLeft w:val="0"/>
              <w:marRight w:val="0"/>
              <w:marTop w:val="0"/>
              <w:marBottom w:val="0"/>
              <w:divBdr>
                <w:top w:val="none" w:sz="0" w:space="0" w:color="auto"/>
                <w:left w:val="none" w:sz="0" w:space="0" w:color="auto"/>
                <w:bottom w:val="none" w:sz="0" w:space="0" w:color="auto"/>
                <w:right w:val="none" w:sz="0" w:space="0" w:color="auto"/>
              </w:divBdr>
            </w:div>
            <w:div w:id="1612662807">
              <w:marLeft w:val="0"/>
              <w:marRight w:val="0"/>
              <w:marTop w:val="0"/>
              <w:marBottom w:val="0"/>
              <w:divBdr>
                <w:top w:val="none" w:sz="0" w:space="0" w:color="auto"/>
                <w:left w:val="none" w:sz="0" w:space="0" w:color="auto"/>
                <w:bottom w:val="none" w:sz="0" w:space="0" w:color="auto"/>
                <w:right w:val="none" w:sz="0" w:space="0" w:color="auto"/>
              </w:divBdr>
            </w:div>
            <w:div w:id="1158423184">
              <w:marLeft w:val="0"/>
              <w:marRight w:val="0"/>
              <w:marTop w:val="0"/>
              <w:marBottom w:val="0"/>
              <w:divBdr>
                <w:top w:val="none" w:sz="0" w:space="0" w:color="auto"/>
                <w:left w:val="none" w:sz="0" w:space="0" w:color="auto"/>
                <w:bottom w:val="none" w:sz="0" w:space="0" w:color="auto"/>
                <w:right w:val="none" w:sz="0" w:space="0" w:color="auto"/>
              </w:divBdr>
            </w:div>
            <w:div w:id="1954551606">
              <w:marLeft w:val="0"/>
              <w:marRight w:val="0"/>
              <w:marTop w:val="0"/>
              <w:marBottom w:val="0"/>
              <w:divBdr>
                <w:top w:val="none" w:sz="0" w:space="0" w:color="auto"/>
                <w:left w:val="none" w:sz="0" w:space="0" w:color="auto"/>
                <w:bottom w:val="none" w:sz="0" w:space="0" w:color="auto"/>
                <w:right w:val="none" w:sz="0" w:space="0" w:color="auto"/>
              </w:divBdr>
            </w:div>
            <w:div w:id="6955710">
              <w:marLeft w:val="0"/>
              <w:marRight w:val="0"/>
              <w:marTop w:val="0"/>
              <w:marBottom w:val="0"/>
              <w:divBdr>
                <w:top w:val="none" w:sz="0" w:space="0" w:color="auto"/>
                <w:left w:val="none" w:sz="0" w:space="0" w:color="auto"/>
                <w:bottom w:val="none" w:sz="0" w:space="0" w:color="auto"/>
                <w:right w:val="none" w:sz="0" w:space="0" w:color="auto"/>
              </w:divBdr>
            </w:div>
            <w:div w:id="2002461232">
              <w:marLeft w:val="0"/>
              <w:marRight w:val="0"/>
              <w:marTop w:val="0"/>
              <w:marBottom w:val="0"/>
              <w:divBdr>
                <w:top w:val="none" w:sz="0" w:space="0" w:color="auto"/>
                <w:left w:val="none" w:sz="0" w:space="0" w:color="auto"/>
                <w:bottom w:val="none" w:sz="0" w:space="0" w:color="auto"/>
                <w:right w:val="none" w:sz="0" w:space="0" w:color="auto"/>
              </w:divBdr>
            </w:div>
            <w:div w:id="384986515">
              <w:marLeft w:val="0"/>
              <w:marRight w:val="0"/>
              <w:marTop w:val="0"/>
              <w:marBottom w:val="0"/>
              <w:divBdr>
                <w:top w:val="none" w:sz="0" w:space="0" w:color="auto"/>
                <w:left w:val="none" w:sz="0" w:space="0" w:color="auto"/>
                <w:bottom w:val="none" w:sz="0" w:space="0" w:color="auto"/>
                <w:right w:val="none" w:sz="0" w:space="0" w:color="auto"/>
              </w:divBdr>
            </w:div>
            <w:div w:id="1384137785">
              <w:marLeft w:val="0"/>
              <w:marRight w:val="0"/>
              <w:marTop w:val="0"/>
              <w:marBottom w:val="0"/>
              <w:divBdr>
                <w:top w:val="none" w:sz="0" w:space="0" w:color="auto"/>
                <w:left w:val="none" w:sz="0" w:space="0" w:color="auto"/>
                <w:bottom w:val="none" w:sz="0" w:space="0" w:color="auto"/>
                <w:right w:val="none" w:sz="0" w:space="0" w:color="auto"/>
              </w:divBdr>
            </w:div>
            <w:div w:id="1377778781">
              <w:marLeft w:val="0"/>
              <w:marRight w:val="0"/>
              <w:marTop w:val="0"/>
              <w:marBottom w:val="0"/>
              <w:divBdr>
                <w:top w:val="none" w:sz="0" w:space="0" w:color="auto"/>
                <w:left w:val="none" w:sz="0" w:space="0" w:color="auto"/>
                <w:bottom w:val="none" w:sz="0" w:space="0" w:color="auto"/>
                <w:right w:val="none" w:sz="0" w:space="0" w:color="auto"/>
              </w:divBdr>
            </w:div>
            <w:div w:id="1171680207">
              <w:marLeft w:val="0"/>
              <w:marRight w:val="0"/>
              <w:marTop w:val="0"/>
              <w:marBottom w:val="0"/>
              <w:divBdr>
                <w:top w:val="none" w:sz="0" w:space="0" w:color="auto"/>
                <w:left w:val="none" w:sz="0" w:space="0" w:color="auto"/>
                <w:bottom w:val="none" w:sz="0" w:space="0" w:color="auto"/>
                <w:right w:val="none" w:sz="0" w:space="0" w:color="auto"/>
              </w:divBdr>
            </w:div>
            <w:div w:id="437337333">
              <w:marLeft w:val="0"/>
              <w:marRight w:val="0"/>
              <w:marTop w:val="0"/>
              <w:marBottom w:val="0"/>
              <w:divBdr>
                <w:top w:val="none" w:sz="0" w:space="0" w:color="auto"/>
                <w:left w:val="none" w:sz="0" w:space="0" w:color="auto"/>
                <w:bottom w:val="none" w:sz="0" w:space="0" w:color="auto"/>
                <w:right w:val="none" w:sz="0" w:space="0" w:color="auto"/>
              </w:divBdr>
            </w:div>
            <w:div w:id="776097807">
              <w:marLeft w:val="0"/>
              <w:marRight w:val="0"/>
              <w:marTop w:val="0"/>
              <w:marBottom w:val="0"/>
              <w:divBdr>
                <w:top w:val="none" w:sz="0" w:space="0" w:color="auto"/>
                <w:left w:val="none" w:sz="0" w:space="0" w:color="auto"/>
                <w:bottom w:val="none" w:sz="0" w:space="0" w:color="auto"/>
                <w:right w:val="none" w:sz="0" w:space="0" w:color="auto"/>
              </w:divBdr>
            </w:div>
            <w:div w:id="1846633174">
              <w:marLeft w:val="0"/>
              <w:marRight w:val="0"/>
              <w:marTop w:val="0"/>
              <w:marBottom w:val="0"/>
              <w:divBdr>
                <w:top w:val="none" w:sz="0" w:space="0" w:color="auto"/>
                <w:left w:val="none" w:sz="0" w:space="0" w:color="auto"/>
                <w:bottom w:val="none" w:sz="0" w:space="0" w:color="auto"/>
                <w:right w:val="none" w:sz="0" w:space="0" w:color="auto"/>
              </w:divBdr>
            </w:div>
            <w:div w:id="1523786828">
              <w:marLeft w:val="0"/>
              <w:marRight w:val="0"/>
              <w:marTop w:val="0"/>
              <w:marBottom w:val="0"/>
              <w:divBdr>
                <w:top w:val="none" w:sz="0" w:space="0" w:color="auto"/>
                <w:left w:val="none" w:sz="0" w:space="0" w:color="auto"/>
                <w:bottom w:val="none" w:sz="0" w:space="0" w:color="auto"/>
                <w:right w:val="none" w:sz="0" w:space="0" w:color="auto"/>
              </w:divBdr>
            </w:div>
            <w:div w:id="96020758">
              <w:marLeft w:val="0"/>
              <w:marRight w:val="0"/>
              <w:marTop w:val="0"/>
              <w:marBottom w:val="0"/>
              <w:divBdr>
                <w:top w:val="none" w:sz="0" w:space="0" w:color="auto"/>
                <w:left w:val="none" w:sz="0" w:space="0" w:color="auto"/>
                <w:bottom w:val="none" w:sz="0" w:space="0" w:color="auto"/>
                <w:right w:val="none" w:sz="0" w:space="0" w:color="auto"/>
              </w:divBdr>
            </w:div>
            <w:div w:id="1396195545">
              <w:marLeft w:val="0"/>
              <w:marRight w:val="0"/>
              <w:marTop w:val="0"/>
              <w:marBottom w:val="0"/>
              <w:divBdr>
                <w:top w:val="none" w:sz="0" w:space="0" w:color="auto"/>
                <w:left w:val="none" w:sz="0" w:space="0" w:color="auto"/>
                <w:bottom w:val="none" w:sz="0" w:space="0" w:color="auto"/>
                <w:right w:val="none" w:sz="0" w:space="0" w:color="auto"/>
              </w:divBdr>
            </w:div>
            <w:div w:id="1460147924">
              <w:marLeft w:val="0"/>
              <w:marRight w:val="0"/>
              <w:marTop w:val="0"/>
              <w:marBottom w:val="0"/>
              <w:divBdr>
                <w:top w:val="none" w:sz="0" w:space="0" w:color="auto"/>
                <w:left w:val="none" w:sz="0" w:space="0" w:color="auto"/>
                <w:bottom w:val="none" w:sz="0" w:space="0" w:color="auto"/>
                <w:right w:val="none" w:sz="0" w:space="0" w:color="auto"/>
              </w:divBdr>
            </w:div>
            <w:div w:id="1194920395">
              <w:marLeft w:val="0"/>
              <w:marRight w:val="0"/>
              <w:marTop w:val="0"/>
              <w:marBottom w:val="0"/>
              <w:divBdr>
                <w:top w:val="none" w:sz="0" w:space="0" w:color="auto"/>
                <w:left w:val="none" w:sz="0" w:space="0" w:color="auto"/>
                <w:bottom w:val="none" w:sz="0" w:space="0" w:color="auto"/>
                <w:right w:val="none" w:sz="0" w:space="0" w:color="auto"/>
              </w:divBdr>
            </w:div>
            <w:div w:id="1018845762">
              <w:marLeft w:val="0"/>
              <w:marRight w:val="0"/>
              <w:marTop w:val="0"/>
              <w:marBottom w:val="0"/>
              <w:divBdr>
                <w:top w:val="none" w:sz="0" w:space="0" w:color="auto"/>
                <w:left w:val="none" w:sz="0" w:space="0" w:color="auto"/>
                <w:bottom w:val="none" w:sz="0" w:space="0" w:color="auto"/>
                <w:right w:val="none" w:sz="0" w:space="0" w:color="auto"/>
              </w:divBdr>
            </w:div>
            <w:div w:id="738407854">
              <w:marLeft w:val="0"/>
              <w:marRight w:val="0"/>
              <w:marTop w:val="0"/>
              <w:marBottom w:val="0"/>
              <w:divBdr>
                <w:top w:val="none" w:sz="0" w:space="0" w:color="auto"/>
                <w:left w:val="none" w:sz="0" w:space="0" w:color="auto"/>
                <w:bottom w:val="none" w:sz="0" w:space="0" w:color="auto"/>
                <w:right w:val="none" w:sz="0" w:space="0" w:color="auto"/>
              </w:divBdr>
            </w:div>
            <w:div w:id="1758481249">
              <w:marLeft w:val="0"/>
              <w:marRight w:val="0"/>
              <w:marTop w:val="0"/>
              <w:marBottom w:val="0"/>
              <w:divBdr>
                <w:top w:val="none" w:sz="0" w:space="0" w:color="auto"/>
                <w:left w:val="none" w:sz="0" w:space="0" w:color="auto"/>
                <w:bottom w:val="none" w:sz="0" w:space="0" w:color="auto"/>
                <w:right w:val="none" w:sz="0" w:space="0" w:color="auto"/>
              </w:divBdr>
            </w:div>
            <w:div w:id="1824850468">
              <w:marLeft w:val="0"/>
              <w:marRight w:val="0"/>
              <w:marTop w:val="0"/>
              <w:marBottom w:val="0"/>
              <w:divBdr>
                <w:top w:val="none" w:sz="0" w:space="0" w:color="auto"/>
                <w:left w:val="none" w:sz="0" w:space="0" w:color="auto"/>
                <w:bottom w:val="none" w:sz="0" w:space="0" w:color="auto"/>
                <w:right w:val="none" w:sz="0" w:space="0" w:color="auto"/>
              </w:divBdr>
            </w:div>
            <w:div w:id="611014341">
              <w:marLeft w:val="0"/>
              <w:marRight w:val="0"/>
              <w:marTop w:val="0"/>
              <w:marBottom w:val="0"/>
              <w:divBdr>
                <w:top w:val="none" w:sz="0" w:space="0" w:color="auto"/>
                <w:left w:val="none" w:sz="0" w:space="0" w:color="auto"/>
                <w:bottom w:val="none" w:sz="0" w:space="0" w:color="auto"/>
                <w:right w:val="none" w:sz="0" w:space="0" w:color="auto"/>
              </w:divBdr>
            </w:div>
            <w:div w:id="1784885477">
              <w:marLeft w:val="0"/>
              <w:marRight w:val="0"/>
              <w:marTop w:val="0"/>
              <w:marBottom w:val="0"/>
              <w:divBdr>
                <w:top w:val="none" w:sz="0" w:space="0" w:color="auto"/>
                <w:left w:val="none" w:sz="0" w:space="0" w:color="auto"/>
                <w:bottom w:val="none" w:sz="0" w:space="0" w:color="auto"/>
                <w:right w:val="none" w:sz="0" w:space="0" w:color="auto"/>
              </w:divBdr>
            </w:div>
            <w:div w:id="1405952234">
              <w:marLeft w:val="0"/>
              <w:marRight w:val="0"/>
              <w:marTop w:val="0"/>
              <w:marBottom w:val="0"/>
              <w:divBdr>
                <w:top w:val="none" w:sz="0" w:space="0" w:color="auto"/>
                <w:left w:val="none" w:sz="0" w:space="0" w:color="auto"/>
                <w:bottom w:val="none" w:sz="0" w:space="0" w:color="auto"/>
                <w:right w:val="none" w:sz="0" w:space="0" w:color="auto"/>
              </w:divBdr>
            </w:div>
            <w:div w:id="1202980074">
              <w:marLeft w:val="0"/>
              <w:marRight w:val="0"/>
              <w:marTop w:val="0"/>
              <w:marBottom w:val="0"/>
              <w:divBdr>
                <w:top w:val="none" w:sz="0" w:space="0" w:color="auto"/>
                <w:left w:val="none" w:sz="0" w:space="0" w:color="auto"/>
                <w:bottom w:val="none" w:sz="0" w:space="0" w:color="auto"/>
                <w:right w:val="none" w:sz="0" w:space="0" w:color="auto"/>
              </w:divBdr>
            </w:div>
            <w:div w:id="788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1092">
      <w:bodyDiv w:val="1"/>
      <w:marLeft w:val="0"/>
      <w:marRight w:val="0"/>
      <w:marTop w:val="0"/>
      <w:marBottom w:val="0"/>
      <w:divBdr>
        <w:top w:val="none" w:sz="0" w:space="0" w:color="auto"/>
        <w:left w:val="none" w:sz="0" w:space="0" w:color="auto"/>
        <w:bottom w:val="none" w:sz="0" w:space="0" w:color="auto"/>
        <w:right w:val="none" w:sz="0" w:space="0" w:color="auto"/>
      </w:divBdr>
    </w:div>
    <w:div w:id="19542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63" TargetMode="External"/><Relationship Id="rId18" Type="http://schemas.openxmlformats.org/officeDocument/2006/relationships/hyperlink" Target="https://www.ceta.org.co/html/vista_de_un_articulo.asp?Norma=920" TargetMode="External"/><Relationship Id="rId26" Type="http://schemas.openxmlformats.org/officeDocument/2006/relationships/hyperlink" Target="https://www.ceta.org.co/html/vista_de_un_articulo.asp?Norma=94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4" TargetMode="External"/><Relationship Id="rId34" Type="http://schemas.openxmlformats.org/officeDocument/2006/relationships/theme" Target="theme/theme1.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919" TargetMode="External"/><Relationship Id="rId25" Type="http://schemas.openxmlformats.org/officeDocument/2006/relationships/hyperlink" Target="https://www.ceta.org.co/html/vista_de_un_articulo.asp?Norma=94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851" TargetMode="External"/><Relationship Id="rId20" Type="http://schemas.openxmlformats.org/officeDocument/2006/relationships/hyperlink" Target="https://www.ceta.org.co/html/vista_de_un_articulo.asp?Norma=360" TargetMode="External"/><Relationship Id="rId29"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54" TargetMode="External"/><Relationship Id="rId24" Type="http://schemas.openxmlformats.org/officeDocument/2006/relationships/hyperlink" Target="https://www.ceta.org.co/html/vista_de_un_articulo.asp?Norma=939" TargetMode="External"/><Relationship Id="rId32" Type="http://schemas.openxmlformats.org/officeDocument/2006/relationships/hyperlink" Target="https://www.ceta.org.co/html/vista_de_un_articulo.asp?Norma=804"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923" TargetMode="External"/><Relationship Id="rId23" Type="http://schemas.openxmlformats.org/officeDocument/2006/relationships/hyperlink" Target="https://www.ceta.org.co/html/vista_de_un_articulo.asp?Norma=943" TargetMode="External"/><Relationship Id="rId28" Type="http://schemas.openxmlformats.org/officeDocument/2006/relationships/hyperlink" Target="https://www.ceta.org.co/html/vista_de_un_articulo.asp?Norma=943" TargetMode="External"/><Relationship Id="rId10" Type="http://schemas.openxmlformats.org/officeDocument/2006/relationships/hyperlink" Target="https://www.ceta.org.co/html/vista_de_un_articulo.asp?Norma=943" TargetMode="External"/><Relationship Id="rId19" Type="http://schemas.openxmlformats.org/officeDocument/2006/relationships/hyperlink" Target="https://www.ceta.org.co/html/vista_de_un_articulo.asp?Norma=921" TargetMode="External"/><Relationship Id="rId31" Type="http://schemas.openxmlformats.org/officeDocument/2006/relationships/hyperlink" Target="https://www.ceta.org.co/html/vista_de_un_articulo.asp?Norma=795" TargetMode="External"/><Relationship Id="rId4" Type="http://schemas.openxmlformats.org/officeDocument/2006/relationships/hyperlink" Target="https://www.ceta.org.co/html/vista_de_un_articulo.asp?Norma=360" TargetMode="External"/><Relationship Id="rId9" Type="http://schemas.openxmlformats.org/officeDocument/2006/relationships/hyperlink" Target="https://www.ceta.org.co/html/vista_de_un_articulo.asp?Norma=921" TargetMode="External"/><Relationship Id="rId14" Type="http://schemas.openxmlformats.org/officeDocument/2006/relationships/hyperlink" Target="https://www.ceta.org.co/html/vista_de_un_articulo.asp?Norma=965" TargetMode="External"/><Relationship Id="rId22" Type="http://schemas.openxmlformats.org/officeDocument/2006/relationships/hyperlink" Target="https://www.ceta.org.co/html/vista_de_un_articulo.asp?Norma=939" TargetMode="External"/><Relationship Id="rId27" Type="http://schemas.openxmlformats.org/officeDocument/2006/relationships/hyperlink" Target="https://www.ceta.org.co/html/vista_de_un_articulo.asp?Norma=56" TargetMode="External"/><Relationship Id="rId30" Type="http://schemas.openxmlformats.org/officeDocument/2006/relationships/hyperlink" Target="https://www.ceta.org.co/html/vista_de_un_articulo.asp?Norma=804" TargetMode="External"/><Relationship Id="rId8" Type="http://schemas.openxmlformats.org/officeDocument/2006/relationships/hyperlink" Target="https://www.ceta.org.co/html/vista_de_un_articulo.asp?Norma=9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6640</Words>
  <Characters>36520</Characters>
  <Application>Microsoft Office Word</Application>
  <DocSecurity>0</DocSecurity>
  <Lines>304</Lines>
  <Paragraphs>86</Paragraphs>
  <ScaleCrop>false</ScaleCrop>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cp:lastPrinted>2021-04-30T21:30:00Z</cp:lastPrinted>
  <dcterms:created xsi:type="dcterms:W3CDTF">2021-04-13T00:58:00Z</dcterms:created>
  <dcterms:modified xsi:type="dcterms:W3CDTF">2021-04-30T21:31:00Z</dcterms:modified>
</cp:coreProperties>
</file>