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E7797" w14:textId="77777777" w:rsidR="00C87A23" w:rsidRPr="004C7417" w:rsidRDefault="00C87A23" w:rsidP="00C87A23">
      <w:pPr>
        <w:jc w:val="center"/>
        <w:rPr>
          <w:rFonts w:ascii="Arial" w:eastAsia="Times New Roman" w:hAnsi="Arial" w:cs="Arial"/>
          <w:szCs w:val="24"/>
          <w:lang w:eastAsia="es-ES"/>
        </w:rPr>
      </w:pPr>
      <w:r w:rsidRPr="004C7417">
        <w:rPr>
          <w:rFonts w:ascii="Arial" w:eastAsia="Times New Roman" w:hAnsi="Arial" w:cs="Arial"/>
          <w:b/>
          <w:bCs/>
          <w:szCs w:val="24"/>
          <w:lang w:val="es-CO" w:eastAsia="es-ES"/>
        </w:rPr>
        <w:t xml:space="preserve">RESOLUCIÓN </w:t>
      </w:r>
      <w:proofErr w:type="spellStart"/>
      <w:r w:rsidRPr="004C7417">
        <w:rPr>
          <w:rFonts w:ascii="Arial" w:eastAsia="Times New Roman" w:hAnsi="Arial" w:cs="Arial"/>
          <w:b/>
          <w:bCs/>
          <w:szCs w:val="24"/>
          <w:lang w:val="es-CO" w:eastAsia="es-ES"/>
        </w:rPr>
        <w:t>Nº</w:t>
      </w:r>
      <w:proofErr w:type="spellEnd"/>
      <w:r w:rsidRPr="004C7417">
        <w:rPr>
          <w:rFonts w:ascii="Arial" w:eastAsia="Times New Roman" w:hAnsi="Arial" w:cs="Arial"/>
          <w:b/>
          <w:bCs/>
          <w:szCs w:val="24"/>
          <w:lang w:val="es-CO" w:eastAsia="es-ES"/>
        </w:rPr>
        <w:t xml:space="preserve"> 000008</w:t>
      </w:r>
    </w:p>
    <w:p w14:paraId="054EA52D" w14:textId="77777777" w:rsidR="00C87A23" w:rsidRPr="004C7417" w:rsidRDefault="00C87A23" w:rsidP="00C87A23">
      <w:pPr>
        <w:jc w:val="center"/>
        <w:rPr>
          <w:rFonts w:ascii="Arial" w:eastAsia="Times New Roman" w:hAnsi="Arial" w:cs="Arial"/>
          <w:szCs w:val="24"/>
          <w:lang w:eastAsia="es-ES"/>
        </w:rPr>
      </w:pPr>
      <w:r w:rsidRPr="004C7417">
        <w:rPr>
          <w:rFonts w:ascii="Arial" w:eastAsia="Times New Roman" w:hAnsi="Arial" w:cs="Arial"/>
          <w:b/>
          <w:bCs/>
          <w:szCs w:val="24"/>
          <w:lang w:val="es-CO" w:eastAsia="es-ES"/>
        </w:rPr>
        <w:t>31-01-2020</w:t>
      </w:r>
    </w:p>
    <w:p w14:paraId="24E71E3A" w14:textId="672533A9" w:rsidR="00C87A23" w:rsidRPr="004C7417" w:rsidRDefault="00C87A23" w:rsidP="00445FCA">
      <w:pPr>
        <w:jc w:val="center"/>
        <w:rPr>
          <w:rFonts w:ascii="Arial" w:eastAsia="Times New Roman" w:hAnsi="Arial" w:cs="Arial"/>
          <w:szCs w:val="24"/>
          <w:lang w:eastAsia="es-ES"/>
        </w:rPr>
      </w:pPr>
      <w:r w:rsidRPr="004C7417">
        <w:rPr>
          <w:rFonts w:ascii="Arial" w:eastAsia="Times New Roman" w:hAnsi="Arial" w:cs="Arial"/>
          <w:b/>
          <w:bCs/>
          <w:szCs w:val="24"/>
          <w:lang w:val="es-CO" w:eastAsia="es-ES"/>
        </w:rPr>
        <w:t>DIAN</w:t>
      </w:r>
      <w:r w:rsidRPr="004C7417">
        <w:rPr>
          <w:rFonts w:ascii="Arial" w:eastAsia="Times New Roman" w:hAnsi="Arial" w:cs="Arial"/>
          <w:szCs w:val="24"/>
          <w:lang w:eastAsia="es-ES"/>
        </w:rPr>
        <w:t> </w:t>
      </w:r>
    </w:p>
    <w:p w14:paraId="517F5D21" w14:textId="77777777" w:rsidR="00C87A23" w:rsidRPr="004C7417" w:rsidRDefault="00C87A23" w:rsidP="00C87A23">
      <w:pPr>
        <w:jc w:val="center"/>
        <w:rPr>
          <w:rFonts w:ascii="Arial" w:eastAsia="Times New Roman" w:hAnsi="Arial" w:cs="Arial"/>
          <w:szCs w:val="24"/>
          <w:lang w:eastAsia="es-ES"/>
        </w:rPr>
      </w:pPr>
      <w:r w:rsidRPr="004C7417">
        <w:rPr>
          <w:rFonts w:ascii="Arial" w:eastAsia="Times New Roman" w:hAnsi="Arial" w:cs="Arial"/>
          <w:szCs w:val="24"/>
          <w:lang w:eastAsia="es-ES"/>
        </w:rPr>
        <w:t> </w:t>
      </w:r>
    </w:p>
    <w:p w14:paraId="1E248E76" w14:textId="77777777" w:rsidR="00C87A23" w:rsidRPr="004C7417" w:rsidRDefault="00C87A23" w:rsidP="00C87A23">
      <w:pPr>
        <w:jc w:val="center"/>
        <w:rPr>
          <w:rFonts w:ascii="Arial" w:eastAsia="Times New Roman" w:hAnsi="Arial" w:cs="Arial"/>
          <w:szCs w:val="24"/>
          <w:lang w:eastAsia="es-ES"/>
        </w:rPr>
      </w:pPr>
      <w:r w:rsidRPr="004C7417">
        <w:rPr>
          <w:rFonts w:ascii="Arial" w:eastAsia="Times New Roman" w:hAnsi="Arial" w:cs="Arial"/>
          <w:b/>
          <w:bCs/>
          <w:szCs w:val="24"/>
          <w:lang w:val="es-CO" w:eastAsia="es-ES"/>
        </w:rPr>
        <w:t>RESUELVE:</w:t>
      </w:r>
    </w:p>
    <w:p w14:paraId="6E79FBC7" w14:textId="08F06294" w:rsidR="00C87A23" w:rsidRPr="004C7417" w:rsidRDefault="00C87A23" w:rsidP="00445FCA">
      <w:pPr>
        <w:jc w:val="both"/>
        <w:rPr>
          <w:rFonts w:ascii="Arial" w:eastAsia="Times New Roman" w:hAnsi="Arial" w:cs="Arial"/>
          <w:szCs w:val="24"/>
          <w:lang w:eastAsia="es-ES"/>
        </w:rPr>
      </w:pPr>
    </w:p>
    <w:p w14:paraId="79827BD7" w14:textId="606591F6" w:rsidR="00C87A23" w:rsidRPr="00912C27" w:rsidRDefault="00C87A23" w:rsidP="00912C27">
      <w:pPr>
        <w:jc w:val="both"/>
        <w:rPr>
          <w:rFonts w:ascii="Arial" w:eastAsia="Times New Roman" w:hAnsi="Arial" w:cs="Arial"/>
          <w:szCs w:val="24"/>
          <w:lang w:eastAsia="es-ES"/>
        </w:rPr>
      </w:pPr>
      <w:r w:rsidRPr="004C7417">
        <w:rPr>
          <w:rFonts w:ascii="Arial" w:eastAsia="Times New Roman" w:hAnsi="Arial" w:cs="Arial"/>
          <w:szCs w:val="24"/>
          <w:lang w:eastAsia="es-ES"/>
        </w:rPr>
        <w:t> </w:t>
      </w:r>
      <w:r w:rsidRPr="004C7417">
        <w:rPr>
          <w:rFonts w:ascii="Arial" w:eastAsia="Times New Roman" w:hAnsi="Arial" w:cs="Arial"/>
          <w:szCs w:val="24"/>
          <w:lang w:val="es-CO" w:eastAsia="es-ES"/>
        </w:rPr>
        <w:t> </w:t>
      </w:r>
    </w:p>
    <w:p w14:paraId="1DD5DD92" w14:textId="77777777" w:rsidR="00C87A23" w:rsidRPr="004C7417" w:rsidRDefault="00C87A23" w:rsidP="00C87A23">
      <w:pPr>
        <w:jc w:val="both"/>
        <w:rPr>
          <w:rFonts w:ascii="Arial" w:eastAsia="Times New Roman" w:hAnsi="Arial" w:cs="Arial"/>
          <w:szCs w:val="24"/>
          <w:lang w:val="es-CO" w:eastAsia="es-ES"/>
        </w:rPr>
      </w:pPr>
      <w:r w:rsidRPr="004C7417">
        <w:rPr>
          <w:rFonts w:ascii="Arial" w:eastAsia="Times New Roman" w:hAnsi="Arial" w:cs="Arial"/>
          <w:b/>
          <w:bCs/>
          <w:szCs w:val="24"/>
          <w:lang w:val="es-CO" w:eastAsia="es-ES"/>
        </w:rPr>
        <w:t>Artículo 16.</w:t>
      </w:r>
      <w:r w:rsidRPr="004C7417">
        <w:rPr>
          <w:rFonts w:ascii="Arial" w:eastAsia="Times New Roman" w:hAnsi="Arial" w:cs="Arial"/>
          <w:szCs w:val="24"/>
          <w:lang w:val="es-CO" w:eastAsia="es-ES"/>
        </w:rPr>
        <w:t> </w:t>
      </w:r>
      <w:r w:rsidRPr="00912C27">
        <w:rPr>
          <w:rFonts w:ascii="Arial" w:eastAsia="Times New Roman" w:hAnsi="Arial" w:cs="Arial"/>
          <w:b/>
          <w:bCs/>
          <w:szCs w:val="24"/>
          <w:lang w:val="es-CO" w:eastAsia="es-ES"/>
        </w:rPr>
        <w:t>Reemplazar el Anexo 4 de la Resolución 011004 del 29 de octubre de 2018,</w:t>
      </w:r>
      <w:r w:rsidRPr="004C7417">
        <w:rPr>
          <w:rFonts w:ascii="Arial" w:eastAsia="Times New Roman" w:hAnsi="Arial" w:cs="Arial"/>
          <w:szCs w:val="24"/>
          <w:lang w:val="es-CO" w:eastAsia="es-ES"/>
        </w:rPr>
        <w:t xml:space="preserve"> que corresponde a las especificaciones técnicas de la </w:t>
      </w:r>
      <w:r w:rsidRPr="00912C27">
        <w:rPr>
          <w:rFonts w:ascii="Arial" w:eastAsia="Times New Roman" w:hAnsi="Arial" w:cs="Arial"/>
          <w:b/>
          <w:bCs/>
          <w:szCs w:val="24"/>
          <w:lang w:val="es-CO" w:eastAsia="es-ES"/>
        </w:rPr>
        <w:t>información de depósitos de títulos valores y rendimientos o dividendos cancelados</w:t>
      </w:r>
      <w:r w:rsidRPr="004C7417">
        <w:rPr>
          <w:rFonts w:ascii="Arial" w:eastAsia="Times New Roman" w:hAnsi="Arial" w:cs="Arial"/>
          <w:szCs w:val="24"/>
          <w:lang w:val="es-CO" w:eastAsia="es-ES"/>
        </w:rPr>
        <w:t xml:space="preserve">, Formato 2273, Versión 2, </w:t>
      </w:r>
      <w:r w:rsidRPr="00E66D13">
        <w:rPr>
          <w:rFonts w:ascii="Arial" w:eastAsia="Times New Roman" w:hAnsi="Arial" w:cs="Arial"/>
          <w:szCs w:val="24"/>
          <w:highlight w:val="green"/>
          <w:lang w:val="es-CO" w:eastAsia="es-ES"/>
        </w:rPr>
        <w:t>por el Anexo 1 de la presente, resolución.</w:t>
      </w:r>
    </w:p>
    <w:p w14:paraId="30A1E442" w14:textId="77777777" w:rsidR="00C87A23" w:rsidRPr="004C7417" w:rsidRDefault="00C87A23" w:rsidP="00C87A23">
      <w:pPr>
        <w:jc w:val="both"/>
        <w:rPr>
          <w:rFonts w:ascii="Arial" w:eastAsia="Times New Roman" w:hAnsi="Arial" w:cs="Arial"/>
          <w:szCs w:val="24"/>
          <w:lang w:val="es-CO" w:eastAsia="es-ES"/>
        </w:rPr>
      </w:pPr>
      <w:r w:rsidRPr="004C7417">
        <w:rPr>
          <w:rFonts w:ascii="Arial" w:eastAsia="Times New Roman" w:hAnsi="Arial" w:cs="Arial"/>
          <w:szCs w:val="24"/>
          <w:lang w:val="es-CO" w:eastAsia="es-ES"/>
        </w:rPr>
        <w:t> </w:t>
      </w:r>
    </w:p>
    <w:p w14:paraId="4DBE96FC" w14:textId="77777777" w:rsidR="00C87A23" w:rsidRPr="004C7417" w:rsidRDefault="00C87A23" w:rsidP="00C87A23">
      <w:pPr>
        <w:jc w:val="both"/>
        <w:rPr>
          <w:rFonts w:ascii="Arial" w:eastAsia="Times New Roman" w:hAnsi="Arial" w:cs="Arial"/>
          <w:szCs w:val="24"/>
          <w:lang w:val="es-CO" w:eastAsia="es-ES"/>
        </w:rPr>
      </w:pPr>
      <w:r w:rsidRPr="004C7417">
        <w:rPr>
          <w:rFonts w:ascii="Arial" w:eastAsia="Times New Roman" w:hAnsi="Arial" w:cs="Arial"/>
          <w:b/>
          <w:bCs/>
          <w:szCs w:val="24"/>
          <w:lang w:val="es-CO" w:eastAsia="es-ES"/>
        </w:rPr>
        <w:t>Artículo 17.</w:t>
      </w:r>
      <w:r w:rsidRPr="004C7417">
        <w:rPr>
          <w:rFonts w:ascii="Arial" w:eastAsia="Times New Roman" w:hAnsi="Arial" w:cs="Arial"/>
          <w:szCs w:val="24"/>
          <w:lang w:val="es-CO" w:eastAsia="es-ES"/>
        </w:rPr>
        <w:t> </w:t>
      </w:r>
      <w:r w:rsidRPr="00912C27">
        <w:rPr>
          <w:rFonts w:ascii="Arial" w:eastAsia="Times New Roman" w:hAnsi="Arial" w:cs="Arial"/>
          <w:b/>
          <w:bCs/>
          <w:szCs w:val="24"/>
          <w:lang w:val="es-CO" w:eastAsia="es-ES"/>
        </w:rPr>
        <w:t>Reemplazar el Anexo 34 de la Resolución 011004 del 29 de octubre de 2018</w:t>
      </w:r>
      <w:r w:rsidRPr="004C7417">
        <w:rPr>
          <w:rFonts w:ascii="Arial" w:eastAsia="Times New Roman" w:hAnsi="Arial" w:cs="Arial"/>
          <w:szCs w:val="24"/>
          <w:lang w:val="es-CO" w:eastAsia="es-ES"/>
        </w:rPr>
        <w:t xml:space="preserve">, que corresponde a las especificaciones técnicas de la información de </w:t>
      </w:r>
      <w:r w:rsidRPr="00912C27">
        <w:rPr>
          <w:rFonts w:ascii="Arial" w:eastAsia="Times New Roman" w:hAnsi="Arial" w:cs="Arial"/>
          <w:b/>
          <w:bCs/>
          <w:szCs w:val="24"/>
          <w:lang w:val="es-CO" w:eastAsia="es-ES"/>
        </w:rPr>
        <w:t xml:space="preserve">Entidades subordinadas o controladas nacionales, </w:t>
      </w:r>
      <w:r w:rsidRPr="004C7417">
        <w:rPr>
          <w:rFonts w:ascii="Arial" w:eastAsia="Times New Roman" w:hAnsi="Arial" w:cs="Arial"/>
          <w:szCs w:val="24"/>
          <w:lang w:val="es-CO" w:eastAsia="es-ES"/>
        </w:rPr>
        <w:t xml:space="preserve">Formato 1035, Versión 7, </w:t>
      </w:r>
      <w:r w:rsidRPr="00E66D13">
        <w:rPr>
          <w:rFonts w:ascii="Arial" w:eastAsia="Times New Roman" w:hAnsi="Arial" w:cs="Arial"/>
          <w:szCs w:val="24"/>
          <w:highlight w:val="green"/>
          <w:lang w:val="es-CO" w:eastAsia="es-ES"/>
        </w:rPr>
        <w:t>por el Anexo 2 de la presente, resolución.</w:t>
      </w:r>
    </w:p>
    <w:p w14:paraId="23B327AD" w14:textId="77777777" w:rsidR="00C87A23" w:rsidRPr="004C7417" w:rsidRDefault="00C87A23" w:rsidP="00C87A23">
      <w:pPr>
        <w:jc w:val="both"/>
        <w:rPr>
          <w:rFonts w:ascii="Arial" w:eastAsia="Times New Roman" w:hAnsi="Arial" w:cs="Arial"/>
          <w:szCs w:val="24"/>
          <w:lang w:val="es-CO" w:eastAsia="es-ES"/>
        </w:rPr>
      </w:pPr>
      <w:r w:rsidRPr="004C7417">
        <w:rPr>
          <w:rFonts w:ascii="Arial" w:eastAsia="Times New Roman" w:hAnsi="Arial" w:cs="Arial"/>
          <w:szCs w:val="24"/>
          <w:lang w:val="es-CO" w:eastAsia="es-ES"/>
        </w:rPr>
        <w:t> </w:t>
      </w:r>
    </w:p>
    <w:p w14:paraId="2B05E16E" w14:textId="77777777" w:rsidR="00C87A23" w:rsidRPr="004C7417" w:rsidRDefault="00C87A23" w:rsidP="00C87A23">
      <w:pPr>
        <w:jc w:val="both"/>
        <w:rPr>
          <w:rFonts w:ascii="Arial" w:eastAsia="Times New Roman" w:hAnsi="Arial" w:cs="Arial"/>
          <w:szCs w:val="24"/>
          <w:lang w:val="es-CO" w:eastAsia="es-ES"/>
        </w:rPr>
      </w:pPr>
      <w:r w:rsidRPr="004C7417">
        <w:rPr>
          <w:rFonts w:ascii="Arial" w:eastAsia="Times New Roman" w:hAnsi="Arial" w:cs="Arial"/>
          <w:b/>
          <w:bCs/>
          <w:szCs w:val="24"/>
          <w:lang w:val="es-CO" w:eastAsia="es-ES"/>
        </w:rPr>
        <w:t>Artículo 18.</w:t>
      </w:r>
      <w:r w:rsidRPr="004C7417">
        <w:rPr>
          <w:rFonts w:ascii="Arial" w:eastAsia="Times New Roman" w:hAnsi="Arial" w:cs="Arial"/>
          <w:szCs w:val="24"/>
          <w:lang w:val="es-CO" w:eastAsia="es-ES"/>
        </w:rPr>
        <w:t> </w:t>
      </w:r>
      <w:r w:rsidRPr="00912C27">
        <w:rPr>
          <w:rFonts w:ascii="Arial" w:eastAsia="Times New Roman" w:hAnsi="Arial" w:cs="Arial"/>
          <w:b/>
          <w:bCs/>
          <w:szCs w:val="24"/>
          <w:lang w:val="es-CO" w:eastAsia="es-ES"/>
        </w:rPr>
        <w:t>Reemplazar el Anexo 33 de la Resolución 011004 del 29 de octubre de 2018, que corresponde a las especificaciones técnicas de la información de Entidades subordinadas o controladas del exterior</w:t>
      </w:r>
      <w:r w:rsidRPr="004C7417">
        <w:rPr>
          <w:rFonts w:ascii="Arial" w:eastAsia="Times New Roman" w:hAnsi="Arial" w:cs="Arial"/>
          <w:szCs w:val="24"/>
          <w:lang w:val="es-CO" w:eastAsia="es-ES"/>
        </w:rPr>
        <w:t xml:space="preserve">, Formato 1036, Versión 8, </w:t>
      </w:r>
      <w:r w:rsidRPr="00E66D13">
        <w:rPr>
          <w:rFonts w:ascii="Arial" w:eastAsia="Times New Roman" w:hAnsi="Arial" w:cs="Arial"/>
          <w:szCs w:val="24"/>
          <w:highlight w:val="green"/>
          <w:lang w:val="es-CO" w:eastAsia="es-ES"/>
        </w:rPr>
        <w:t>por el Anexo 3 de la presente, resolución.</w:t>
      </w:r>
    </w:p>
    <w:p w14:paraId="1BA5FAAD" w14:textId="77777777" w:rsidR="00C87A23" w:rsidRPr="004C7417" w:rsidRDefault="00C87A23" w:rsidP="00C87A23">
      <w:pPr>
        <w:jc w:val="both"/>
        <w:rPr>
          <w:rFonts w:ascii="Arial" w:eastAsia="Times New Roman" w:hAnsi="Arial" w:cs="Arial"/>
          <w:szCs w:val="24"/>
          <w:lang w:val="es-CO" w:eastAsia="es-ES"/>
        </w:rPr>
      </w:pPr>
      <w:r w:rsidRPr="004C7417">
        <w:rPr>
          <w:rFonts w:ascii="Arial" w:eastAsia="Times New Roman" w:hAnsi="Arial" w:cs="Arial"/>
          <w:szCs w:val="24"/>
          <w:lang w:val="es-CO" w:eastAsia="es-ES"/>
        </w:rPr>
        <w:t> </w:t>
      </w:r>
    </w:p>
    <w:p w14:paraId="498E7DCA" w14:textId="77777777" w:rsidR="00C87A23" w:rsidRPr="004C7417" w:rsidRDefault="00C87A23" w:rsidP="00C87A23">
      <w:pPr>
        <w:jc w:val="both"/>
        <w:rPr>
          <w:rFonts w:ascii="Arial" w:eastAsia="Times New Roman" w:hAnsi="Arial" w:cs="Arial"/>
          <w:szCs w:val="24"/>
          <w:lang w:val="es-CO" w:eastAsia="es-ES"/>
        </w:rPr>
      </w:pPr>
      <w:r w:rsidRPr="004C7417">
        <w:rPr>
          <w:rFonts w:ascii="Arial" w:eastAsia="Times New Roman" w:hAnsi="Arial" w:cs="Arial"/>
          <w:b/>
          <w:bCs/>
          <w:szCs w:val="24"/>
          <w:lang w:val="es-CO" w:eastAsia="es-ES"/>
        </w:rPr>
        <w:t>Artículo 19.</w:t>
      </w:r>
      <w:r w:rsidRPr="004C7417">
        <w:rPr>
          <w:rFonts w:ascii="Arial" w:eastAsia="Times New Roman" w:hAnsi="Arial" w:cs="Arial"/>
          <w:szCs w:val="24"/>
          <w:lang w:val="es-CO" w:eastAsia="es-ES"/>
        </w:rPr>
        <w:t> </w:t>
      </w:r>
      <w:r w:rsidRPr="00912C27">
        <w:rPr>
          <w:rFonts w:ascii="Arial" w:eastAsia="Times New Roman" w:hAnsi="Arial" w:cs="Arial"/>
          <w:b/>
          <w:bCs/>
          <w:szCs w:val="24"/>
          <w:lang w:val="es-CO" w:eastAsia="es-ES"/>
        </w:rPr>
        <w:t>Reemplazar el Anexo 41 de la Resolución 011004 del 29 de octubre de 2018, que corresponde a las especificaciones técnicas de la información de registros catastrales y de Impuesto Predial</w:t>
      </w:r>
      <w:r w:rsidRPr="004C7417">
        <w:rPr>
          <w:rFonts w:ascii="Arial" w:eastAsia="Times New Roman" w:hAnsi="Arial" w:cs="Arial"/>
          <w:szCs w:val="24"/>
          <w:lang w:val="es-CO" w:eastAsia="es-ES"/>
        </w:rPr>
        <w:t xml:space="preserve">, Formato 1476, Versión 10, </w:t>
      </w:r>
      <w:r w:rsidRPr="00E66D13">
        <w:rPr>
          <w:rFonts w:ascii="Arial" w:eastAsia="Times New Roman" w:hAnsi="Arial" w:cs="Arial"/>
          <w:szCs w:val="24"/>
          <w:highlight w:val="green"/>
          <w:lang w:val="es-CO" w:eastAsia="es-ES"/>
        </w:rPr>
        <w:t>por el Anexo 4 de la presente resolución.</w:t>
      </w:r>
    </w:p>
    <w:p w14:paraId="7A7C7809" w14:textId="77777777" w:rsidR="00C87A23" w:rsidRPr="004C7417" w:rsidRDefault="00C87A23" w:rsidP="00C87A23">
      <w:pPr>
        <w:jc w:val="both"/>
        <w:rPr>
          <w:rFonts w:ascii="Arial" w:eastAsia="Times New Roman" w:hAnsi="Arial" w:cs="Arial"/>
          <w:szCs w:val="24"/>
          <w:lang w:val="es-CO" w:eastAsia="es-ES"/>
        </w:rPr>
      </w:pPr>
      <w:r w:rsidRPr="004C7417">
        <w:rPr>
          <w:rFonts w:ascii="Arial" w:eastAsia="Times New Roman" w:hAnsi="Arial" w:cs="Arial"/>
          <w:szCs w:val="24"/>
          <w:lang w:val="es-CO" w:eastAsia="es-ES"/>
        </w:rPr>
        <w:t> </w:t>
      </w:r>
    </w:p>
    <w:p w14:paraId="1415E051" w14:textId="77777777" w:rsidR="00C87A23" w:rsidRPr="004C7417" w:rsidRDefault="00C87A23" w:rsidP="00C87A23">
      <w:pPr>
        <w:jc w:val="both"/>
        <w:rPr>
          <w:rFonts w:ascii="Arial" w:eastAsia="Times New Roman" w:hAnsi="Arial" w:cs="Arial"/>
          <w:szCs w:val="24"/>
          <w:lang w:val="es-CO" w:eastAsia="es-ES"/>
        </w:rPr>
      </w:pPr>
      <w:r w:rsidRPr="004C7417">
        <w:rPr>
          <w:rFonts w:ascii="Arial" w:eastAsia="Times New Roman" w:hAnsi="Arial" w:cs="Arial"/>
          <w:b/>
          <w:bCs/>
          <w:szCs w:val="24"/>
          <w:lang w:val="es-CO" w:eastAsia="es-ES"/>
        </w:rPr>
        <w:t>Artículo 20.</w:t>
      </w:r>
      <w:r w:rsidRPr="004C7417">
        <w:rPr>
          <w:rFonts w:ascii="Arial" w:eastAsia="Times New Roman" w:hAnsi="Arial" w:cs="Arial"/>
          <w:szCs w:val="24"/>
          <w:lang w:val="es-CO" w:eastAsia="es-ES"/>
        </w:rPr>
        <w:t> </w:t>
      </w:r>
      <w:r w:rsidRPr="00912C27">
        <w:rPr>
          <w:rFonts w:ascii="Arial" w:eastAsia="Times New Roman" w:hAnsi="Arial" w:cs="Arial"/>
          <w:b/>
          <w:bCs/>
          <w:szCs w:val="24"/>
          <w:lang w:val="es-CO" w:eastAsia="es-ES"/>
        </w:rPr>
        <w:t>La información de que trata el numeral 37.4 del artículo 37 de la Resolución 011004 del 29 de octubre de 2018, debe ser reportada de acuerdo con las especificaciones técnicas establecidas mediante el Formato 2631, Versión 1</w:t>
      </w:r>
      <w:r w:rsidRPr="004C7417">
        <w:rPr>
          <w:rFonts w:ascii="Arial" w:eastAsia="Times New Roman" w:hAnsi="Arial" w:cs="Arial"/>
          <w:szCs w:val="24"/>
          <w:lang w:val="es-CO" w:eastAsia="es-ES"/>
        </w:rPr>
        <w:t>, Información de resoluciones administrativas relacionadas con obligaciones tributarias del orden municipal o distrital, contenidas en el Anexo 5 de la presente resolución. Utilizando la tabla 2, del artículo 46 de la misma resolución, para reportar el tipo de documento.</w:t>
      </w:r>
    </w:p>
    <w:p w14:paraId="264B3E65" w14:textId="77777777" w:rsidR="00C87A23" w:rsidRPr="004C7417" w:rsidRDefault="00C87A23" w:rsidP="00C87A23">
      <w:pPr>
        <w:jc w:val="both"/>
        <w:rPr>
          <w:rFonts w:ascii="Arial" w:eastAsia="Times New Roman" w:hAnsi="Arial" w:cs="Arial"/>
          <w:szCs w:val="24"/>
          <w:lang w:val="es-CO" w:eastAsia="es-ES"/>
        </w:rPr>
      </w:pPr>
      <w:r w:rsidRPr="004C7417">
        <w:rPr>
          <w:rFonts w:ascii="Arial" w:eastAsia="Times New Roman" w:hAnsi="Arial" w:cs="Arial"/>
          <w:szCs w:val="24"/>
          <w:lang w:val="es-CO" w:eastAsia="es-ES"/>
        </w:rPr>
        <w:t> </w:t>
      </w:r>
    </w:p>
    <w:p w14:paraId="2FA580A9" w14:textId="77777777" w:rsidR="00C87A23" w:rsidRPr="004C7417" w:rsidRDefault="00C87A23" w:rsidP="00C87A23">
      <w:pPr>
        <w:jc w:val="both"/>
        <w:rPr>
          <w:rFonts w:ascii="Arial" w:eastAsia="Times New Roman" w:hAnsi="Arial" w:cs="Arial"/>
          <w:szCs w:val="24"/>
          <w:lang w:val="es-CO" w:eastAsia="es-ES"/>
        </w:rPr>
      </w:pPr>
      <w:r w:rsidRPr="004C7417">
        <w:rPr>
          <w:rFonts w:ascii="Arial" w:eastAsia="Times New Roman" w:hAnsi="Arial" w:cs="Arial"/>
          <w:b/>
          <w:bCs/>
          <w:szCs w:val="24"/>
          <w:lang w:val="es-CO" w:eastAsia="es-ES"/>
        </w:rPr>
        <w:t>Artículo 21.</w:t>
      </w:r>
      <w:r w:rsidRPr="004C7417">
        <w:rPr>
          <w:rFonts w:ascii="Arial" w:eastAsia="Times New Roman" w:hAnsi="Arial" w:cs="Arial"/>
          <w:szCs w:val="24"/>
          <w:lang w:val="es-CO" w:eastAsia="es-ES"/>
        </w:rPr>
        <w:t> </w:t>
      </w:r>
      <w:r w:rsidRPr="00F42CF6">
        <w:rPr>
          <w:rFonts w:ascii="Arial" w:eastAsia="Times New Roman" w:hAnsi="Arial" w:cs="Arial"/>
          <w:b/>
          <w:bCs/>
          <w:szCs w:val="24"/>
          <w:lang w:val="es-CO" w:eastAsia="es-ES"/>
        </w:rPr>
        <w:t>Reemplazar el Anexo 52 de la Resolución 011004 del 29 de octubre de 2018, que corresponde a las especificaciones técnicas de la información de Información de no causación del impuesto al carbono por certificación de carbono neutro</w:t>
      </w:r>
      <w:r w:rsidRPr="004C7417">
        <w:rPr>
          <w:rFonts w:ascii="Arial" w:eastAsia="Times New Roman" w:hAnsi="Arial" w:cs="Arial"/>
          <w:szCs w:val="24"/>
          <w:lang w:val="es-CO" w:eastAsia="es-ES"/>
        </w:rPr>
        <w:t xml:space="preserve">, Formato 2574, Versión 1, </w:t>
      </w:r>
      <w:r w:rsidRPr="00E66D13">
        <w:rPr>
          <w:rFonts w:ascii="Arial" w:eastAsia="Times New Roman" w:hAnsi="Arial" w:cs="Arial"/>
          <w:szCs w:val="24"/>
          <w:highlight w:val="green"/>
          <w:lang w:val="es-CO" w:eastAsia="es-ES"/>
        </w:rPr>
        <w:t>por el Anexo 6 de la presente resolución.</w:t>
      </w:r>
    </w:p>
    <w:p w14:paraId="7B45904F" w14:textId="77777777" w:rsidR="00C87A23" w:rsidRPr="004C7417" w:rsidRDefault="00C87A23" w:rsidP="00C87A23">
      <w:pPr>
        <w:jc w:val="both"/>
        <w:rPr>
          <w:rFonts w:ascii="Arial" w:eastAsia="Times New Roman" w:hAnsi="Arial" w:cs="Arial"/>
          <w:szCs w:val="24"/>
          <w:lang w:val="es-CO" w:eastAsia="es-ES"/>
        </w:rPr>
      </w:pPr>
      <w:r w:rsidRPr="004C7417">
        <w:rPr>
          <w:rFonts w:ascii="Arial" w:eastAsia="Times New Roman" w:hAnsi="Arial" w:cs="Arial"/>
          <w:szCs w:val="24"/>
          <w:lang w:val="es-CO" w:eastAsia="es-ES"/>
        </w:rPr>
        <w:t> </w:t>
      </w:r>
    </w:p>
    <w:p w14:paraId="36BE1A64" w14:textId="77777777" w:rsidR="00C87A23" w:rsidRPr="004C7417" w:rsidRDefault="00C87A23" w:rsidP="00C87A23">
      <w:pPr>
        <w:jc w:val="both"/>
        <w:rPr>
          <w:rFonts w:ascii="Arial" w:eastAsia="Times New Roman" w:hAnsi="Arial" w:cs="Arial"/>
          <w:szCs w:val="24"/>
          <w:lang w:val="es-CO" w:eastAsia="es-ES"/>
        </w:rPr>
      </w:pPr>
      <w:r w:rsidRPr="004C7417">
        <w:rPr>
          <w:rFonts w:ascii="Arial" w:eastAsia="Times New Roman" w:hAnsi="Arial" w:cs="Arial"/>
          <w:b/>
          <w:bCs/>
          <w:szCs w:val="24"/>
          <w:lang w:val="es-CO" w:eastAsia="es-ES"/>
        </w:rPr>
        <w:t>Artículo 22.</w:t>
      </w:r>
      <w:r w:rsidRPr="004C7417">
        <w:rPr>
          <w:rFonts w:ascii="Arial" w:eastAsia="Times New Roman" w:hAnsi="Arial" w:cs="Arial"/>
          <w:szCs w:val="24"/>
          <w:lang w:val="es-CO" w:eastAsia="es-ES"/>
        </w:rPr>
        <w:t> </w:t>
      </w:r>
      <w:r w:rsidRPr="00F42CF6">
        <w:rPr>
          <w:rFonts w:ascii="Arial" w:eastAsia="Times New Roman" w:hAnsi="Arial" w:cs="Arial"/>
          <w:b/>
          <w:bCs/>
          <w:szCs w:val="24"/>
          <w:lang w:val="es-CO" w:eastAsia="es-ES"/>
        </w:rPr>
        <w:t>Reemplazar el Anexo 53 de la Resolución 011004 del 29 de octubre de 2018, que corresponde a las especificaciones técnicas de la información de donaciones recibidas y certificadas por entidades no contribuyentes,</w:t>
      </w:r>
      <w:r w:rsidRPr="004C7417">
        <w:rPr>
          <w:rFonts w:ascii="Arial" w:eastAsia="Times New Roman" w:hAnsi="Arial" w:cs="Arial"/>
          <w:szCs w:val="24"/>
          <w:lang w:val="es-CO" w:eastAsia="es-ES"/>
        </w:rPr>
        <w:t xml:space="preserve"> Formato 2575, Versión 1</w:t>
      </w:r>
      <w:r w:rsidRPr="00E66D13">
        <w:rPr>
          <w:rFonts w:ascii="Arial" w:eastAsia="Times New Roman" w:hAnsi="Arial" w:cs="Arial"/>
          <w:szCs w:val="24"/>
          <w:highlight w:val="green"/>
          <w:lang w:val="es-CO" w:eastAsia="es-ES"/>
        </w:rPr>
        <w:t>, por el Anexo 7 de la presente resolución</w:t>
      </w:r>
      <w:r w:rsidRPr="004C7417">
        <w:rPr>
          <w:rFonts w:ascii="Arial" w:eastAsia="Times New Roman" w:hAnsi="Arial" w:cs="Arial"/>
          <w:szCs w:val="24"/>
          <w:lang w:val="es-CO" w:eastAsia="es-ES"/>
        </w:rPr>
        <w:t>.</w:t>
      </w:r>
    </w:p>
    <w:p w14:paraId="560189BF" w14:textId="17835AC6" w:rsidR="00C87A23" w:rsidRPr="004C7417" w:rsidRDefault="00C87A23" w:rsidP="00C87A23">
      <w:pPr>
        <w:jc w:val="both"/>
        <w:rPr>
          <w:rFonts w:ascii="Arial" w:eastAsia="Times New Roman" w:hAnsi="Arial" w:cs="Arial"/>
          <w:szCs w:val="24"/>
          <w:lang w:val="es-CO" w:eastAsia="es-ES"/>
        </w:rPr>
      </w:pPr>
      <w:r w:rsidRPr="004C7417">
        <w:rPr>
          <w:rFonts w:ascii="Arial" w:eastAsia="Times New Roman" w:hAnsi="Arial" w:cs="Arial"/>
          <w:szCs w:val="24"/>
          <w:lang w:val="es-CO" w:eastAsia="es-ES"/>
        </w:rPr>
        <w:t>  </w:t>
      </w:r>
    </w:p>
    <w:p w14:paraId="140E52FC" w14:textId="77777777" w:rsidR="00C87A23" w:rsidRPr="004C7417" w:rsidRDefault="00C87A23" w:rsidP="00C87A23">
      <w:pPr>
        <w:jc w:val="both"/>
        <w:rPr>
          <w:rFonts w:ascii="Arial" w:eastAsia="Times New Roman" w:hAnsi="Arial" w:cs="Arial"/>
          <w:szCs w:val="24"/>
          <w:lang w:val="es-CO" w:eastAsia="es-ES"/>
        </w:rPr>
      </w:pPr>
      <w:r w:rsidRPr="004C7417">
        <w:rPr>
          <w:rFonts w:ascii="Arial" w:eastAsia="Times New Roman" w:hAnsi="Arial" w:cs="Arial"/>
          <w:b/>
          <w:bCs/>
          <w:szCs w:val="24"/>
          <w:lang w:val="es-CO" w:eastAsia="es-ES"/>
        </w:rPr>
        <w:t>Artículo 26.</w:t>
      </w:r>
      <w:r w:rsidRPr="004C7417">
        <w:rPr>
          <w:rFonts w:ascii="Arial" w:eastAsia="Times New Roman" w:hAnsi="Arial" w:cs="Arial"/>
          <w:szCs w:val="24"/>
          <w:lang w:val="es-CO" w:eastAsia="es-ES"/>
        </w:rPr>
        <w:t> </w:t>
      </w:r>
      <w:r w:rsidRPr="004C7417">
        <w:rPr>
          <w:rFonts w:ascii="Arial" w:eastAsia="Times New Roman" w:hAnsi="Arial" w:cs="Arial"/>
          <w:i/>
          <w:iCs/>
          <w:szCs w:val="24"/>
          <w:lang w:val="es-CO" w:eastAsia="es-ES"/>
        </w:rPr>
        <w:t>Publicar. </w:t>
      </w:r>
      <w:r w:rsidRPr="004C7417">
        <w:rPr>
          <w:rFonts w:ascii="Arial" w:eastAsia="Times New Roman" w:hAnsi="Arial" w:cs="Arial"/>
          <w:szCs w:val="24"/>
          <w:lang w:val="es-CO" w:eastAsia="es-ES"/>
        </w:rPr>
        <w:t>La presente resolución se publica de conformidad con el artículo 65 del Código Administrativo y de lo Contencioso Administrativo.</w:t>
      </w:r>
    </w:p>
    <w:p w14:paraId="0492534F" w14:textId="77777777" w:rsidR="00C87A23" w:rsidRPr="004C7417" w:rsidRDefault="00C87A23" w:rsidP="00C87A23">
      <w:pPr>
        <w:jc w:val="both"/>
        <w:rPr>
          <w:rFonts w:ascii="Arial" w:eastAsia="Times New Roman" w:hAnsi="Arial" w:cs="Arial"/>
          <w:szCs w:val="24"/>
          <w:lang w:val="es-CO" w:eastAsia="es-ES"/>
        </w:rPr>
      </w:pPr>
      <w:r w:rsidRPr="004C7417">
        <w:rPr>
          <w:rFonts w:ascii="Arial" w:eastAsia="Times New Roman" w:hAnsi="Arial" w:cs="Arial"/>
          <w:szCs w:val="24"/>
          <w:lang w:val="es-CO" w:eastAsia="es-ES"/>
        </w:rPr>
        <w:t> </w:t>
      </w:r>
    </w:p>
    <w:p w14:paraId="7C92B54B" w14:textId="77777777" w:rsidR="00C87A23" w:rsidRPr="004C7417" w:rsidRDefault="00C87A23" w:rsidP="00C87A23">
      <w:pPr>
        <w:jc w:val="both"/>
        <w:rPr>
          <w:rFonts w:ascii="Arial" w:eastAsia="Times New Roman" w:hAnsi="Arial" w:cs="Arial"/>
          <w:szCs w:val="24"/>
          <w:lang w:val="es-CO" w:eastAsia="es-ES"/>
        </w:rPr>
      </w:pPr>
      <w:r w:rsidRPr="004C7417">
        <w:rPr>
          <w:rFonts w:ascii="Arial" w:eastAsia="Times New Roman" w:hAnsi="Arial" w:cs="Arial"/>
          <w:b/>
          <w:bCs/>
          <w:szCs w:val="24"/>
          <w:lang w:val="es-CO" w:eastAsia="es-ES"/>
        </w:rPr>
        <w:t>Artículo 27.</w:t>
      </w:r>
      <w:r w:rsidRPr="004C7417">
        <w:rPr>
          <w:rFonts w:ascii="Arial" w:eastAsia="Times New Roman" w:hAnsi="Arial" w:cs="Arial"/>
          <w:szCs w:val="24"/>
          <w:lang w:val="es-CO" w:eastAsia="es-ES"/>
        </w:rPr>
        <w:t> </w:t>
      </w:r>
      <w:r w:rsidRPr="004C7417">
        <w:rPr>
          <w:rFonts w:ascii="Arial" w:eastAsia="Times New Roman" w:hAnsi="Arial" w:cs="Arial"/>
          <w:i/>
          <w:iCs/>
          <w:szCs w:val="24"/>
          <w:lang w:val="es-CO" w:eastAsia="es-ES"/>
        </w:rPr>
        <w:t>Vigencia. </w:t>
      </w:r>
      <w:r w:rsidRPr="004C7417">
        <w:rPr>
          <w:rFonts w:ascii="Arial" w:eastAsia="Times New Roman" w:hAnsi="Arial" w:cs="Arial"/>
          <w:szCs w:val="24"/>
          <w:lang w:val="es-CO" w:eastAsia="es-ES"/>
        </w:rPr>
        <w:t>La presente resolución rige a partir de la fecha de su publicación.</w:t>
      </w:r>
    </w:p>
    <w:p w14:paraId="2341F5E9" w14:textId="77777777" w:rsidR="00C87A23" w:rsidRPr="004C7417" w:rsidRDefault="00C87A23" w:rsidP="00C87A23">
      <w:pPr>
        <w:jc w:val="both"/>
        <w:rPr>
          <w:rFonts w:ascii="Arial" w:eastAsia="Times New Roman" w:hAnsi="Arial" w:cs="Arial"/>
          <w:szCs w:val="24"/>
          <w:lang w:val="es-CO" w:eastAsia="es-ES"/>
        </w:rPr>
      </w:pPr>
      <w:r w:rsidRPr="004C7417">
        <w:rPr>
          <w:rFonts w:ascii="Arial" w:eastAsia="Times New Roman" w:hAnsi="Arial" w:cs="Arial"/>
          <w:szCs w:val="24"/>
          <w:lang w:val="es-CO" w:eastAsia="es-ES"/>
        </w:rPr>
        <w:t> </w:t>
      </w:r>
    </w:p>
    <w:p w14:paraId="3483A245" w14:textId="77777777" w:rsidR="00C87A23" w:rsidRPr="004C7417" w:rsidRDefault="00C87A23" w:rsidP="00C87A23">
      <w:pPr>
        <w:jc w:val="both"/>
        <w:rPr>
          <w:rFonts w:ascii="Arial" w:eastAsia="Times New Roman" w:hAnsi="Arial" w:cs="Arial"/>
          <w:szCs w:val="24"/>
          <w:lang w:val="es-CO" w:eastAsia="es-ES"/>
        </w:rPr>
      </w:pPr>
      <w:r w:rsidRPr="004C7417">
        <w:rPr>
          <w:rFonts w:ascii="Arial" w:eastAsia="Times New Roman" w:hAnsi="Arial" w:cs="Arial"/>
          <w:b/>
          <w:bCs/>
          <w:szCs w:val="24"/>
          <w:lang w:val="es-CO" w:eastAsia="es-ES"/>
        </w:rPr>
        <w:t>Publíquese y cúmplase.</w:t>
      </w:r>
    </w:p>
    <w:p w14:paraId="38F4F481" w14:textId="77777777" w:rsidR="00C87A23" w:rsidRPr="004C7417" w:rsidRDefault="00C87A23" w:rsidP="00C87A23">
      <w:pPr>
        <w:jc w:val="both"/>
        <w:rPr>
          <w:rFonts w:ascii="Arial" w:eastAsia="Times New Roman" w:hAnsi="Arial" w:cs="Arial"/>
          <w:szCs w:val="24"/>
          <w:lang w:val="es-CO" w:eastAsia="es-ES"/>
        </w:rPr>
      </w:pPr>
      <w:r w:rsidRPr="004C7417">
        <w:rPr>
          <w:rFonts w:ascii="Arial" w:eastAsia="Times New Roman" w:hAnsi="Arial" w:cs="Arial"/>
          <w:szCs w:val="24"/>
          <w:lang w:val="es-CO" w:eastAsia="es-ES"/>
        </w:rPr>
        <w:t>Dada en Bogotá, D. C., a 31 de enero de 2020.</w:t>
      </w:r>
    </w:p>
    <w:p w14:paraId="2854BEA0" w14:textId="77777777" w:rsidR="00C87A23" w:rsidRPr="004C7417" w:rsidRDefault="00C87A23" w:rsidP="00C87A23">
      <w:pPr>
        <w:jc w:val="both"/>
        <w:rPr>
          <w:rFonts w:ascii="Arial" w:eastAsia="Times New Roman" w:hAnsi="Arial" w:cs="Arial"/>
          <w:szCs w:val="24"/>
          <w:lang w:val="es-CO" w:eastAsia="es-ES"/>
        </w:rPr>
      </w:pPr>
      <w:r w:rsidRPr="004C7417">
        <w:rPr>
          <w:rFonts w:ascii="Arial" w:eastAsia="Times New Roman" w:hAnsi="Arial" w:cs="Arial"/>
          <w:szCs w:val="24"/>
          <w:lang w:val="es-CO" w:eastAsia="es-ES"/>
        </w:rPr>
        <w:t> </w:t>
      </w:r>
    </w:p>
    <w:p w14:paraId="66920581" w14:textId="0B2A08F6" w:rsidR="00C87A23" w:rsidRPr="004C7417" w:rsidRDefault="00C87A23" w:rsidP="00C87A23">
      <w:pPr>
        <w:jc w:val="both"/>
        <w:rPr>
          <w:rFonts w:ascii="Arial" w:eastAsia="Times New Roman" w:hAnsi="Arial" w:cs="Arial"/>
          <w:szCs w:val="24"/>
          <w:lang w:val="es-CO" w:eastAsia="es-ES"/>
        </w:rPr>
      </w:pPr>
      <w:r w:rsidRPr="004C7417">
        <w:rPr>
          <w:rFonts w:ascii="Arial" w:eastAsia="Times New Roman" w:hAnsi="Arial" w:cs="Arial"/>
          <w:b/>
          <w:bCs/>
          <w:szCs w:val="24"/>
          <w:lang w:val="es-CO" w:eastAsia="es-ES"/>
        </w:rPr>
        <w:t>La Directora General (e),</w:t>
      </w:r>
    </w:p>
    <w:p w14:paraId="0AEA02C7" w14:textId="77777777" w:rsidR="00C87A23" w:rsidRPr="004C7417" w:rsidRDefault="00C87A23" w:rsidP="00C87A23">
      <w:pPr>
        <w:jc w:val="right"/>
        <w:rPr>
          <w:rFonts w:ascii="Arial" w:eastAsia="Times New Roman" w:hAnsi="Arial" w:cs="Arial"/>
          <w:szCs w:val="24"/>
          <w:lang w:val="es-CO" w:eastAsia="es-ES"/>
        </w:rPr>
      </w:pPr>
      <w:r w:rsidRPr="004C7417">
        <w:rPr>
          <w:rFonts w:ascii="Arial" w:eastAsia="Times New Roman" w:hAnsi="Arial" w:cs="Arial"/>
          <w:szCs w:val="24"/>
          <w:lang w:val="es-CO" w:eastAsia="es-ES"/>
        </w:rPr>
        <w:t> </w:t>
      </w:r>
    </w:p>
    <w:p w14:paraId="4E7948C2" w14:textId="77777777" w:rsidR="00C87A23" w:rsidRPr="004C7417" w:rsidRDefault="00C87A23" w:rsidP="00D947B0">
      <w:pPr>
        <w:jc w:val="both"/>
        <w:rPr>
          <w:rFonts w:ascii="Arial" w:eastAsia="Times New Roman" w:hAnsi="Arial" w:cs="Arial"/>
          <w:szCs w:val="24"/>
          <w:lang w:val="es-CO" w:eastAsia="es-ES"/>
        </w:rPr>
      </w:pPr>
      <w:r w:rsidRPr="004C7417">
        <w:rPr>
          <w:rFonts w:ascii="Arial" w:eastAsia="Times New Roman" w:hAnsi="Arial" w:cs="Arial"/>
          <w:i/>
          <w:iCs/>
          <w:szCs w:val="24"/>
          <w:lang w:val="es-CO" w:eastAsia="es-ES"/>
        </w:rPr>
        <w:t>Gabriela Barriga Lesmes.</w:t>
      </w:r>
      <w:bookmarkStart w:id="0" w:name="_GoBack"/>
      <w:bookmarkEnd w:id="0"/>
    </w:p>
    <w:p w14:paraId="1DE92AB9" w14:textId="77777777" w:rsidR="00C87A23" w:rsidRPr="004C7417" w:rsidRDefault="00C87A23" w:rsidP="00D947B0">
      <w:pPr>
        <w:jc w:val="both"/>
        <w:rPr>
          <w:rFonts w:ascii="Arial" w:eastAsia="Times New Roman" w:hAnsi="Arial" w:cs="Arial"/>
          <w:szCs w:val="24"/>
          <w:lang w:val="es-CO" w:eastAsia="es-ES"/>
        </w:rPr>
      </w:pPr>
      <w:r w:rsidRPr="004C7417">
        <w:rPr>
          <w:rFonts w:ascii="Arial" w:eastAsia="Times New Roman" w:hAnsi="Arial" w:cs="Arial"/>
          <w:szCs w:val="24"/>
          <w:lang w:val="es-CO" w:eastAsia="es-ES"/>
        </w:rPr>
        <w:t> </w:t>
      </w:r>
    </w:p>
    <w:p w14:paraId="6F81FAC7" w14:textId="1BECA2D7" w:rsidR="00C87A23" w:rsidRPr="004C7417" w:rsidRDefault="00A071ED" w:rsidP="00C87A23">
      <w:pPr>
        <w:jc w:val="both"/>
        <w:rPr>
          <w:rFonts w:ascii="Arial" w:eastAsia="Times New Roman" w:hAnsi="Arial" w:cs="Arial"/>
          <w:szCs w:val="24"/>
          <w:lang w:val="es-CO" w:eastAsia="es-ES"/>
        </w:rPr>
      </w:pPr>
      <w:hyperlink r:id="rId7" w:history="1">
        <w:r w:rsidR="00C87A23" w:rsidRPr="004C7417">
          <w:rPr>
            <w:rFonts w:ascii="Arial" w:eastAsia="Times New Roman" w:hAnsi="Arial" w:cs="Arial"/>
            <w:b/>
            <w:bCs/>
            <w:szCs w:val="24"/>
            <w:lang w:val="es-CO" w:eastAsia="es-ES"/>
          </w:rPr>
          <w:t>VER ANEXOS</w:t>
        </w:r>
      </w:hyperlink>
    </w:p>
    <w:p w14:paraId="687E95CF" w14:textId="77777777" w:rsidR="00C87A23" w:rsidRPr="004C7417" w:rsidRDefault="00C87A23" w:rsidP="00C87A23">
      <w:pPr>
        <w:jc w:val="both"/>
        <w:rPr>
          <w:rFonts w:ascii="Arial" w:eastAsia="Times New Roman" w:hAnsi="Arial" w:cs="Arial"/>
          <w:szCs w:val="24"/>
          <w:lang w:val="es-CO" w:eastAsia="es-ES"/>
        </w:rPr>
      </w:pPr>
      <w:r w:rsidRPr="004C7417">
        <w:rPr>
          <w:rFonts w:ascii="Arial" w:eastAsia="Times New Roman" w:hAnsi="Arial" w:cs="Arial"/>
          <w:szCs w:val="24"/>
          <w:lang w:val="es-CO" w:eastAsia="es-ES"/>
        </w:rPr>
        <w:t> </w:t>
      </w:r>
    </w:p>
    <w:p w14:paraId="5B46073B" w14:textId="77777777" w:rsidR="00C87A23" w:rsidRPr="004C7417" w:rsidRDefault="00C87A23" w:rsidP="00C87A23">
      <w:pPr>
        <w:jc w:val="both"/>
        <w:rPr>
          <w:rFonts w:ascii="Arial" w:eastAsia="Times New Roman" w:hAnsi="Arial" w:cs="Arial"/>
          <w:szCs w:val="24"/>
          <w:lang w:val="es-CO" w:eastAsia="es-ES"/>
        </w:rPr>
      </w:pPr>
      <w:r w:rsidRPr="004C7417">
        <w:rPr>
          <w:rFonts w:ascii="Arial" w:eastAsia="Times New Roman" w:hAnsi="Arial" w:cs="Arial"/>
          <w:b/>
          <w:bCs/>
          <w:szCs w:val="24"/>
          <w:lang w:val="es-CO" w:eastAsia="es-ES"/>
        </w:rPr>
        <w:t xml:space="preserve">Publicada en D.O. 51.217 del 04 de </w:t>
      </w:r>
      <w:proofErr w:type="gramStart"/>
      <w:r w:rsidRPr="004C7417">
        <w:rPr>
          <w:rFonts w:ascii="Arial" w:eastAsia="Times New Roman" w:hAnsi="Arial" w:cs="Arial"/>
          <w:b/>
          <w:bCs/>
          <w:szCs w:val="24"/>
          <w:lang w:val="es-CO" w:eastAsia="es-ES"/>
        </w:rPr>
        <w:t>Febrero</w:t>
      </w:r>
      <w:proofErr w:type="gramEnd"/>
      <w:r w:rsidRPr="004C7417">
        <w:rPr>
          <w:rFonts w:ascii="Arial" w:eastAsia="Times New Roman" w:hAnsi="Arial" w:cs="Arial"/>
          <w:b/>
          <w:bCs/>
          <w:szCs w:val="24"/>
          <w:lang w:val="es-CO" w:eastAsia="es-ES"/>
        </w:rPr>
        <w:t xml:space="preserve"> de 2020.</w:t>
      </w:r>
    </w:p>
    <w:sectPr w:rsidR="00C87A23" w:rsidRPr="004C7417" w:rsidSect="00434AE6">
      <w:type w:val="continuous"/>
      <w:pgSz w:w="12191" w:h="18711"/>
      <w:pgMar w:top="1134" w:right="1134" w:bottom="1134" w:left="1701"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AC651" w14:textId="77777777" w:rsidR="00A071ED" w:rsidRDefault="00A071ED" w:rsidP="00564024">
      <w:r>
        <w:separator/>
      </w:r>
    </w:p>
  </w:endnote>
  <w:endnote w:type="continuationSeparator" w:id="0">
    <w:p w14:paraId="01709FAE" w14:textId="77777777" w:rsidR="00A071ED" w:rsidRDefault="00A071ED" w:rsidP="0056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EE0A2" w14:textId="77777777" w:rsidR="00A071ED" w:rsidRDefault="00A071ED" w:rsidP="00564024">
      <w:r>
        <w:separator/>
      </w:r>
    </w:p>
  </w:footnote>
  <w:footnote w:type="continuationSeparator" w:id="0">
    <w:p w14:paraId="1542AFA0" w14:textId="77777777" w:rsidR="00A071ED" w:rsidRDefault="00A071ED" w:rsidP="00564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DE1C10"/>
    <w:multiLevelType w:val="hybridMultilevel"/>
    <w:tmpl w:val="44BA1FB6"/>
    <w:lvl w:ilvl="0" w:tplc="15DE3B24">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A23"/>
    <w:rsid w:val="000501EE"/>
    <w:rsid w:val="000C6C15"/>
    <w:rsid w:val="001D09F6"/>
    <w:rsid w:val="001E311E"/>
    <w:rsid w:val="00404F21"/>
    <w:rsid w:val="00434AE6"/>
    <w:rsid w:val="00445FCA"/>
    <w:rsid w:val="004C7417"/>
    <w:rsid w:val="00547965"/>
    <w:rsid w:val="00564024"/>
    <w:rsid w:val="005667E5"/>
    <w:rsid w:val="00603378"/>
    <w:rsid w:val="006F1372"/>
    <w:rsid w:val="007B1FFA"/>
    <w:rsid w:val="007F5CC8"/>
    <w:rsid w:val="008779BE"/>
    <w:rsid w:val="008A49A5"/>
    <w:rsid w:val="00912C27"/>
    <w:rsid w:val="00916FF5"/>
    <w:rsid w:val="00A071ED"/>
    <w:rsid w:val="00BD4F05"/>
    <w:rsid w:val="00C87A23"/>
    <w:rsid w:val="00D947B0"/>
    <w:rsid w:val="00E66D13"/>
    <w:rsid w:val="00F42CF6"/>
    <w:rsid w:val="00FA572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F1F44"/>
  <w15:chartTrackingRefBased/>
  <w15:docId w15:val="{453347AB-B45F-430A-A1DD-B8C79FE6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C87A23"/>
  </w:style>
  <w:style w:type="paragraph" w:customStyle="1" w:styleId="msonormal0">
    <w:name w:val="msonormal"/>
    <w:basedOn w:val="Normal"/>
    <w:rsid w:val="00C87A23"/>
    <w:pPr>
      <w:spacing w:before="100" w:beforeAutospacing="1" w:after="100" w:afterAutospacing="1"/>
    </w:pPr>
    <w:rPr>
      <w:rFonts w:eastAsia="Times New Roman" w:cs="Times New Roman"/>
      <w:szCs w:val="24"/>
      <w:lang w:eastAsia="es-ES"/>
    </w:rPr>
  </w:style>
  <w:style w:type="paragraph" w:customStyle="1" w:styleId="pa6">
    <w:name w:val="pa6"/>
    <w:basedOn w:val="Normal"/>
    <w:rsid w:val="00C87A23"/>
    <w:pPr>
      <w:spacing w:before="100" w:beforeAutospacing="1" w:after="100" w:afterAutospacing="1"/>
    </w:pPr>
    <w:rPr>
      <w:rFonts w:eastAsia="Times New Roman" w:cs="Times New Roman"/>
      <w:szCs w:val="24"/>
      <w:lang w:eastAsia="es-ES"/>
    </w:rPr>
  </w:style>
  <w:style w:type="paragraph" w:customStyle="1" w:styleId="pa7">
    <w:name w:val="pa7"/>
    <w:basedOn w:val="Normal"/>
    <w:rsid w:val="00C87A23"/>
    <w:pPr>
      <w:spacing w:before="100" w:beforeAutospacing="1" w:after="100" w:afterAutospacing="1"/>
    </w:pPr>
    <w:rPr>
      <w:rFonts w:eastAsia="Times New Roman" w:cs="Times New Roman"/>
      <w:szCs w:val="24"/>
      <w:lang w:eastAsia="es-ES"/>
    </w:rPr>
  </w:style>
  <w:style w:type="paragraph" w:customStyle="1" w:styleId="pa32">
    <w:name w:val="pa32"/>
    <w:basedOn w:val="Normal"/>
    <w:rsid w:val="00C87A23"/>
    <w:pPr>
      <w:spacing w:before="100" w:beforeAutospacing="1" w:after="100" w:afterAutospacing="1"/>
    </w:pPr>
    <w:rPr>
      <w:rFonts w:eastAsia="Times New Roman" w:cs="Times New Roman"/>
      <w:szCs w:val="24"/>
      <w:lang w:eastAsia="es-ES"/>
    </w:rPr>
  </w:style>
  <w:style w:type="paragraph" w:customStyle="1" w:styleId="pa9">
    <w:name w:val="pa9"/>
    <w:basedOn w:val="Normal"/>
    <w:rsid w:val="00C87A23"/>
    <w:pPr>
      <w:spacing w:before="100" w:beforeAutospacing="1" w:after="100" w:afterAutospacing="1"/>
    </w:pPr>
    <w:rPr>
      <w:rFonts w:eastAsia="Times New Roman" w:cs="Times New Roman"/>
      <w:szCs w:val="24"/>
      <w:lang w:eastAsia="es-ES"/>
    </w:rPr>
  </w:style>
  <w:style w:type="character" w:styleId="Hipervnculo">
    <w:name w:val="Hyperlink"/>
    <w:basedOn w:val="Fuentedeprrafopredeter"/>
    <w:uiPriority w:val="99"/>
    <w:semiHidden/>
    <w:unhideWhenUsed/>
    <w:rsid w:val="00C87A23"/>
  </w:style>
  <w:style w:type="character" w:styleId="Hipervnculovisitado">
    <w:name w:val="FollowedHyperlink"/>
    <w:basedOn w:val="Fuentedeprrafopredeter"/>
    <w:uiPriority w:val="99"/>
    <w:semiHidden/>
    <w:unhideWhenUsed/>
    <w:rsid w:val="00C87A23"/>
    <w:rPr>
      <w:color w:val="800080"/>
      <w:u w:val="single"/>
    </w:rPr>
  </w:style>
  <w:style w:type="paragraph" w:customStyle="1" w:styleId="pa22">
    <w:name w:val="pa22"/>
    <w:basedOn w:val="Normal"/>
    <w:rsid w:val="00C87A23"/>
    <w:pPr>
      <w:spacing w:before="100" w:beforeAutospacing="1" w:after="100" w:afterAutospacing="1"/>
    </w:pPr>
    <w:rPr>
      <w:rFonts w:eastAsia="Times New Roman" w:cs="Times New Roman"/>
      <w:szCs w:val="24"/>
      <w:lang w:eastAsia="es-ES"/>
    </w:rPr>
  </w:style>
  <w:style w:type="paragraph" w:customStyle="1" w:styleId="pa29">
    <w:name w:val="pa29"/>
    <w:basedOn w:val="Normal"/>
    <w:rsid w:val="00C87A23"/>
    <w:pPr>
      <w:spacing w:before="100" w:beforeAutospacing="1" w:after="100" w:afterAutospacing="1"/>
    </w:pPr>
    <w:rPr>
      <w:rFonts w:eastAsia="Times New Roman" w:cs="Times New Roman"/>
      <w:szCs w:val="24"/>
      <w:lang w:eastAsia="es-ES"/>
    </w:rPr>
  </w:style>
  <w:style w:type="paragraph" w:styleId="NormalWeb">
    <w:name w:val="Normal (Web)"/>
    <w:basedOn w:val="Normal"/>
    <w:uiPriority w:val="99"/>
    <w:unhideWhenUsed/>
    <w:rsid w:val="00C87A23"/>
    <w:pPr>
      <w:spacing w:before="100" w:beforeAutospacing="1" w:after="100" w:afterAutospacing="1"/>
    </w:pPr>
    <w:rPr>
      <w:rFonts w:eastAsia="Times New Roman" w:cs="Times New Roman"/>
      <w:szCs w:val="24"/>
      <w:lang w:eastAsia="es-ES"/>
    </w:rPr>
  </w:style>
  <w:style w:type="paragraph" w:customStyle="1" w:styleId="pa20">
    <w:name w:val="pa20"/>
    <w:basedOn w:val="Normal"/>
    <w:rsid w:val="00C87A23"/>
    <w:pPr>
      <w:spacing w:before="100" w:beforeAutospacing="1" w:after="100" w:afterAutospacing="1"/>
    </w:pPr>
    <w:rPr>
      <w:rFonts w:eastAsia="Times New Roman" w:cs="Times New Roman"/>
      <w:szCs w:val="24"/>
      <w:lang w:eastAsia="es-ES"/>
    </w:rPr>
  </w:style>
  <w:style w:type="paragraph" w:customStyle="1" w:styleId="pa21">
    <w:name w:val="pa21"/>
    <w:basedOn w:val="Normal"/>
    <w:rsid w:val="00C87A23"/>
    <w:pPr>
      <w:spacing w:before="100" w:beforeAutospacing="1" w:after="100" w:afterAutospacing="1"/>
    </w:pPr>
    <w:rPr>
      <w:rFonts w:eastAsia="Times New Roman" w:cs="Times New Roman"/>
      <w:szCs w:val="24"/>
      <w:lang w:eastAsia="es-ES"/>
    </w:rPr>
  </w:style>
  <w:style w:type="character" w:customStyle="1" w:styleId="a4">
    <w:name w:val="a4"/>
    <w:basedOn w:val="Fuentedeprrafopredeter"/>
    <w:rsid w:val="00C87A23"/>
  </w:style>
  <w:style w:type="paragraph" w:customStyle="1" w:styleId="pa12">
    <w:name w:val="pa12"/>
    <w:basedOn w:val="Normal"/>
    <w:rsid w:val="00C87A23"/>
    <w:pPr>
      <w:spacing w:before="100" w:beforeAutospacing="1" w:after="100" w:afterAutospacing="1"/>
    </w:pPr>
    <w:rPr>
      <w:rFonts w:eastAsia="Times New Roman" w:cs="Times New Roman"/>
      <w:szCs w:val="24"/>
      <w:lang w:eastAsia="es-ES"/>
    </w:rPr>
  </w:style>
  <w:style w:type="paragraph" w:customStyle="1" w:styleId="pa26">
    <w:name w:val="pa26"/>
    <w:basedOn w:val="Normal"/>
    <w:rsid w:val="00C87A23"/>
    <w:pPr>
      <w:spacing w:before="100" w:beforeAutospacing="1" w:after="100" w:afterAutospacing="1"/>
    </w:pPr>
    <w:rPr>
      <w:rFonts w:eastAsia="Times New Roman" w:cs="Times New Roman"/>
      <w:szCs w:val="24"/>
      <w:lang w:eastAsia="es-ES"/>
    </w:rPr>
  </w:style>
  <w:style w:type="paragraph" w:customStyle="1" w:styleId="pa34">
    <w:name w:val="pa34"/>
    <w:basedOn w:val="Normal"/>
    <w:rsid w:val="00C87A23"/>
    <w:pPr>
      <w:spacing w:before="100" w:beforeAutospacing="1" w:after="100" w:afterAutospacing="1"/>
    </w:pPr>
    <w:rPr>
      <w:rFonts w:eastAsia="Times New Roman" w:cs="Times New Roman"/>
      <w:szCs w:val="24"/>
      <w:lang w:eastAsia="es-ES"/>
    </w:rPr>
  </w:style>
  <w:style w:type="paragraph" w:styleId="Encabezado">
    <w:name w:val="header"/>
    <w:basedOn w:val="Normal"/>
    <w:link w:val="EncabezadoCar"/>
    <w:uiPriority w:val="99"/>
    <w:unhideWhenUsed/>
    <w:rsid w:val="00564024"/>
    <w:pPr>
      <w:tabs>
        <w:tab w:val="center" w:pos="4252"/>
        <w:tab w:val="right" w:pos="8504"/>
      </w:tabs>
    </w:pPr>
  </w:style>
  <w:style w:type="character" w:customStyle="1" w:styleId="EncabezadoCar">
    <w:name w:val="Encabezado Car"/>
    <w:basedOn w:val="Fuentedeprrafopredeter"/>
    <w:link w:val="Encabezado"/>
    <w:uiPriority w:val="99"/>
    <w:rsid w:val="00564024"/>
  </w:style>
  <w:style w:type="paragraph" w:styleId="Piedepgina">
    <w:name w:val="footer"/>
    <w:basedOn w:val="Normal"/>
    <w:link w:val="PiedepginaCar"/>
    <w:uiPriority w:val="99"/>
    <w:unhideWhenUsed/>
    <w:rsid w:val="00564024"/>
    <w:pPr>
      <w:tabs>
        <w:tab w:val="center" w:pos="4252"/>
        <w:tab w:val="right" w:pos="8504"/>
      </w:tabs>
    </w:pPr>
  </w:style>
  <w:style w:type="character" w:customStyle="1" w:styleId="PiedepginaCar">
    <w:name w:val="Pie de página Car"/>
    <w:basedOn w:val="Fuentedeprrafopredeter"/>
    <w:link w:val="Piedepgina"/>
    <w:uiPriority w:val="99"/>
    <w:rsid w:val="00564024"/>
  </w:style>
  <w:style w:type="paragraph" w:styleId="Prrafodelista">
    <w:name w:val="List Paragraph"/>
    <w:basedOn w:val="Normal"/>
    <w:uiPriority w:val="34"/>
    <w:qFormat/>
    <w:rsid w:val="00D947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5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eta.org.co/html/clases/DownloadManager.asp?file=Anexos/38193/Anexos%20Resolucion%2000000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438</Words>
  <Characters>2414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15</cp:revision>
  <dcterms:created xsi:type="dcterms:W3CDTF">2020-02-14T00:40:00Z</dcterms:created>
  <dcterms:modified xsi:type="dcterms:W3CDTF">2020-03-15T01:17:00Z</dcterms:modified>
</cp:coreProperties>
</file>