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F823A" w14:textId="77777777" w:rsidR="00505551" w:rsidRDefault="00505551" w:rsidP="006A3D7A">
      <w:pPr>
        <w:rPr>
          <w:lang w:val="es-CO"/>
        </w:rPr>
      </w:pPr>
    </w:p>
    <w:p w14:paraId="1AD3F1B8" w14:textId="77777777" w:rsidR="00505551" w:rsidRDefault="00505551" w:rsidP="006A3D7A">
      <w:pPr>
        <w:shd w:val="clear" w:color="auto" w:fill="FFFFFF"/>
        <w:rPr>
          <w:rFonts w:eastAsia="Times New Roman" w:cs="Times New Roman"/>
          <w:b/>
          <w:bCs/>
          <w:szCs w:val="24"/>
          <w:lang w:eastAsia="es-ES"/>
        </w:rPr>
      </w:pPr>
    </w:p>
    <w:p w14:paraId="4FECE30E" w14:textId="77777777" w:rsidR="009A5139" w:rsidRDefault="009A5139" w:rsidP="006A3D7A">
      <w:pPr>
        <w:shd w:val="clear" w:color="auto" w:fill="FFFFFF"/>
        <w:rPr>
          <w:rFonts w:eastAsia="Times New Roman" w:cs="Times New Roman"/>
          <w:b/>
          <w:bCs/>
          <w:szCs w:val="24"/>
          <w:lang w:eastAsia="es-ES"/>
        </w:rPr>
      </w:pPr>
    </w:p>
    <w:tbl>
      <w:tblPr>
        <w:tblStyle w:val="Tablaconcuadrcula"/>
        <w:tblW w:w="14317" w:type="dxa"/>
        <w:tblInd w:w="988" w:type="dxa"/>
        <w:tblLook w:val="04A0" w:firstRow="1" w:lastRow="0" w:firstColumn="1" w:lastColumn="0" w:noHBand="0" w:noVBand="1"/>
      </w:tblPr>
      <w:tblGrid>
        <w:gridCol w:w="14317"/>
      </w:tblGrid>
      <w:tr w:rsidR="00611995" w14:paraId="7E45EBB0" w14:textId="77777777" w:rsidTr="00611995">
        <w:tc>
          <w:tcPr>
            <w:tcW w:w="14317" w:type="dxa"/>
          </w:tcPr>
          <w:p w14:paraId="241536C9" w14:textId="77777777" w:rsidR="00611995" w:rsidRDefault="00611995" w:rsidP="006A3D7A">
            <w:pPr>
              <w:shd w:val="clear" w:color="auto" w:fill="FFFFFF"/>
              <w:spacing w:line="360" w:lineRule="auto"/>
              <w:rPr>
                <w:b/>
                <w:bCs/>
                <w:sz w:val="20"/>
                <w:szCs w:val="20"/>
                <w:lang w:val="es-CO"/>
              </w:rPr>
            </w:pPr>
          </w:p>
          <w:p w14:paraId="5CE37E21" w14:textId="36DD314F" w:rsidR="00611995" w:rsidRPr="00505551" w:rsidRDefault="00611995" w:rsidP="006A3D7A">
            <w:pPr>
              <w:shd w:val="clear" w:color="auto" w:fill="FFFFFF"/>
              <w:spacing w:line="360" w:lineRule="auto"/>
              <w:jc w:val="center"/>
              <w:rPr>
                <w:rFonts w:eastAsia="Times New Roman" w:cs="Times New Roman"/>
                <w:b/>
                <w:bCs/>
                <w:sz w:val="20"/>
                <w:szCs w:val="20"/>
                <w:lang w:eastAsia="es-ES"/>
              </w:rPr>
            </w:pPr>
            <w:r w:rsidRPr="006A3D7A">
              <w:rPr>
                <w:b/>
                <w:bCs/>
                <w:sz w:val="20"/>
                <w:szCs w:val="20"/>
                <w:highlight w:val="green"/>
                <w:lang w:val="es-CO"/>
              </w:rPr>
              <w:t>DOCUMENTOS EQUIVALENTES ACTUALES.</w:t>
            </w:r>
            <w:r w:rsidRPr="006A3D7A">
              <w:rPr>
                <w:sz w:val="20"/>
                <w:szCs w:val="20"/>
                <w:highlight w:val="green"/>
                <w:lang w:val="es-CO"/>
              </w:rPr>
              <w:t xml:space="preserve"> </w:t>
            </w:r>
            <w:r w:rsidRPr="006A3D7A">
              <w:rPr>
                <w:rFonts w:eastAsia="Times New Roman" w:cs="Times New Roman"/>
                <w:b/>
                <w:bCs/>
                <w:sz w:val="20"/>
                <w:szCs w:val="20"/>
                <w:highlight w:val="green"/>
                <w:lang w:eastAsia="es-ES"/>
              </w:rPr>
              <w:t>DECRETO 1625 DE 2016. LIBRO 1- PARTE 6- TÍTULO I- CAPITULO 4. FACTURACIÓN.</w:t>
            </w:r>
          </w:p>
          <w:p w14:paraId="1E6AB246" w14:textId="77777777" w:rsidR="00611995" w:rsidRDefault="00611995" w:rsidP="006A3D7A">
            <w:pPr>
              <w:shd w:val="clear" w:color="auto" w:fill="FFFFFF"/>
              <w:spacing w:line="360" w:lineRule="auto"/>
              <w:rPr>
                <w:rFonts w:eastAsia="Times New Roman" w:cs="Times New Roman"/>
                <w:b/>
                <w:bCs/>
                <w:szCs w:val="24"/>
                <w:lang w:eastAsia="es-ES"/>
              </w:rPr>
            </w:pPr>
          </w:p>
        </w:tc>
      </w:tr>
      <w:tr w:rsidR="00611995" w14:paraId="252331F8" w14:textId="77777777" w:rsidTr="00611995">
        <w:tc>
          <w:tcPr>
            <w:tcW w:w="14317" w:type="dxa"/>
          </w:tcPr>
          <w:p w14:paraId="50D47B8C" w14:textId="77777777" w:rsidR="00611995" w:rsidRDefault="00611995" w:rsidP="006A3D7A">
            <w:pPr>
              <w:shd w:val="clear" w:color="auto" w:fill="FFFFFF"/>
              <w:spacing w:line="360" w:lineRule="auto"/>
              <w:rPr>
                <w:rFonts w:eastAsia="Times New Roman" w:cs="Times New Roman"/>
                <w:b/>
                <w:bCs/>
                <w:szCs w:val="24"/>
                <w:lang w:eastAsia="es-ES"/>
              </w:rPr>
            </w:pPr>
          </w:p>
          <w:p w14:paraId="02947970"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1.6.1.4.5. Documento sustitutivo de la factura en la distribución masiva y ambulante de bienes</w:t>
            </w:r>
            <w:r>
              <w:rPr>
                <w:rFonts w:eastAsia="Times New Roman" w:cs="Times New Roman"/>
                <w:b/>
                <w:bCs/>
                <w:szCs w:val="24"/>
                <w:lang w:eastAsia="es-ES"/>
              </w:rPr>
              <w:t>.</w:t>
            </w:r>
          </w:p>
          <w:p w14:paraId="15036D6B" w14:textId="77777777" w:rsidR="00611995" w:rsidRDefault="00611995" w:rsidP="006A3D7A">
            <w:pPr>
              <w:shd w:val="clear" w:color="auto" w:fill="FFFFFF"/>
              <w:spacing w:line="360" w:lineRule="auto"/>
              <w:rPr>
                <w:rFonts w:eastAsia="Times New Roman" w:cs="Times New Roman"/>
                <w:b/>
                <w:bCs/>
                <w:szCs w:val="24"/>
                <w:lang w:eastAsia="es-ES"/>
              </w:rPr>
            </w:pPr>
          </w:p>
          <w:p w14:paraId="3F897066"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b/>
                <w:bCs/>
                <w:szCs w:val="24"/>
                <w:lang w:eastAsia="es-ES"/>
              </w:rPr>
              <w:t>Artículo 1.6.1.4.24. Documentos equivalentes a la factura.</w:t>
            </w:r>
            <w:r w:rsidRPr="000472B7">
              <w:rPr>
                <w:rFonts w:eastAsia="Times New Roman" w:cs="Times New Roman"/>
                <w:szCs w:val="24"/>
                <w:lang w:eastAsia="es-ES"/>
              </w:rPr>
              <w:t> Son documentos equivalentes a la factura:</w:t>
            </w:r>
          </w:p>
          <w:p w14:paraId="16A9D153" w14:textId="77777777" w:rsidR="00611995" w:rsidRPr="000472B7" w:rsidRDefault="00611995" w:rsidP="006A3D7A">
            <w:pPr>
              <w:shd w:val="clear" w:color="auto" w:fill="FFFFFF"/>
              <w:spacing w:line="360" w:lineRule="auto"/>
              <w:rPr>
                <w:rFonts w:eastAsia="Times New Roman" w:cs="Times New Roman"/>
                <w:szCs w:val="24"/>
                <w:lang w:eastAsia="es-ES"/>
              </w:rPr>
            </w:pPr>
          </w:p>
          <w:p w14:paraId="0BD00F95"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lang w:eastAsia="es-ES"/>
              </w:rPr>
              <w:t>1. Los tiquetes de máquina registradora.</w:t>
            </w:r>
            <w:r>
              <w:rPr>
                <w:rFonts w:eastAsia="Times New Roman" w:cs="Times New Roman"/>
                <w:szCs w:val="24"/>
                <w:lang w:eastAsia="es-ES"/>
              </w:rPr>
              <w:t xml:space="preserve">  </w:t>
            </w:r>
            <w:r w:rsidRPr="002D531D">
              <w:rPr>
                <w:rFonts w:eastAsia="Times New Roman" w:cs="Times New Roman"/>
                <w:szCs w:val="24"/>
                <w:highlight w:val="green"/>
                <w:lang w:eastAsia="es-ES"/>
              </w:rPr>
              <w:t>Continúa el POS, pero no constituye costo.</w:t>
            </w:r>
            <w:r>
              <w:rPr>
                <w:rFonts w:eastAsia="Times New Roman" w:cs="Times New Roman"/>
                <w:szCs w:val="24"/>
                <w:lang w:eastAsia="es-ES"/>
              </w:rPr>
              <w:t xml:space="preserve"> </w:t>
            </w:r>
          </w:p>
          <w:p w14:paraId="47F283F8" w14:textId="77777777" w:rsidR="00611995" w:rsidRPr="000472B7" w:rsidRDefault="00611995" w:rsidP="006A3D7A">
            <w:pPr>
              <w:shd w:val="clear" w:color="auto" w:fill="FFFFFF"/>
              <w:spacing w:line="360" w:lineRule="auto"/>
              <w:rPr>
                <w:rFonts w:eastAsia="Times New Roman" w:cs="Times New Roman"/>
                <w:szCs w:val="24"/>
                <w:lang w:eastAsia="es-ES"/>
              </w:rPr>
            </w:pPr>
          </w:p>
          <w:p w14:paraId="3DBDADD1"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lang w:eastAsia="es-ES"/>
              </w:rPr>
              <w:t xml:space="preserve">2. </w:t>
            </w:r>
            <w:r w:rsidRPr="000472B7">
              <w:rPr>
                <w:rFonts w:eastAsia="Times New Roman" w:cs="Times New Roman"/>
                <w:szCs w:val="24"/>
                <w:highlight w:val="green"/>
                <w:lang w:eastAsia="es-ES"/>
              </w:rPr>
              <w:t>Las boletas de ingreso a espectáculos públicos.</w:t>
            </w:r>
          </w:p>
          <w:p w14:paraId="30C1F3E8" w14:textId="77777777" w:rsidR="00611995" w:rsidRPr="000472B7" w:rsidRDefault="00611995" w:rsidP="006A3D7A">
            <w:pPr>
              <w:shd w:val="clear" w:color="auto" w:fill="FFFFFF"/>
              <w:spacing w:line="360" w:lineRule="auto"/>
              <w:rPr>
                <w:rFonts w:eastAsia="Times New Roman" w:cs="Times New Roman"/>
                <w:szCs w:val="24"/>
                <w:lang w:eastAsia="es-ES"/>
              </w:rPr>
            </w:pPr>
          </w:p>
          <w:p w14:paraId="1BB6E1FA"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lang w:eastAsia="es-ES"/>
              </w:rPr>
              <w:t xml:space="preserve">3. </w:t>
            </w:r>
            <w:r w:rsidRPr="000472B7">
              <w:rPr>
                <w:rFonts w:eastAsia="Times New Roman" w:cs="Times New Roman"/>
                <w:szCs w:val="24"/>
                <w:highlight w:val="green"/>
                <w:lang w:eastAsia="es-ES"/>
              </w:rPr>
              <w:t>Los tiquetes de transporte de pasajeros.</w:t>
            </w:r>
          </w:p>
          <w:p w14:paraId="5207ED5D" w14:textId="77777777" w:rsidR="00611995" w:rsidRPr="000472B7" w:rsidRDefault="00611995" w:rsidP="006A3D7A">
            <w:pPr>
              <w:shd w:val="clear" w:color="auto" w:fill="FFFFFF"/>
              <w:spacing w:line="360" w:lineRule="auto"/>
              <w:rPr>
                <w:rFonts w:eastAsia="Times New Roman" w:cs="Times New Roman"/>
                <w:szCs w:val="24"/>
                <w:lang w:eastAsia="es-ES"/>
              </w:rPr>
            </w:pPr>
          </w:p>
          <w:p w14:paraId="1529F5CF"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lang w:eastAsia="es-ES"/>
              </w:rPr>
              <w:t>4. Los recibos de pago de matrículas y pensiones expedidos por establecimientos de educación reconocidos por el Gobierno.</w:t>
            </w:r>
          </w:p>
          <w:p w14:paraId="05C7C4B1" w14:textId="77777777" w:rsidR="00611995" w:rsidRPr="000472B7" w:rsidRDefault="00611995" w:rsidP="006A3D7A">
            <w:pPr>
              <w:shd w:val="clear" w:color="auto" w:fill="FFFFFF"/>
              <w:spacing w:line="360" w:lineRule="auto"/>
              <w:rPr>
                <w:rFonts w:eastAsia="Times New Roman" w:cs="Times New Roman"/>
                <w:szCs w:val="24"/>
                <w:lang w:eastAsia="es-ES"/>
              </w:rPr>
            </w:pPr>
          </w:p>
          <w:p w14:paraId="5BD18082"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lang w:eastAsia="es-ES"/>
              </w:rPr>
              <w:t>5. Pólizas de seguros, títulos de capitalización y los respectivos comprobantes de pago.</w:t>
            </w:r>
          </w:p>
          <w:p w14:paraId="0F3BDCA3" w14:textId="77777777" w:rsidR="00611995" w:rsidRPr="000472B7" w:rsidRDefault="00611995" w:rsidP="006A3D7A">
            <w:pPr>
              <w:shd w:val="clear" w:color="auto" w:fill="FFFFFF"/>
              <w:spacing w:line="360" w:lineRule="auto"/>
              <w:rPr>
                <w:rFonts w:eastAsia="Times New Roman" w:cs="Times New Roman"/>
                <w:szCs w:val="24"/>
                <w:lang w:eastAsia="es-ES"/>
              </w:rPr>
            </w:pPr>
          </w:p>
          <w:p w14:paraId="068C11CA"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highlight w:val="green"/>
                <w:lang w:eastAsia="es-ES"/>
              </w:rPr>
              <w:lastRenderedPageBreak/>
              <w:t>6. Extractos expedidos por sociedades fiduciarias, fondos de inversión, fondos de inversión extranjera, fondos mutuos de inversión, fondos de valores, fondos de pensiones y de cesantías.</w:t>
            </w:r>
          </w:p>
          <w:p w14:paraId="46932B2E" w14:textId="77777777" w:rsidR="00611995" w:rsidRPr="000472B7" w:rsidRDefault="00611995" w:rsidP="006A3D7A">
            <w:pPr>
              <w:shd w:val="clear" w:color="auto" w:fill="FFFFFF"/>
              <w:spacing w:line="360" w:lineRule="auto"/>
              <w:rPr>
                <w:rFonts w:eastAsia="Times New Roman" w:cs="Times New Roman"/>
                <w:szCs w:val="24"/>
                <w:lang w:eastAsia="es-ES"/>
              </w:rPr>
            </w:pPr>
          </w:p>
          <w:p w14:paraId="16EC516A" w14:textId="77777777" w:rsidR="00611995" w:rsidRPr="000472B7" w:rsidRDefault="00611995" w:rsidP="006A3D7A">
            <w:pPr>
              <w:shd w:val="clear" w:color="auto" w:fill="FFFFFF"/>
              <w:spacing w:line="360" w:lineRule="auto"/>
              <w:rPr>
                <w:rFonts w:eastAsia="Times New Roman" w:cs="Times New Roman"/>
                <w:szCs w:val="24"/>
                <w:lang w:eastAsia="es-ES"/>
              </w:rPr>
            </w:pPr>
            <w:r w:rsidRPr="000472B7">
              <w:rPr>
                <w:rFonts w:eastAsia="Times New Roman" w:cs="Times New Roman"/>
                <w:szCs w:val="24"/>
                <w:highlight w:val="green"/>
                <w:lang w:eastAsia="es-ES"/>
              </w:rPr>
              <w:t>7. Los tiquetes o billetes de transporte aéreo de pasajeros, incluido el tiquete o billete electrónico (ETKT), el bono de Crédito (MCO Miscellaneous Charges Order), el documento de uso múltiple o multipropósito – MPD., el documento de cobro de la tasa administrativa por parte de las agencias de viajes TASF (Ticket Agency Service Fee), así como los demás documentos que se expidan de conformidad con las regulaciones establecidas por la Asociación Internacional de Transporte Aéreo – IATA, sean estos virtuales o físicos.</w:t>
            </w:r>
          </w:p>
          <w:p w14:paraId="02FC10D9" w14:textId="77777777" w:rsidR="00611995" w:rsidRDefault="00611995" w:rsidP="006A3D7A">
            <w:pPr>
              <w:shd w:val="clear" w:color="auto" w:fill="FFFFFF"/>
              <w:spacing w:line="360" w:lineRule="auto"/>
              <w:rPr>
                <w:rFonts w:eastAsia="Times New Roman" w:cs="Times New Roman"/>
                <w:b/>
                <w:bCs/>
                <w:szCs w:val="24"/>
                <w:lang w:eastAsia="es-ES"/>
              </w:rPr>
            </w:pPr>
          </w:p>
          <w:p w14:paraId="1B1F174C" w14:textId="77777777" w:rsidR="00611995" w:rsidRDefault="00611995" w:rsidP="006A3D7A">
            <w:pPr>
              <w:shd w:val="clear" w:color="auto" w:fill="FFFFFF"/>
              <w:spacing w:line="360" w:lineRule="auto"/>
              <w:rPr>
                <w:rFonts w:eastAsia="Times New Roman" w:cs="Times New Roman"/>
                <w:szCs w:val="24"/>
                <w:lang w:eastAsia="es-ES"/>
              </w:rPr>
            </w:pPr>
            <w:r w:rsidRPr="00403B88">
              <w:rPr>
                <w:rFonts w:eastAsia="Times New Roman" w:cs="Times New Roman"/>
                <w:b/>
                <w:bCs/>
                <w:szCs w:val="24"/>
                <w:lang w:eastAsia="es-ES"/>
              </w:rPr>
              <w:t>8. Factura electrónica</w:t>
            </w:r>
            <w:r w:rsidRPr="00403B88">
              <w:rPr>
                <w:rFonts w:eastAsia="Times New Roman" w:cs="Times New Roman"/>
                <w:szCs w:val="24"/>
                <w:lang w:eastAsia="es-ES"/>
              </w:rPr>
              <w:t>.</w:t>
            </w:r>
          </w:p>
          <w:p w14:paraId="12CD7683" w14:textId="77777777" w:rsidR="00611995" w:rsidRPr="00403B88" w:rsidRDefault="00611995" w:rsidP="006A3D7A">
            <w:pPr>
              <w:shd w:val="clear" w:color="auto" w:fill="FFFFFF"/>
              <w:spacing w:line="360" w:lineRule="auto"/>
              <w:rPr>
                <w:rFonts w:eastAsia="Times New Roman" w:cs="Times New Roman"/>
                <w:szCs w:val="24"/>
                <w:lang w:eastAsia="es-ES"/>
              </w:rPr>
            </w:pPr>
          </w:p>
          <w:p w14:paraId="6F483709" w14:textId="77777777" w:rsidR="00611995" w:rsidRPr="00403B88" w:rsidRDefault="00611995" w:rsidP="006A3D7A">
            <w:pPr>
              <w:shd w:val="clear" w:color="auto" w:fill="FFFFFF"/>
              <w:spacing w:line="360" w:lineRule="auto"/>
              <w:rPr>
                <w:rFonts w:eastAsia="Times New Roman" w:cs="Times New Roman"/>
                <w:szCs w:val="24"/>
                <w:lang w:eastAsia="es-ES"/>
              </w:rPr>
            </w:pPr>
            <w:r w:rsidRPr="00403B88">
              <w:rPr>
                <w:rFonts w:eastAsia="Times New Roman" w:cs="Times New Roman"/>
                <w:b/>
                <w:bCs/>
                <w:szCs w:val="24"/>
                <w:lang w:eastAsia="es-ES"/>
              </w:rPr>
              <w:t>Artículo 1.6.1.4.25. Requisitos de los documentos equivalentes a la factura. </w:t>
            </w:r>
            <w:r w:rsidRPr="00403B88">
              <w:rPr>
                <w:rFonts w:eastAsia="Times New Roman" w:cs="Times New Roman"/>
                <w:szCs w:val="24"/>
                <w:lang w:eastAsia="es-ES"/>
              </w:rPr>
              <w:t>Los documentos equivalentes a la factura deberán contener como mínimo los siguientes requisitos:</w:t>
            </w:r>
          </w:p>
          <w:p w14:paraId="40743DFE" w14:textId="77777777" w:rsidR="00611995" w:rsidRPr="00403B88" w:rsidRDefault="00611995" w:rsidP="006A3D7A">
            <w:pPr>
              <w:shd w:val="clear" w:color="auto" w:fill="FFFFFF"/>
              <w:spacing w:line="360" w:lineRule="auto"/>
              <w:rPr>
                <w:rFonts w:eastAsia="Times New Roman" w:cs="Times New Roman"/>
                <w:szCs w:val="24"/>
                <w:lang w:eastAsia="es-ES"/>
              </w:rPr>
            </w:pPr>
          </w:p>
          <w:p w14:paraId="467B1E80" w14:textId="77777777" w:rsidR="00611995" w:rsidRPr="00403B88" w:rsidRDefault="00611995" w:rsidP="006A3D7A">
            <w:pPr>
              <w:shd w:val="clear" w:color="auto" w:fill="FFFFFF"/>
              <w:spacing w:line="360" w:lineRule="auto"/>
              <w:rPr>
                <w:rFonts w:eastAsia="Times New Roman" w:cs="Times New Roman"/>
                <w:b/>
                <w:bCs/>
                <w:sz w:val="28"/>
                <w:szCs w:val="28"/>
                <w:lang w:eastAsia="es-ES"/>
              </w:rPr>
            </w:pPr>
            <w:r w:rsidRPr="00403B88">
              <w:rPr>
                <w:rFonts w:eastAsia="Times New Roman" w:cs="Times New Roman"/>
                <w:b/>
                <w:bCs/>
                <w:sz w:val="28"/>
                <w:szCs w:val="28"/>
                <w:lang w:eastAsia="es-ES"/>
              </w:rPr>
              <w:t xml:space="preserve">1. </w:t>
            </w:r>
            <w:r w:rsidRPr="00403B88">
              <w:rPr>
                <w:rFonts w:eastAsia="Times New Roman" w:cs="Times New Roman"/>
                <w:b/>
                <w:bCs/>
                <w:sz w:val="28"/>
                <w:szCs w:val="28"/>
                <w:highlight w:val="yellow"/>
                <w:lang w:eastAsia="es-ES"/>
              </w:rPr>
              <w:t>Máquinas registradoras</w:t>
            </w:r>
            <w:r w:rsidRPr="00245DFB">
              <w:rPr>
                <w:rFonts w:eastAsia="Times New Roman" w:cs="Times New Roman"/>
                <w:b/>
                <w:bCs/>
                <w:sz w:val="28"/>
                <w:szCs w:val="28"/>
                <w:highlight w:val="yellow"/>
                <w:lang w:eastAsia="es-ES"/>
              </w:rPr>
              <w:t>. Documentos equivalente</w:t>
            </w:r>
            <w:r>
              <w:rPr>
                <w:rFonts w:eastAsia="Times New Roman" w:cs="Times New Roman"/>
                <w:b/>
                <w:bCs/>
                <w:sz w:val="28"/>
                <w:szCs w:val="28"/>
                <w:highlight w:val="yellow"/>
                <w:lang w:eastAsia="es-ES"/>
              </w:rPr>
              <w:t>s</w:t>
            </w:r>
            <w:r w:rsidRPr="00245DFB">
              <w:rPr>
                <w:rFonts w:eastAsia="Times New Roman" w:cs="Times New Roman"/>
                <w:b/>
                <w:bCs/>
                <w:sz w:val="28"/>
                <w:szCs w:val="28"/>
                <w:highlight w:val="yellow"/>
                <w:lang w:eastAsia="es-ES"/>
              </w:rPr>
              <w:t xml:space="preserve"> según el inciso segundo del artículo 615 del E.T.</w:t>
            </w:r>
            <w:r>
              <w:rPr>
                <w:rFonts w:eastAsia="Times New Roman" w:cs="Times New Roman"/>
                <w:b/>
                <w:bCs/>
                <w:sz w:val="28"/>
                <w:szCs w:val="28"/>
                <w:lang w:eastAsia="es-ES"/>
              </w:rPr>
              <w:t xml:space="preserve"> </w:t>
            </w:r>
          </w:p>
          <w:p w14:paraId="7C4DFD8C" w14:textId="77777777" w:rsidR="00611995" w:rsidRPr="00403B88" w:rsidRDefault="00611995" w:rsidP="006A3D7A">
            <w:pPr>
              <w:shd w:val="clear" w:color="auto" w:fill="FFFFFF"/>
              <w:spacing w:line="360" w:lineRule="auto"/>
              <w:rPr>
                <w:rFonts w:eastAsia="Times New Roman" w:cs="Times New Roman"/>
                <w:szCs w:val="24"/>
                <w:lang w:eastAsia="es-ES"/>
              </w:rPr>
            </w:pPr>
            <w:r w:rsidRPr="00403B88">
              <w:rPr>
                <w:rFonts w:eastAsia="Times New Roman" w:cs="Times New Roman"/>
                <w:b/>
                <w:bCs/>
                <w:sz w:val="28"/>
                <w:szCs w:val="28"/>
                <w:lang w:eastAsia="es-ES"/>
              </w:rPr>
              <w:br/>
            </w:r>
            <w:r w:rsidRPr="00403B88">
              <w:rPr>
                <w:rFonts w:eastAsia="Times New Roman" w:cs="Times New Roman"/>
                <w:szCs w:val="24"/>
                <w:lang w:eastAsia="es-ES"/>
              </w:rPr>
              <w:t>a) Máquinas registradoras con sistema POS</w:t>
            </w:r>
          </w:p>
          <w:p w14:paraId="5704D706" w14:textId="77777777" w:rsidR="00611995" w:rsidRDefault="00611995" w:rsidP="006A3D7A">
            <w:pPr>
              <w:shd w:val="clear" w:color="auto" w:fill="FFFFFF"/>
              <w:spacing w:line="360" w:lineRule="auto"/>
              <w:rPr>
                <w:rFonts w:eastAsia="Times New Roman" w:cs="Times New Roman"/>
                <w:szCs w:val="24"/>
                <w:lang w:eastAsia="es-ES"/>
              </w:rPr>
            </w:pPr>
          </w:p>
          <w:p w14:paraId="6FB9E20F" w14:textId="77777777" w:rsidR="00611995" w:rsidRDefault="00611995" w:rsidP="006A3D7A">
            <w:pPr>
              <w:shd w:val="clear" w:color="auto" w:fill="FFFFFF"/>
              <w:spacing w:line="360" w:lineRule="auto"/>
              <w:rPr>
                <w:rFonts w:eastAsia="Times New Roman" w:cs="Times New Roman"/>
                <w:szCs w:val="24"/>
                <w:lang w:eastAsia="es-ES"/>
              </w:rPr>
            </w:pPr>
            <w:r w:rsidRPr="001D29C9">
              <w:rPr>
                <w:rFonts w:eastAsia="Times New Roman" w:cs="Times New Roman"/>
                <w:szCs w:val="24"/>
                <w:lang w:eastAsia="es-ES"/>
              </w:rPr>
              <w:t>b) Máquinas registradoras por artículo (PLU) con departamentos y máquinas registradoras por departamentos.</w:t>
            </w:r>
          </w:p>
          <w:p w14:paraId="49225455" w14:textId="77777777" w:rsidR="00611995" w:rsidRPr="001D29C9" w:rsidRDefault="00611995" w:rsidP="006A3D7A">
            <w:pPr>
              <w:shd w:val="clear" w:color="auto" w:fill="FFFFFF"/>
              <w:spacing w:line="360" w:lineRule="auto"/>
              <w:rPr>
                <w:rFonts w:eastAsia="Times New Roman" w:cs="Times New Roman"/>
                <w:szCs w:val="24"/>
                <w:lang w:eastAsia="es-ES"/>
              </w:rPr>
            </w:pPr>
          </w:p>
          <w:p w14:paraId="450A1686" w14:textId="77777777" w:rsidR="00611995" w:rsidRPr="001D29C9" w:rsidRDefault="00611995" w:rsidP="006A3D7A">
            <w:pPr>
              <w:shd w:val="clear" w:color="auto" w:fill="FFFFFF"/>
              <w:spacing w:line="360" w:lineRule="auto"/>
              <w:rPr>
                <w:rFonts w:eastAsia="Times New Roman" w:cs="Times New Roman"/>
                <w:b/>
                <w:bCs/>
                <w:sz w:val="28"/>
                <w:szCs w:val="28"/>
                <w:lang w:eastAsia="es-ES"/>
              </w:rPr>
            </w:pPr>
            <w:r w:rsidRPr="001D29C9">
              <w:rPr>
                <w:rFonts w:eastAsia="Times New Roman" w:cs="Times New Roman"/>
                <w:b/>
                <w:bCs/>
                <w:sz w:val="28"/>
                <w:szCs w:val="28"/>
                <w:lang w:eastAsia="es-ES"/>
              </w:rPr>
              <w:t>2. Boletas de ingreso a espectáculos públicos y recibos de pago de matrículas y pensiones</w:t>
            </w:r>
          </w:p>
          <w:p w14:paraId="2F0EDDC2" w14:textId="77777777" w:rsidR="00611995" w:rsidRPr="001D29C9" w:rsidRDefault="00611995" w:rsidP="006A3D7A">
            <w:pPr>
              <w:shd w:val="clear" w:color="auto" w:fill="FFFFFF"/>
              <w:spacing w:line="360" w:lineRule="auto"/>
              <w:rPr>
                <w:rFonts w:eastAsia="Times New Roman" w:cs="Times New Roman"/>
                <w:szCs w:val="24"/>
                <w:lang w:eastAsia="es-ES"/>
              </w:rPr>
            </w:pPr>
          </w:p>
          <w:p w14:paraId="685E3577" w14:textId="77777777" w:rsidR="00611995" w:rsidRPr="001D29C9" w:rsidRDefault="00611995" w:rsidP="006A3D7A">
            <w:pPr>
              <w:shd w:val="clear" w:color="auto" w:fill="FFFFFF"/>
              <w:spacing w:line="360" w:lineRule="auto"/>
              <w:rPr>
                <w:rFonts w:eastAsia="Times New Roman" w:cs="Times New Roman"/>
                <w:sz w:val="28"/>
                <w:szCs w:val="28"/>
                <w:lang w:eastAsia="es-ES"/>
              </w:rPr>
            </w:pPr>
            <w:r w:rsidRPr="001D29C9">
              <w:rPr>
                <w:rFonts w:eastAsia="Times New Roman" w:cs="Times New Roman"/>
                <w:sz w:val="28"/>
                <w:szCs w:val="28"/>
                <w:lang w:eastAsia="es-ES"/>
              </w:rPr>
              <w:lastRenderedPageBreak/>
              <w:t>a</w:t>
            </w:r>
            <w:r w:rsidRPr="001D29C9">
              <w:rPr>
                <w:rFonts w:eastAsia="Times New Roman" w:cs="Times New Roman"/>
                <w:sz w:val="28"/>
                <w:szCs w:val="28"/>
                <w:highlight w:val="green"/>
                <w:lang w:eastAsia="es-ES"/>
              </w:rPr>
              <w:t>) Boletas de ingreso a cine</w:t>
            </w:r>
            <w:r w:rsidRPr="001D29C9">
              <w:rPr>
                <w:rFonts w:eastAsia="Times New Roman" w:cs="Times New Roman"/>
                <w:sz w:val="28"/>
                <w:szCs w:val="28"/>
                <w:lang w:eastAsia="es-ES"/>
              </w:rPr>
              <w:t>.</w:t>
            </w:r>
          </w:p>
          <w:p w14:paraId="0135F5D8" w14:textId="77777777" w:rsidR="00611995" w:rsidRDefault="00611995" w:rsidP="006A3D7A">
            <w:pPr>
              <w:spacing w:line="360" w:lineRule="auto"/>
              <w:rPr>
                <w:rFonts w:eastAsia="Times New Roman" w:cs="Times New Roman"/>
                <w:sz w:val="28"/>
                <w:szCs w:val="28"/>
                <w:lang w:eastAsia="es-ES"/>
              </w:rPr>
            </w:pPr>
          </w:p>
          <w:p w14:paraId="0E250A42" w14:textId="77777777" w:rsidR="00611995" w:rsidRDefault="00611995" w:rsidP="006A3D7A">
            <w:pPr>
              <w:spacing w:line="360" w:lineRule="auto"/>
              <w:rPr>
                <w:rFonts w:eastAsia="Times New Roman" w:cs="Times New Roman"/>
                <w:sz w:val="28"/>
                <w:szCs w:val="28"/>
                <w:lang w:eastAsia="es-ES"/>
              </w:rPr>
            </w:pPr>
            <w:r w:rsidRPr="00460A29">
              <w:rPr>
                <w:rFonts w:eastAsia="Times New Roman" w:cs="Times New Roman"/>
                <w:sz w:val="28"/>
                <w:szCs w:val="28"/>
                <w:lang w:eastAsia="es-ES"/>
              </w:rPr>
              <w:t xml:space="preserve">b) </w:t>
            </w:r>
            <w:r w:rsidRPr="003525A7">
              <w:rPr>
                <w:rFonts w:eastAsia="Times New Roman" w:cs="Times New Roman"/>
                <w:sz w:val="28"/>
                <w:szCs w:val="28"/>
                <w:highlight w:val="green"/>
                <w:lang w:eastAsia="es-ES"/>
              </w:rPr>
              <w:t>Boletas de ingreso a otros espectáculos públicos</w:t>
            </w:r>
            <w:r w:rsidRPr="00460A29">
              <w:rPr>
                <w:rFonts w:eastAsia="Times New Roman" w:cs="Times New Roman"/>
                <w:sz w:val="28"/>
                <w:szCs w:val="28"/>
                <w:lang w:eastAsia="es-ES"/>
              </w:rPr>
              <w:t xml:space="preserve"> y recibos de pago de matrículas y pensiones.</w:t>
            </w:r>
            <w:r>
              <w:rPr>
                <w:rFonts w:eastAsia="Times New Roman" w:cs="Times New Roman"/>
                <w:sz w:val="28"/>
                <w:szCs w:val="28"/>
                <w:lang w:eastAsia="es-ES"/>
              </w:rPr>
              <w:t xml:space="preserve"> </w:t>
            </w:r>
            <w:r w:rsidRPr="003525A7">
              <w:rPr>
                <w:rFonts w:eastAsia="Times New Roman" w:cs="Times New Roman"/>
                <w:b/>
                <w:bCs/>
                <w:sz w:val="28"/>
                <w:szCs w:val="28"/>
                <w:lang w:eastAsia="es-ES"/>
              </w:rPr>
              <w:t>13.</w:t>
            </w:r>
            <w:r>
              <w:rPr>
                <w:rFonts w:eastAsia="Times New Roman" w:cs="Times New Roman"/>
                <w:sz w:val="28"/>
                <w:szCs w:val="28"/>
                <w:lang w:eastAsia="es-ES"/>
              </w:rPr>
              <w:t xml:space="preserve"> </w:t>
            </w:r>
          </w:p>
          <w:p w14:paraId="3E072E97" w14:textId="77777777" w:rsidR="00611995" w:rsidRPr="00460A29" w:rsidRDefault="00611995" w:rsidP="006A3D7A">
            <w:pPr>
              <w:spacing w:line="360" w:lineRule="auto"/>
              <w:rPr>
                <w:rFonts w:eastAsia="Times New Roman" w:cs="Times New Roman"/>
                <w:sz w:val="28"/>
                <w:szCs w:val="28"/>
                <w:lang w:eastAsia="es-ES"/>
              </w:rPr>
            </w:pPr>
          </w:p>
          <w:p w14:paraId="34932711" w14:textId="38DD6379" w:rsidR="00611995" w:rsidRDefault="00611995" w:rsidP="006A3D7A">
            <w:pPr>
              <w:spacing w:line="360" w:lineRule="auto"/>
              <w:rPr>
                <w:rFonts w:eastAsia="Times New Roman" w:cs="Times New Roman"/>
                <w:b/>
                <w:bCs/>
                <w:sz w:val="28"/>
                <w:szCs w:val="28"/>
                <w:lang w:eastAsia="es-ES"/>
              </w:rPr>
            </w:pPr>
            <w:r w:rsidRPr="00901AE4">
              <w:rPr>
                <w:rFonts w:eastAsia="Times New Roman" w:cs="Times New Roman"/>
                <w:b/>
                <w:bCs/>
                <w:sz w:val="28"/>
                <w:szCs w:val="28"/>
                <w:lang w:eastAsia="es-ES"/>
              </w:rPr>
              <w:t xml:space="preserve">3. </w:t>
            </w:r>
            <w:r w:rsidRPr="002D531D">
              <w:rPr>
                <w:rFonts w:eastAsia="Times New Roman" w:cs="Times New Roman"/>
                <w:b/>
                <w:bCs/>
                <w:sz w:val="28"/>
                <w:szCs w:val="28"/>
                <w:highlight w:val="green"/>
                <w:lang w:eastAsia="es-ES"/>
              </w:rPr>
              <w:t>Tiquetes de transporte de pasajeros</w:t>
            </w:r>
            <w:r w:rsidRPr="00901AE4">
              <w:rPr>
                <w:rFonts w:eastAsia="Times New Roman" w:cs="Times New Roman"/>
                <w:b/>
                <w:bCs/>
                <w:sz w:val="28"/>
                <w:szCs w:val="28"/>
                <w:lang w:eastAsia="es-ES"/>
              </w:rPr>
              <w:t>, pólizas de seguros,</w:t>
            </w:r>
            <w:r>
              <w:rPr>
                <w:rFonts w:eastAsia="Times New Roman" w:cs="Times New Roman"/>
                <w:b/>
                <w:bCs/>
                <w:sz w:val="28"/>
                <w:szCs w:val="28"/>
                <w:lang w:eastAsia="es-ES"/>
              </w:rPr>
              <w:t xml:space="preserve"> (14) </w:t>
            </w:r>
            <w:r w:rsidRPr="00901AE4">
              <w:rPr>
                <w:rFonts w:eastAsia="Times New Roman" w:cs="Times New Roman"/>
                <w:b/>
                <w:bCs/>
                <w:sz w:val="28"/>
                <w:szCs w:val="28"/>
                <w:lang w:eastAsia="es-ES"/>
              </w:rPr>
              <w:t>títulos de capitalización</w:t>
            </w:r>
            <w:r>
              <w:rPr>
                <w:rFonts w:eastAsia="Times New Roman" w:cs="Times New Roman"/>
                <w:b/>
                <w:bCs/>
                <w:sz w:val="28"/>
                <w:szCs w:val="28"/>
                <w:lang w:eastAsia="es-ES"/>
              </w:rPr>
              <w:t xml:space="preserve"> (15) </w:t>
            </w:r>
            <w:r w:rsidRPr="00901AE4">
              <w:rPr>
                <w:rFonts w:eastAsia="Times New Roman" w:cs="Times New Roman"/>
                <w:b/>
                <w:bCs/>
                <w:sz w:val="28"/>
                <w:szCs w:val="28"/>
                <w:lang w:eastAsia="es-ES"/>
              </w:rPr>
              <w:t>y sus comprobantes de pago</w:t>
            </w:r>
            <w:r>
              <w:rPr>
                <w:rFonts w:eastAsia="Times New Roman" w:cs="Times New Roman"/>
                <w:b/>
                <w:bCs/>
                <w:sz w:val="28"/>
                <w:szCs w:val="28"/>
                <w:lang w:eastAsia="es-ES"/>
              </w:rPr>
              <w:t>.</w:t>
            </w:r>
          </w:p>
          <w:p w14:paraId="0C4E8EFF" w14:textId="77777777" w:rsidR="00611995" w:rsidRDefault="00611995" w:rsidP="006A3D7A">
            <w:pPr>
              <w:spacing w:line="360" w:lineRule="auto"/>
              <w:rPr>
                <w:rFonts w:eastAsia="Times New Roman" w:cs="Times New Roman"/>
                <w:b/>
                <w:bCs/>
                <w:sz w:val="28"/>
                <w:szCs w:val="28"/>
                <w:lang w:eastAsia="es-ES"/>
              </w:rPr>
            </w:pPr>
          </w:p>
          <w:p w14:paraId="3CD07B9E"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 w:val="28"/>
                <w:szCs w:val="28"/>
                <w:lang w:eastAsia="es-ES"/>
              </w:rPr>
              <w:t xml:space="preserve">4. </w:t>
            </w:r>
            <w:r w:rsidRPr="002D531D">
              <w:rPr>
                <w:rFonts w:eastAsia="Times New Roman" w:cs="Times New Roman"/>
                <w:b/>
                <w:bCs/>
                <w:sz w:val="28"/>
                <w:szCs w:val="28"/>
                <w:highlight w:val="green"/>
                <w:lang w:eastAsia="es-ES"/>
              </w:rPr>
              <w:t>Extractos expedidos por sociedades fiduciarias, fondos de inversión, fondos de inversión extranjera, fondos mutuos de inversión, fondos de valores, fondos de pensiones y de cesantías.</w:t>
            </w:r>
          </w:p>
        </w:tc>
      </w:tr>
      <w:tr w:rsidR="00611995" w14:paraId="6686173B" w14:textId="77777777" w:rsidTr="00611995">
        <w:tc>
          <w:tcPr>
            <w:tcW w:w="14317" w:type="dxa"/>
          </w:tcPr>
          <w:p w14:paraId="185A9801"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lastRenderedPageBreak/>
              <w:t>Artículo 1.6.1.4.26. Documentos sustitutivos de la factura.</w:t>
            </w:r>
            <w:r w:rsidRPr="00901AE4">
              <w:rPr>
                <w:rFonts w:eastAsia="Times New Roman" w:cs="Times New Roman"/>
                <w:szCs w:val="24"/>
                <w:lang w:eastAsia="es-ES"/>
              </w:rPr>
              <w:t> En el servicio de utilización o préstamo a cualquier título de juegos de suerte y azar o electrónicos</w:t>
            </w:r>
          </w:p>
        </w:tc>
      </w:tr>
      <w:tr w:rsidR="00611995" w14:paraId="4A671B66" w14:textId="77777777" w:rsidTr="00611995">
        <w:tc>
          <w:tcPr>
            <w:tcW w:w="14317" w:type="dxa"/>
          </w:tcPr>
          <w:p w14:paraId="567B11CF"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1.6.1.4.27. Reportes de las agencias de viaje.</w:t>
            </w:r>
            <w:r w:rsidRPr="00901AE4">
              <w:rPr>
                <w:rFonts w:eastAsia="Times New Roman" w:cs="Times New Roman"/>
                <w:szCs w:val="24"/>
                <w:lang w:eastAsia="es-ES"/>
              </w:rPr>
              <w:t> En el caso de las agencias de viaje, la obligación de facturar a las empresas transportadoras, se cumple con la relación periódica de operaciones que haya realizado el intermediario por cuenta de la empresa transportadora,</w:t>
            </w:r>
          </w:p>
        </w:tc>
      </w:tr>
      <w:tr w:rsidR="00611995" w14:paraId="53F28183" w14:textId="77777777" w:rsidTr="00611995">
        <w:tc>
          <w:tcPr>
            <w:tcW w:w="14317" w:type="dxa"/>
          </w:tcPr>
          <w:p w14:paraId="50792E50"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1.6.1.4.28. Suscripción masiva de servicios de televisión.</w:t>
            </w:r>
            <w:r w:rsidRPr="00901AE4">
              <w:rPr>
                <w:rFonts w:eastAsia="Times New Roman" w:cs="Times New Roman"/>
                <w:szCs w:val="24"/>
                <w:lang w:eastAsia="es-ES"/>
              </w:rPr>
              <w:t> Tratándose de servicios de televisión por suscripción o cable, se entiende cumplida la obligación de facturar con la expedición de la factura a la sociedad o junta administradora del edificio o condominio</w:t>
            </w:r>
          </w:p>
        </w:tc>
      </w:tr>
      <w:tr w:rsidR="00611995" w14:paraId="7913D54A" w14:textId="77777777" w:rsidTr="00611995">
        <w:tc>
          <w:tcPr>
            <w:tcW w:w="14317" w:type="dxa"/>
          </w:tcPr>
          <w:p w14:paraId="7AD5D9DC"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1.6.1.4.29. Documento sustitutivo en la entrada a espectáculos públicos.</w:t>
            </w:r>
            <w:r w:rsidRPr="00901AE4">
              <w:rPr>
                <w:rFonts w:eastAsia="Times New Roman" w:cs="Times New Roman"/>
                <w:szCs w:val="24"/>
                <w:lang w:eastAsia="es-ES"/>
              </w:rPr>
              <w:t> Cuando el ingreso a espectáculos públicos se realice mediante el uso de un documento adquirido por una suma única, que autorice la entrada a varios espectáculos sin la expedición de una boleta para cada uno de ellos, se entiende cumplida la obligación de facturar con el comprobante soporte de ventas diarias</w:t>
            </w:r>
          </w:p>
        </w:tc>
      </w:tr>
      <w:tr w:rsidR="00611995" w14:paraId="24B24333" w14:textId="77777777" w:rsidTr="00611995">
        <w:tc>
          <w:tcPr>
            <w:tcW w:w="14317" w:type="dxa"/>
          </w:tcPr>
          <w:p w14:paraId="23AC5128" w14:textId="77777777" w:rsidR="00611995" w:rsidRPr="002D531D" w:rsidRDefault="00611995" w:rsidP="006A3D7A">
            <w:pPr>
              <w:spacing w:line="360" w:lineRule="auto"/>
              <w:rPr>
                <w:rFonts w:eastAsia="Times New Roman" w:cs="Times New Roman"/>
                <w:b/>
                <w:bCs/>
                <w:szCs w:val="24"/>
                <w:highlight w:val="green"/>
                <w:lang w:eastAsia="es-ES"/>
              </w:rPr>
            </w:pPr>
            <w:r w:rsidRPr="002D531D">
              <w:rPr>
                <w:rFonts w:eastAsia="Times New Roman" w:cs="Times New Roman"/>
                <w:b/>
                <w:bCs/>
                <w:szCs w:val="24"/>
                <w:highlight w:val="green"/>
                <w:lang w:eastAsia="es-ES"/>
              </w:rPr>
              <w:t>Artículo 1.6.1.4.30. Documento equivalente a la factura en juegos localizados</w:t>
            </w:r>
          </w:p>
        </w:tc>
      </w:tr>
      <w:tr w:rsidR="00611995" w14:paraId="1582B894" w14:textId="77777777" w:rsidTr="00611995">
        <w:tc>
          <w:tcPr>
            <w:tcW w:w="14317" w:type="dxa"/>
          </w:tcPr>
          <w:p w14:paraId="61EB28A2"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1.6.1.4.31. Documento soporte en los juegos de suerte y azar</w:t>
            </w:r>
          </w:p>
        </w:tc>
      </w:tr>
      <w:tr w:rsidR="00611995" w14:paraId="669A3A0B" w14:textId="77777777" w:rsidTr="00611995">
        <w:tc>
          <w:tcPr>
            <w:tcW w:w="14317" w:type="dxa"/>
          </w:tcPr>
          <w:p w14:paraId="53545DAB"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1.6.1.4.32. Contratos de medicina prepagada y afiliaciones a planes de salud</w:t>
            </w:r>
          </w:p>
        </w:tc>
      </w:tr>
      <w:tr w:rsidR="00611995" w14:paraId="0BC97247" w14:textId="77777777" w:rsidTr="00611995">
        <w:tc>
          <w:tcPr>
            <w:tcW w:w="14317" w:type="dxa"/>
          </w:tcPr>
          <w:p w14:paraId="49318508" w14:textId="77777777" w:rsidR="00611995" w:rsidRDefault="00611995" w:rsidP="006A3D7A">
            <w:pPr>
              <w:spacing w:line="360" w:lineRule="auto"/>
              <w:rPr>
                <w:rFonts w:eastAsia="Times New Roman" w:cs="Times New Roman"/>
                <w:b/>
                <w:bCs/>
                <w:szCs w:val="24"/>
                <w:lang w:eastAsia="es-ES"/>
              </w:rPr>
            </w:pPr>
            <w:r w:rsidRPr="002D531D">
              <w:rPr>
                <w:rFonts w:eastAsia="Times New Roman" w:cs="Times New Roman"/>
                <w:b/>
                <w:bCs/>
                <w:szCs w:val="24"/>
                <w:highlight w:val="green"/>
                <w:lang w:eastAsia="es-ES"/>
              </w:rPr>
              <w:t>Artículo 1.6.1.4.33. Documento equivalente en juegos de suerte y azar diferentes de los juegos localizados</w:t>
            </w:r>
          </w:p>
        </w:tc>
      </w:tr>
      <w:tr w:rsidR="00611995" w14:paraId="22741FE4" w14:textId="77777777" w:rsidTr="00611995">
        <w:tc>
          <w:tcPr>
            <w:tcW w:w="14317" w:type="dxa"/>
          </w:tcPr>
          <w:p w14:paraId="750380E1" w14:textId="77777777" w:rsidR="00611995"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lastRenderedPageBreak/>
              <w:t>Artículo 1.6.1.4.34. Documentos soporte. </w:t>
            </w:r>
            <w:r w:rsidRPr="00901AE4">
              <w:rPr>
                <w:rFonts w:eastAsia="Times New Roman" w:cs="Times New Roman"/>
                <w:szCs w:val="24"/>
                <w:lang w:eastAsia="es-ES"/>
              </w:rPr>
              <w:t>En los espectáculos públicos y en la venta de loterías y rifas al público, no será necesario expedir copia del documento</w:t>
            </w:r>
          </w:p>
        </w:tc>
      </w:tr>
      <w:tr w:rsidR="00611995" w14:paraId="6FA5DDFF" w14:textId="77777777" w:rsidTr="00611995">
        <w:tc>
          <w:tcPr>
            <w:tcW w:w="14317" w:type="dxa"/>
          </w:tcPr>
          <w:p w14:paraId="5BEB5EEF" w14:textId="77777777" w:rsidR="00611995" w:rsidRPr="00901AE4"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1.6.1.4.35. Pagos a miembros de juntas directivas</w:t>
            </w:r>
          </w:p>
        </w:tc>
      </w:tr>
      <w:tr w:rsidR="00611995" w14:paraId="4E9CE303" w14:textId="77777777" w:rsidTr="00611995">
        <w:tc>
          <w:tcPr>
            <w:tcW w:w="14317" w:type="dxa"/>
          </w:tcPr>
          <w:p w14:paraId="17DE84E4" w14:textId="77777777" w:rsidR="00611995" w:rsidRPr="00901AE4"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1.6.1.4.36. Descuentos por nómina</w:t>
            </w:r>
          </w:p>
        </w:tc>
      </w:tr>
      <w:tr w:rsidR="00611995" w14:paraId="414E2457" w14:textId="77777777" w:rsidTr="00611995">
        <w:tc>
          <w:tcPr>
            <w:tcW w:w="14317" w:type="dxa"/>
          </w:tcPr>
          <w:p w14:paraId="53C17FBC" w14:textId="77777777" w:rsidR="00611995" w:rsidRPr="00901AE4" w:rsidRDefault="00611995" w:rsidP="006A3D7A">
            <w:pPr>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1.6.1.4.37. Transacciones en Bolsas de Valores</w:t>
            </w:r>
          </w:p>
        </w:tc>
      </w:tr>
      <w:tr w:rsidR="00611995" w14:paraId="659C5461" w14:textId="77777777" w:rsidTr="00611995">
        <w:tc>
          <w:tcPr>
            <w:tcW w:w="14317" w:type="dxa"/>
          </w:tcPr>
          <w:p w14:paraId="1F14375B" w14:textId="77777777" w:rsidR="00611995" w:rsidRPr="00F3738A" w:rsidRDefault="00611995" w:rsidP="006A3D7A">
            <w:pPr>
              <w:shd w:val="clear" w:color="auto" w:fill="FFFFFF"/>
              <w:spacing w:line="360" w:lineRule="auto"/>
              <w:rPr>
                <w:rFonts w:eastAsia="Times New Roman" w:cs="Times New Roman"/>
                <w:szCs w:val="24"/>
                <w:lang w:eastAsia="es-ES"/>
              </w:rPr>
            </w:pPr>
            <w:r w:rsidRPr="00B9439B">
              <w:rPr>
                <w:rFonts w:eastAsia="Times New Roman" w:cs="Times New Roman"/>
                <w:b/>
                <w:bCs/>
                <w:szCs w:val="24"/>
                <w:lang w:eastAsia="es-ES"/>
              </w:rPr>
              <w:t>Artículo 1.6.1.4.39. Otros documentos equivalentes a la factura.</w:t>
            </w:r>
            <w:r w:rsidRPr="00B9439B">
              <w:rPr>
                <w:rFonts w:eastAsia="Times New Roman" w:cs="Times New Roman"/>
                <w:szCs w:val="24"/>
                <w:lang w:eastAsia="es-ES"/>
              </w:rPr>
              <w:t> Constituyen documentos equivalentes a la factura, los expedidos por entidades de derecho público incluidas las Empresas Industriales y Comerciales del Estado y Sociedades de Economía Mixta donde el Estado posea más del cincuenta por ciento (50%) de su capital</w:t>
            </w:r>
            <w:r w:rsidRPr="00B9439B">
              <w:rPr>
                <w:rFonts w:eastAsia="Times New Roman" w:cs="Times New Roman"/>
                <w:szCs w:val="24"/>
                <w:highlight w:val="green"/>
                <w:lang w:eastAsia="es-ES"/>
              </w:rPr>
              <w:t>, los expedidos por empresas o entidades que presten servicios públicos</w:t>
            </w:r>
            <w:r w:rsidRPr="00B9439B">
              <w:rPr>
                <w:rFonts w:eastAsia="Times New Roman" w:cs="Times New Roman"/>
                <w:szCs w:val="24"/>
                <w:lang w:eastAsia="es-ES"/>
              </w:rPr>
              <w:t xml:space="preserve"> domiciliarios, cámaras de comercio, notarías y en general los expedidos por los no responsables del impuesto sobre las ventas que simultáneamente no sean contribuyentes del impuesto sobre la renta. Estos documentos deberán contener como mínimo los siguientes requisitos:</w:t>
            </w:r>
          </w:p>
        </w:tc>
      </w:tr>
      <w:tr w:rsidR="00611995" w14:paraId="2E3FFB48" w14:textId="77777777" w:rsidTr="00611995">
        <w:tc>
          <w:tcPr>
            <w:tcW w:w="14317" w:type="dxa"/>
          </w:tcPr>
          <w:p w14:paraId="4340F691" w14:textId="61D19357" w:rsidR="00611995" w:rsidRPr="00611995" w:rsidRDefault="00611995" w:rsidP="00611995">
            <w:pPr>
              <w:shd w:val="clear" w:color="auto" w:fill="FFFFFF"/>
              <w:spacing w:line="360" w:lineRule="auto"/>
              <w:rPr>
                <w:rFonts w:eastAsia="Times New Roman" w:cs="Times New Roman"/>
                <w:szCs w:val="24"/>
                <w:lang w:eastAsia="es-ES"/>
              </w:rPr>
            </w:pPr>
            <w:r w:rsidRPr="006C625A">
              <w:rPr>
                <w:rFonts w:eastAsia="Times New Roman" w:cs="Times New Roman"/>
                <w:b/>
                <w:bCs/>
                <w:szCs w:val="24"/>
                <w:lang w:eastAsia="es-ES"/>
              </w:rPr>
              <w:t>Artículo 1.6.1.4.40. </w:t>
            </w:r>
            <w:r w:rsidRPr="006C625A">
              <w:rPr>
                <w:rFonts w:eastAsia="Times New Roman" w:cs="Times New Roman"/>
                <w:szCs w:val="24"/>
                <w:lang w:eastAsia="es-ES"/>
              </w:rPr>
              <w:t>Documento equivalente a la factura en adquisiciones efectuadas por responsables del régimen común a personas naturales no comerciantes o inscritas en el régimen simplificado. El adquirente, responsable del régimen común que adquiera bienes o servicios de personas naturales no comerciantes o inscritas en el régimen simplificado, expedirá a su proveedor un documento equivalente a la factura con el lleno de los siguientes requisitos:</w:t>
            </w:r>
          </w:p>
        </w:tc>
      </w:tr>
      <w:tr w:rsidR="00611995" w14:paraId="4790BFE7" w14:textId="77777777" w:rsidTr="00611995">
        <w:tc>
          <w:tcPr>
            <w:tcW w:w="14317" w:type="dxa"/>
          </w:tcPr>
          <w:p w14:paraId="46BFCFB9" w14:textId="77777777" w:rsidR="00611995" w:rsidRPr="00901AE4" w:rsidRDefault="00611995" w:rsidP="006A3D7A">
            <w:pPr>
              <w:spacing w:line="360" w:lineRule="auto"/>
              <w:rPr>
                <w:rFonts w:eastAsia="Times New Roman" w:cs="Times New Roman"/>
                <w:b/>
                <w:bCs/>
                <w:szCs w:val="24"/>
                <w:lang w:eastAsia="es-ES"/>
              </w:rPr>
            </w:pPr>
            <w:r w:rsidRPr="002D531D">
              <w:rPr>
                <w:rFonts w:eastAsia="Times New Roman" w:cs="Times New Roman"/>
                <w:b/>
                <w:bCs/>
                <w:szCs w:val="24"/>
                <w:highlight w:val="green"/>
                <w:lang w:eastAsia="es-ES"/>
              </w:rPr>
              <w:t>Artículo 1.6.1.4.42. </w:t>
            </w:r>
            <w:r w:rsidRPr="002D531D">
              <w:rPr>
                <w:rFonts w:eastAsia="Times New Roman" w:cs="Times New Roman"/>
                <w:szCs w:val="24"/>
                <w:highlight w:val="green"/>
                <w:lang w:eastAsia="es-ES"/>
              </w:rPr>
              <w:t>Comprobante de transacción en bolsas de bienes y productos agropecuarios, agroindustriales y de otros commodities, como documento equivalente a la factura</w:t>
            </w:r>
          </w:p>
        </w:tc>
      </w:tr>
      <w:tr w:rsidR="00611995" w14:paraId="47190B12" w14:textId="77777777" w:rsidTr="00611995">
        <w:tc>
          <w:tcPr>
            <w:tcW w:w="14317" w:type="dxa"/>
          </w:tcPr>
          <w:p w14:paraId="142CC936" w14:textId="77777777" w:rsidR="00611995" w:rsidRPr="00343EB6" w:rsidRDefault="00611995" w:rsidP="006A3D7A">
            <w:pPr>
              <w:shd w:val="clear" w:color="auto" w:fill="FFFFFF"/>
              <w:spacing w:line="360" w:lineRule="auto"/>
              <w:rPr>
                <w:rFonts w:eastAsia="Times New Roman" w:cs="Times New Roman"/>
                <w:szCs w:val="24"/>
                <w:lang w:eastAsia="es-ES"/>
              </w:rPr>
            </w:pPr>
            <w:r w:rsidRPr="00343EB6">
              <w:rPr>
                <w:rFonts w:eastAsia="Times New Roman" w:cs="Times New Roman"/>
                <w:b/>
                <w:bCs/>
                <w:szCs w:val="24"/>
                <w:lang w:eastAsia="es-ES"/>
              </w:rPr>
              <w:t>Artículo 1.6.1.4.45. Documentos equivalentes a la factura.</w:t>
            </w:r>
            <w:r w:rsidRPr="00343EB6">
              <w:rPr>
                <w:rFonts w:eastAsia="Times New Roman" w:cs="Times New Roman"/>
                <w:szCs w:val="24"/>
                <w:lang w:eastAsia="es-ES"/>
              </w:rPr>
              <w:t> Además de los contemplados en otras disposiciones, constituyen documentos equivalentes a la factura los siguientes:</w:t>
            </w:r>
          </w:p>
          <w:p w14:paraId="152FD63D" w14:textId="77777777" w:rsidR="00611995" w:rsidRPr="00343EB6" w:rsidRDefault="00611995" w:rsidP="006A3D7A">
            <w:pPr>
              <w:shd w:val="clear" w:color="auto" w:fill="FFFFFF"/>
              <w:spacing w:line="360" w:lineRule="auto"/>
              <w:rPr>
                <w:rFonts w:eastAsia="Times New Roman" w:cs="Times New Roman"/>
                <w:szCs w:val="24"/>
                <w:lang w:eastAsia="es-ES"/>
              </w:rPr>
            </w:pPr>
          </w:p>
          <w:p w14:paraId="673AAFC9" w14:textId="77777777" w:rsidR="00611995" w:rsidRPr="00343EB6" w:rsidRDefault="00611995" w:rsidP="006A3D7A">
            <w:pPr>
              <w:shd w:val="clear" w:color="auto" w:fill="FFFFFF"/>
              <w:spacing w:line="360" w:lineRule="auto"/>
              <w:rPr>
                <w:rFonts w:eastAsia="Times New Roman" w:cs="Times New Roman"/>
                <w:szCs w:val="24"/>
                <w:lang w:eastAsia="es-ES"/>
              </w:rPr>
            </w:pPr>
            <w:r w:rsidRPr="00343EB6">
              <w:rPr>
                <w:rFonts w:eastAsia="Times New Roman" w:cs="Times New Roman"/>
                <w:szCs w:val="24"/>
                <w:lang w:eastAsia="es-ES"/>
              </w:rPr>
              <w:t xml:space="preserve">1. </w:t>
            </w:r>
            <w:r w:rsidRPr="00343EB6">
              <w:rPr>
                <w:rFonts w:eastAsia="Times New Roman" w:cs="Times New Roman"/>
                <w:szCs w:val="24"/>
                <w:highlight w:val="green"/>
                <w:lang w:eastAsia="es-ES"/>
              </w:rPr>
              <w:t>Los expedidos para el cobro de peajes</w:t>
            </w:r>
            <w:r w:rsidRPr="00343EB6">
              <w:rPr>
                <w:rFonts w:eastAsia="Times New Roman" w:cs="Times New Roman"/>
                <w:szCs w:val="24"/>
                <w:lang w:eastAsia="es-ES"/>
              </w:rPr>
              <w:t>, siempre y cuando reúnan los requisitos previstos en el artículo 1.6.1.4.39 del presente decreto.</w:t>
            </w:r>
          </w:p>
          <w:p w14:paraId="517692C0" w14:textId="77777777" w:rsidR="00611995" w:rsidRPr="00343EB6" w:rsidRDefault="00611995" w:rsidP="006A3D7A">
            <w:pPr>
              <w:shd w:val="clear" w:color="auto" w:fill="FFFFFF"/>
              <w:spacing w:line="360" w:lineRule="auto"/>
              <w:rPr>
                <w:rFonts w:eastAsia="Times New Roman" w:cs="Times New Roman"/>
                <w:szCs w:val="24"/>
                <w:lang w:eastAsia="es-ES"/>
              </w:rPr>
            </w:pPr>
          </w:p>
          <w:p w14:paraId="179BD68D" w14:textId="19DA102E" w:rsidR="00611995" w:rsidRPr="00343EB6" w:rsidRDefault="00611995" w:rsidP="006A3D7A">
            <w:pPr>
              <w:shd w:val="clear" w:color="auto" w:fill="FFFFFF"/>
              <w:spacing w:line="360" w:lineRule="auto"/>
              <w:rPr>
                <w:rFonts w:eastAsia="Times New Roman" w:cs="Times New Roman"/>
                <w:szCs w:val="24"/>
                <w:lang w:eastAsia="es-ES"/>
              </w:rPr>
            </w:pPr>
            <w:r w:rsidRPr="00343EB6">
              <w:rPr>
                <w:rFonts w:eastAsia="Times New Roman" w:cs="Times New Roman"/>
                <w:szCs w:val="24"/>
                <w:lang w:eastAsia="es-ES"/>
              </w:rPr>
              <w:lastRenderedPageBreak/>
              <w:t>2. Los contratos celebrados con extranjeros sin residencia o domicilio en el país, en cuyo caso, para la procedencia del IVA descontable se deberá acreditar, adicionalmente, que se ha practicado la respectiva retención en la fuente.</w:t>
            </w:r>
          </w:p>
          <w:p w14:paraId="3FAF6741" w14:textId="5DAB67A9" w:rsidR="00611995" w:rsidRPr="00052898" w:rsidRDefault="00611995" w:rsidP="00052898">
            <w:pPr>
              <w:shd w:val="clear" w:color="auto" w:fill="FFFFFF"/>
              <w:spacing w:line="360" w:lineRule="auto"/>
              <w:rPr>
                <w:rFonts w:eastAsia="Times New Roman" w:cs="Times New Roman"/>
                <w:szCs w:val="24"/>
                <w:lang w:eastAsia="es-ES"/>
              </w:rPr>
            </w:pPr>
            <w:r w:rsidRPr="00343EB6">
              <w:rPr>
                <w:rFonts w:eastAsia="Times New Roman" w:cs="Times New Roman"/>
                <w:szCs w:val="24"/>
                <w:lang w:eastAsia="es-ES"/>
              </w:rPr>
              <w:t>(Artículo 5°, Decreto 3050 de 1997)</w:t>
            </w:r>
          </w:p>
        </w:tc>
      </w:tr>
      <w:tr w:rsidR="00611995" w14:paraId="6FD8D755" w14:textId="77777777" w:rsidTr="00611995">
        <w:tc>
          <w:tcPr>
            <w:tcW w:w="14317" w:type="dxa"/>
          </w:tcPr>
          <w:p w14:paraId="3478EF2F" w14:textId="13B4AC05" w:rsidR="00611995" w:rsidRPr="00055AEF" w:rsidRDefault="00611995" w:rsidP="006A3D7A">
            <w:pPr>
              <w:shd w:val="clear" w:color="auto" w:fill="FFFFFF"/>
              <w:spacing w:line="360" w:lineRule="auto"/>
              <w:rPr>
                <w:rFonts w:eastAsia="Times New Roman" w:cs="Times New Roman"/>
                <w:szCs w:val="24"/>
                <w:lang w:eastAsia="es-ES"/>
              </w:rPr>
            </w:pPr>
            <w:r w:rsidRPr="00055AEF">
              <w:rPr>
                <w:rFonts w:eastAsia="Times New Roman" w:cs="Times New Roman"/>
                <w:b/>
                <w:bCs/>
                <w:szCs w:val="24"/>
                <w:lang w:eastAsia="es-ES"/>
              </w:rPr>
              <w:lastRenderedPageBreak/>
              <w:t>Artículo 1.6.1.4.46. Coexistencia de facturas y tiquetes de máquina registradora. </w:t>
            </w:r>
            <w:r w:rsidRPr="00055AEF">
              <w:rPr>
                <w:rFonts w:eastAsia="Times New Roman" w:cs="Times New Roman"/>
                <w:szCs w:val="24"/>
                <w:lang w:eastAsia="es-ES"/>
              </w:rPr>
              <w:t>En el caso de contribuyentes que utilizan el mecanismo de máquinas registradoras para facturar sus operaciones, se podrá aceptar la coexistencia de la factura y del tiquete de máquina registradora sobre una misma operación, cuando se trate de bienes gravados con el impuesto sobre las ventas y el adquirente exija la expedición de factura con la discriminación del impuesto sobre las ventas por tratarse de un responsable con derecho al correspondiente descuento. En la contabilidad del vendedor se efectuará la respectiva conciliación y en la factura deberá identificarse el número consecutivo registrado en el respectivo tiquete.</w:t>
            </w:r>
          </w:p>
          <w:p w14:paraId="321878A3" w14:textId="1537E554" w:rsidR="00611995" w:rsidRPr="00052898" w:rsidRDefault="00611995" w:rsidP="00052898">
            <w:pPr>
              <w:shd w:val="clear" w:color="auto" w:fill="FFFFFF"/>
              <w:spacing w:line="360" w:lineRule="auto"/>
              <w:rPr>
                <w:rFonts w:eastAsia="Times New Roman" w:cs="Times New Roman"/>
                <w:szCs w:val="24"/>
                <w:lang w:eastAsia="es-ES"/>
              </w:rPr>
            </w:pPr>
            <w:r w:rsidRPr="00055AEF">
              <w:rPr>
                <w:rFonts w:eastAsia="Times New Roman" w:cs="Times New Roman"/>
                <w:szCs w:val="24"/>
                <w:lang w:eastAsia="es-ES"/>
              </w:rPr>
              <w:t>(Artículo 7°, Decreto 3050 de 1997)</w:t>
            </w:r>
          </w:p>
        </w:tc>
      </w:tr>
      <w:tr w:rsidR="00611995" w14:paraId="5C160846" w14:textId="77777777" w:rsidTr="00611995">
        <w:tc>
          <w:tcPr>
            <w:tcW w:w="14317" w:type="dxa"/>
          </w:tcPr>
          <w:p w14:paraId="16E66A35" w14:textId="77777777" w:rsidR="00611995" w:rsidRPr="00055AEF" w:rsidRDefault="00611995" w:rsidP="006A3D7A">
            <w:pPr>
              <w:shd w:val="clear" w:color="auto" w:fill="FFFFFF"/>
              <w:spacing w:line="360" w:lineRule="auto"/>
              <w:rPr>
                <w:rFonts w:eastAsia="Times New Roman" w:cs="Times New Roman"/>
                <w:szCs w:val="24"/>
                <w:lang w:eastAsia="es-ES"/>
              </w:rPr>
            </w:pPr>
            <w:r w:rsidRPr="00055AEF">
              <w:rPr>
                <w:rFonts w:eastAsia="Times New Roman" w:cs="Times New Roman"/>
                <w:b/>
                <w:bCs/>
                <w:szCs w:val="24"/>
                <w:lang w:eastAsia="es-ES"/>
              </w:rPr>
              <w:t>Artículo 1.6.1.4.47. Procedencia de costos, gastos o impuestos descontables por servicios públicos domiciliarios. </w:t>
            </w:r>
            <w:r w:rsidRPr="00055AEF">
              <w:rPr>
                <w:rFonts w:eastAsia="Times New Roman" w:cs="Times New Roman"/>
                <w:szCs w:val="24"/>
                <w:lang w:eastAsia="es-ES"/>
              </w:rPr>
              <w:t>En el caso de los servicios públicos domiciliarios, para la procedencia del costo, la deducción o el descuento del impuesto sobre las ventas, no es necesario que en la factura figure el nombre del propietario o del arrendatario que solicita el costo, el gasto o el impuesto descontable.</w:t>
            </w:r>
          </w:p>
          <w:p w14:paraId="26E28BB3" w14:textId="51AAC694" w:rsidR="00611995" w:rsidRPr="00807798" w:rsidRDefault="00611995" w:rsidP="006A3D7A">
            <w:pPr>
              <w:shd w:val="clear" w:color="auto" w:fill="FFFFFF"/>
              <w:spacing w:line="360" w:lineRule="auto"/>
              <w:rPr>
                <w:rFonts w:eastAsia="Times New Roman" w:cs="Times New Roman"/>
                <w:szCs w:val="24"/>
                <w:lang w:eastAsia="es-ES"/>
              </w:rPr>
            </w:pPr>
            <w:r w:rsidRPr="00055AEF">
              <w:rPr>
                <w:rFonts w:eastAsia="Times New Roman" w:cs="Times New Roman"/>
                <w:szCs w:val="24"/>
                <w:lang w:eastAsia="es-ES"/>
              </w:rPr>
              <w:t>Para tal efecto, bastará que se acredite la calidad de propietario o de arrendatario, obligado al pago de los respectivos servicios públicos domiciliarios. En estos casos, el costo, la deducción o el impuesto descontable no podrán ser solicitados por el tercero que figura en la factura.</w:t>
            </w:r>
          </w:p>
        </w:tc>
      </w:tr>
      <w:tr w:rsidR="00611995" w14:paraId="6642B69F" w14:textId="77777777" w:rsidTr="00611995">
        <w:tc>
          <w:tcPr>
            <w:tcW w:w="14317" w:type="dxa"/>
          </w:tcPr>
          <w:p w14:paraId="759B6A1C" w14:textId="77777777" w:rsidR="00611995" w:rsidRPr="00055AEF" w:rsidRDefault="00611995" w:rsidP="006A3D7A">
            <w:pPr>
              <w:shd w:val="clear" w:color="auto" w:fill="FFFFFF"/>
              <w:spacing w:line="360" w:lineRule="auto"/>
              <w:rPr>
                <w:rFonts w:eastAsia="Times New Roman" w:cs="Times New Roman"/>
                <w:b/>
                <w:bCs/>
                <w:szCs w:val="24"/>
                <w:lang w:eastAsia="es-ES"/>
              </w:rPr>
            </w:pPr>
            <w:r w:rsidRPr="002D531D">
              <w:rPr>
                <w:rFonts w:eastAsia="Times New Roman" w:cs="Times New Roman"/>
                <w:b/>
                <w:bCs/>
                <w:szCs w:val="24"/>
                <w:highlight w:val="green"/>
                <w:lang w:eastAsia="es-ES"/>
              </w:rPr>
              <w:t>Artículo 1.6.1.4.48. Documento equivalente para comisionistas de Bolsas de Valores</w:t>
            </w:r>
          </w:p>
        </w:tc>
      </w:tr>
      <w:tr w:rsidR="00611995" w14:paraId="6EBD9172" w14:textId="77777777" w:rsidTr="00611995">
        <w:tc>
          <w:tcPr>
            <w:tcW w:w="14317" w:type="dxa"/>
          </w:tcPr>
          <w:p w14:paraId="3F4254D7" w14:textId="77777777" w:rsidR="00611995" w:rsidRPr="00901AE4" w:rsidRDefault="00611995" w:rsidP="006A3D7A">
            <w:pPr>
              <w:shd w:val="clear" w:color="auto" w:fill="FFFFFF"/>
              <w:spacing w:line="360" w:lineRule="auto"/>
              <w:rPr>
                <w:rFonts w:eastAsia="Times New Roman" w:cs="Times New Roman"/>
                <w:b/>
                <w:bCs/>
                <w:szCs w:val="24"/>
                <w:lang w:eastAsia="es-ES"/>
              </w:rPr>
            </w:pPr>
            <w:r w:rsidRPr="00901AE4">
              <w:rPr>
                <w:rFonts w:eastAsia="Times New Roman" w:cs="Times New Roman"/>
                <w:b/>
                <w:bCs/>
                <w:szCs w:val="24"/>
                <w:lang w:eastAsia="es-ES"/>
              </w:rPr>
              <w:t>Artículo 1.6.1.4.49. Documento equivalente a la factura. </w:t>
            </w:r>
            <w:r w:rsidRPr="00901AE4">
              <w:rPr>
                <w:rFonts w:eastAsia="Times New Roman" w:cs="Times New Roman"/>
                <w:szCs w:val="24"/>
                <w:lang w:eastAsia="es-ES"/>
              </w:rPr>
              <w:t>Se considera documento equivalente a la factura el comprobante para liquidación que transmita la Cámara de Riesgo Central de Contraparte para la liquidación de la posición neta de los miembros o contrapartes liquidadores o no liquidadores</w:t>
            </w:r>
          </w:p>
        </w:tc>
      </w:tr>
    </w:tbl>
    <w:p w14:paraId="068D50C9" w14:textId="77777777" w:rsidR="009A5139" w:rsidRPr="00505551" w:rsidRDefault="009A5139" w:rsidP="00807798">
      <w:pPr>
        <w:shd w:val="clear" w:color="auto" w:fill="FFFFFF"/>
        <w:rPr>
          <w:rFonts w:eastAsia="Times New Roman" w:cs="Times New Roman"/>
          <w:b/>
          <w:bCs/>
          <w:szCs w:val="24"/>
          <w:lang w:eastAsia="es-ES"/>
        </w:rPr>
      </w:pPr>
    </w:p>
    <w:sectPr w:rsidR="009A5139" w:rsidRPr="00505551" w:rsidSect="00F87F47">
      <w:type w:val="continuous"/>
      <w:pgSz w:w="18711" w:h="12191" w:orient="landscape"/>
      <w:pgMar w:top="1701"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51"/>
    <w:rsid w:val="000472B7"/>
    <w:rsid w:val="00052898"/>
    <w:rsid w:val="00055AEF"/>
    <w:rsid w:val="00185D1E"/>
    <w:rsid w:val="001D29C9"/>
    <w:rsid w:val="001E311E"/>
    <w:rsid w:val="00245DFB"/>
    <w:rsid w:val="002D531D"/>
    <w:rsid w:val="00343EB6"/>
    <w:rsid w:val="003525A7"/>
    <w:rsid w:val="003D6418"/>
    <w:rsid w:val="00403B88"/>
    <w:rsid w:val="00406A7E"/>
    <w:rsid w:val="00434AE6"/>
    <w:rsid w:val="00460A29"/>
    <w:rsid w:val="00505551"/>
    <w:rsid w:val="00611995"/>
    <w:rsid w:val="006A3D7A"/>
    <w:rsid w:val="006C625A"/>
    <w:rsid w:val="007F5CC8"/>
    <w:rsid w:val="00807798"/>
    <w:rsid w:val="00815234"/>
    <w:rsid w:val="008779BE"/>
    <w:rsid w:val="008811F1"/>
    <w:rsid w:val="009A5139"/>
    <w:rsid w:val="009F70A1"/>
    <w:rsid w:val="00B42A69"/>
    <w:rsid w:val="00B9439B"/>
    <w:rsid w:val="00BE328B"/>
    <w:rsid w:val="00C30F97"/>
    <w:rsid w:val="00DC4484"/>
    <w:rsid w:val="00E836F7"/>
    <w:rsid w:val="00E91B8C"/>
    <w:rsid w:val="00E97BCE"/>
    <w:rsid w:val="00F3738A"/>
    <w:rsid w:val="00F45176"/>
    <w:rsid w:val="00F87F4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0EC3"/>
  <w15:chartTrackingRefBased/>
  <w15:docId w15:val="{09336BC7-9632-493D-95B8-DD62A034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51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31</cp:revision>
  <dcterms:created xsi:type="dcterms:W3CDTF">2020-02-27T19:23:00Z</dcterms:created>
  <dcterms:modified xsi:type="dcterms:W3CDTF">2020-05-29T13:33:00Z</dcterms:modified>
</cp:coreProperties>
</file>