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FDF9" w14:textId="77777777" w:rsidR="008D052B" w:rsidRPr="008D052B" w:rsidRDefault="008D052B" w:rsidP="008D052B">
      <w:pPr>
        <w:shd w:val="clear" w:color="auto" w:fill="FFFFFF"/>
        <w:spacing w:line="240" w:lineRule="auto"/>
        <w:jc w:val="center"/>
        <w:rPr>
          <w:rFonts w:eastAsia="Times New Roman" w:cs="Times New Roman"/>
          <w:szCs w:val="24"/>
          <w:lang w:eastAsia="es-ES"/>
        </w:rPr>
      </w:pPr>
      <w:r w:rsidRPr="008D052B">
        <w:rPr>
          <w:rFonts w:eastAsia="Times New Roman" w:cs="Times New Roman"/>
          <w:b/>
          <w:bCs/>
          <w:szCs w:val="24"/>
          <w:lang w:val="es-CO" w:eastAsia="es-ES"/>
        </w:rPr>
        <w:t xml:space="preserve">OFICIO </w:t>
      </w:r>
      <w:proofErr w:type="spellStart"/>
      <w:r w:rsidRPr="008D052B">
        <w:rPr>
          <w:rFonts w:eastAsia="Times New Roman" w:cs="Times New Roman"/>
          <w:b/>
          <w:bCs/>
          <w:szCs w:val="24"/>
          <w:lang w:val="es-CO" w:eastAsia="es-ES"/>
        </w:rPr>
        <w:t>Nº</w:t>
      </w:r>
      <w:proofErr w:type="spellEnd"/>
      <w:r w:rsidRPr="008D052B">
        <w:rPr>
          <w:rFonts w:eastAsia="Times New Roman" w:cs="Times New Roman"/>
          <w:b/>
          <w:bCs/>
          <w:szCs w:val="24"/>
          <w:lang w:val="es-CO" w:eastAsia="es-ES"/>
        </w:rPr>
        <w:t xml:space="preserve"> 900634</w:t>
      </w:r>
    </w:p>
    <w:p w14:paraId="436809C8" w14:textId="77777777" w:rsidR="008D052B" w:rsidRPr="008D052B" w:rsidRDefault="008D052B" w:rsidP="008D052B">
      <w:pPr>
        <w:shd w:val="clear" w:color="auto" w:fill="FFFFFF"/>
        <w:spacing w:line="240" w:lineRule="auto"/>
        <w:jc w:val="center"/>
        <w:rPr>
          <w:rFonts w:eastAsia="Times New Roman" w:cs="Times New Roman"/>
          <w:szCs w:val="24"/>
          <w:lang w:eastAsia="es-ES"/>
        </w:rPr>
      </w:pPr>
      <w:r w:rsidRPr="008D052B">
        <w:rPr>
          <w:rFonts w:eastAsia="Times New Roman" w:cs="Times New Roman"/>
          <w:b/>
          <w:bCs/>
          <w:szCs w:val="24"/>
          <w:lang w:val="es-CO" w:eastAsia="es-ES"/>
        </w:rPr>
        <w:t>28-03-2019</w:t>
      </w:r>
    </w:p>
    <w:p w14:paraId="094C0CB6" w14:textId="77777777" w:rsidR="008D052B" w:rsidRPr="008D052B" w:rsidRDefault="008D052B" w:rsidP="008D052B">
      <w:pPr>
        <w:shd w:val="clear" w:color="auto" w:fill="FFFFFF"/>
        <w:spacing w:line="240" w:lineRule="auto"/>
        <w:jc w:val="center"/>
        <w:rPr>
          <w:rFonts w:eastAsia="Times New Roman" w:cs="Times New Roman"/>
          <w:szCs w:val="24"/>
          <w:lang w:eastAsia="es-ES"/>
        </w:rPr>
      </w:pPr>
      <w:r w:rsidRPr="008D052B">
        <w:rPr>
          <w:rFonts w:eastAsia="Times New Roman" w:cs="Times New Roman"/>
          <w:b/>
          <w:bCs/>
          <w:szCs w:val="24"/>
          <w:lang w:val="es-CO" w:eastAsia="es-ES"/>
        </w:rPr>
        <w:t>DIAN</w:t>
      </w:r>
    </w:p>
    <w:p w14:paraId="4590476E"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B113255"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6DC4CBE1"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31CE713F"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7DB5720"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Subdirección de Gestión Normativa y Doctrina</w:t>
      </w:r>
    </w:p>
    <w:p w14:paraId="14AA4D4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100208221 – 000777</w:t>
      </w:r>
    </w:p>
    <w:p w14:paraId="646370C9"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Bogotá, D.C</w:t>
      </w:r>
    </w:p>
    <w:p w14:paraId="55EAC09C"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29EC0899"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F12ACF2" w14:textId="77777777" w:rsidR="008D052B" w:rsidRPr="008D052B" w:rsidRDefault="008D052B" w:rsidP="008D052B">
      <w:pPr>
        <w:shd w:val="clear" w:color="auto" w:fill="FFFFFF"/>
        <w:spacing w:line="240" w:lineRule="auto"/>
        <w:rPr>
          <w:rFonts w:eastAsia="Times New Roman" w:cs="Times New Roman"/>
          <w:szCs w:val="24"/>
          <w:lang w:eastAsia="es-ES"/>
        </w:rPr>
      </w:pPr>
      <w:proofErr w:type="spellStart"/>
      <w:r w:rsidRPr="008D052B">
        <w:rPr>
          <w:rFonts w:eastAsia="Times New Roman" w:cs="Times New Roman"/>
          <w:b/>
          <w:bCs/>
          <w:szCs w:val="24"/>
          <w:lang w:val="es-CO" w:eastAsia="es-ES"/>
        </w:rPr>
        <w:t>Ref</w:t>
      </w:r>
      <w:proofErr w:type="spellEnd"/>
      <w:r w:rsidRPr="008D052B">
        <w:rPr>
          <w:rFonts w:eastAsia="Times New Roman" w:cs="Times New Roman"/>
          <w:b/>
          <w:bCs/>
          <w:szCs w:val="24"/>
          <w:lang w:val="es-CO" w:eastAsia="es-ES"/>
        </w:rPr>
        <w:t>:</w:t>
      </w:r>
      <w:r w:rsidRPr="008D052B">
        <w:rPr>
          <w:rFonts w:eastAsia="Times New Roman" w:cs="Times New Roman"/>
          <w:szCs w:val="24"/>
          <w:lang w:val="es-CO" w:eastAsia="es-ES"/>
        </w:rPr>
        <w:t> Radicado 100085754 del 28/12/2018</w:t>
      </w:r>
    </w:p>
    <w:p w14:paraId="6A81B82C"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D835E4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3C4B206"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b/>
          <w:bCs/>
          <w:szCs w:val="24"/>
          <w:lang w:val="es-CO" w:eastAsia="es-ES"/>
        </w:rPr>
        <w:t>Tema </w:t>
      </w:r>
      <w:r w:rsidRPr="008D052B">
        <w:rPr>
          <w:rFonts w:eastAsia="Times New Roman" w:cs="Times New Roman"/>
          <w:szCs w:val="24"/>
          <w:lang w:val="es-CO" w:eastAsia="es-ES"/>
        </w:rPr>
        <w:t>Impuesto sobre la Renta y Complementarios</w:t>
      </w:r>
    </w:p>
    <w:p w14:paraId="60E35AB0" w14:textId="77777777" w:rsidR="008D052B" w:rsidRPr="008D052B" w:rsidRDefault="008D052B" w:rsidP="008D052B">
      <w:pPr>
        <w:shd w:val="clear" w:color="auto" w:fill="FFFFFF"/>
        <w:spacing w:line="240" w:lineRule="auto"/>
        <w:rPr>
          <w:rFonts w:eastAsia="Times New Roman" w:cs="Times New Roman"/>
          <w:b/>
          <w:bCs/>
          <w:szCs w:val="24"/>
          <w:lang w:val="es-CO" w:eastAsia="es-ES"/>
        </w:rPr>
      </w:pPr>
    </w:p>
    <w:p w14:paraId="2BEE36B2" w14:textId="148F84B9"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b/>
          <w:bCs/>
          <w:szCs w:val="24"/>
          <w:lang w:val="es-CO" w:eastAsia="es-ES"/>
        </w:rPr>
        <w:t>Descriptores </w:t>
      </w:r>
      <w:r w:rsidRPr="008D052B">
        <w:rPr>
          <w:rFonts w:eastAsia="Times New Roman" w:cs="Times New Roman"/>
          <w:szCs w:val="24"/>
          <w:lang w:val="es-CO" w:eastAsia="es-ES"/>
        </w:rPr>
        <w:t>Leasing Sistema Operativo</w:t>
      </w:r>
    </w:p>
    <w:p w14:paraId="5E4C9206" w14:textId="77777777" w:rsidR="008D052B" w:rsidRPr="008D052B" w:rsidRDefault="008D052B" w:rsidP="008D052B">
      <w:pPr>
        <w:shd w:val="clear" w:color="auto" w:fill="FFFFFF"/>
        <w:spacing w:line="240" w:lineRule="auto"/>
        <w:rPr>
          <w:rFonts w:eastAsia="Times New Roman" w:cs="Times New Roman"/>
          <w:b/>
          <w:bCs/>
          <w:szCs w:val="24"/>
          <w:lang w:val="es-CO" w:eastAsia="es-ES"/>
        </w:rPr>
      </w:pPr>
    </w:p>
    <w:p w14:paraId="6CB50C13" w14:textId="0D1AF598"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b/>
          <w:bCs/>
          <w:szCs w:val="24"/>
          <w:lang w:val="es-CO" w:eastAsia="es-ES"/>
        </w:rPr>
        <w:t>Fuentes formales </w:t>
      </w:r>
      <w:r w:rsidRPr="008D052B">
        <w:rPr>
          <w:rFonts w:eastAsia="Times New Roman" w:cs="Times New Roman"/>
          <w:szCs w:val="24"/>
          <w:lang w:val="es-CO" w:eastAsia="es-ES"/>
        </w:rPr>
        <w:t xml:space="preserve">Estatuto Tributario </w:t>
      </w:r>
      <w:proofErr w:type="spellStart"/>
      <w:r w:rsidRPr="008D052B">
        <w:rPr>
          <w:rFonts w:eastAsia="Times New Roman" w:cs="Times New Roman"/>
          <w:szCs w:val="24"/>
          <w:lang w:val="es-CO" w:eastAsia="es-ES"/>
        </w:rPr>
        <w:t>arts</w:t>
      </w:r>
      <w:proofErr w:type="spellEnd"/>
      <w:r w:rsidRPr="008D052B">
        <w:rPr>
          <w:rFonts w:eastAsia="Times New Roman" w:cs="Times New Roman"/>
          <w:szCs w:val="24"/>
          <w:lang w:val="es-CO" w:eastAsia="es-ES"/>
        </w:rPr>
        <w:t>, 70, 71, 127-1 y 2 38 (sic)</w:t>
      </w:r>
    </w:p>
    <w:p w14:paraId="789D24B1"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3F959ACE"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69609817"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14:paraId="39B7A09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498B2D2"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11106B2"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Es preciso señalar que no corresponde a esta dependencia conceptuar sobre los procedimientos específicos a seguir, o las actuaciones particulares por adelantar con ocasión de actos o actuaciones administrativas de los funcionarios de esta entidad, tampoco corresponde definir, desatar, investigar o juzgar las actuaciones administrativas de los mismos, considerando que a esta Dirección le corresponde absolver consultas sobre interpretación y aplicación de normas tributarias de carácter nacional, aduaneras y cambiarias.</w:t>
      </w:r>
    </w:p>
    <w:p w14:paraId="053A9D6E"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34B6325F"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CB72855"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14:paraId="299319D0"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B5202F4"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6447FB91"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En el contexto señalado, se atenderá la consulta en la que luego de transcribir el artículo 71 del Estatuto Tributario, antes y después de la modificación que hiciera el artículo 50 de la Ley 1819 de 2016, así como referirse al artículo 127-1 del mismo Estatuto, expresa que:</w:t>
      </w:r>
    </w:p>
    <w:p w14:paraId="388ADAF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1FF2825"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74B3FB4A"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Una persona natural quiere comprar un inmueble a otra persona natural. Le gira un valor del precio comercial.</w:t>
      </w:r>
    </w:p>
    <w:p w14:paraId="37BC3CA5"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B6F5C09"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A2A93CC"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Posteriormente, el comprador celebra un contrato de leasing sobre ese bien, con una entidad financiera por el valor restante de la compra y con opción de compra al final del término del contrato –15 años- por valor de cero pesos ($0)</w:t>
      </w:r>
    </w:p>
    <w:p w14:paraId="1E74BA60"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7F1EB05D"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760E887"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Con lo anterior, pregunta:</w:t>
      </w:r>
    </w:p>
    <w:p w14:paraId="3BC56FEA"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20633AED"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lastRenderedPageBreak/>
        <w:t> </w:t>
      </w:r>
    </w:p>
    <w:p w14:paraId="19D8648D"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1- Cómo declara el comprador el valor inicial entregado a la persona natural por la venta del inmueble?</w:t>
      </w:r>
    </w:p>
    <w:p w14:paraId="2630C84E" w14:textId="77777777" w:rsidR="008D052B" w:rsidRDefault="008D052B" w:rsidP="008D052B">
      <w:pPr>
        <w:shd w:val="clear" w:color="auto" w:fill="FFFFFF"/>
        <w:spacing w:line="240" w:lineRule="auto"/>
        <w:rPr>
          <w:rFonts w:eastAsia="Times New Roman" w:cs="Times New Roman"/>
          <w:szCs w:val="24"/>
          <w:lang w:val="es-CO" w:eastAsia="es-ES"/>
        </w:rPr>
      </w:pPr>
    </w:p>
    <w:p w14:paraId="1D962F85" w14:textId="1210B65D"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2- Cómo se declara el activo al inicio del contrato?</w:t>
      </w:r>
    </w:p>
    <w:p w14:paraId="4EA2A333" w14:textId="77777777" w:rsidR="008D052B" w:rsidRDefault="008D052B" w:rsidP="008D052B">
      <w:pPr>
        <w:shd w:val="clear" w:color="auto" w:fill="FFFFFF"/>
        <w:spacing w:line="240" w:lineRule="auto"/>
        <w:rPr>
          <w:rFonts w:eastAsia="Times New Roman" w:cs="Times New Roman"/>
          <w:szCs w:val="24"/>
          <w:lang w:val="es-CO" w:eastAsia="es-ES"/>
        </w:rPr>
      </w:pPr>
    </w:p>
    <w:p w14:paraId="25A9C0EF" w14:textId="38812CDB"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3- Cómo se declara el activo al final del contrato al ejercer la opción de compra para que no exista renta por comparación patrimonial?</w:t>
      </w:r>
    </w:p>
    <w:p w14:paraId="6CD32015" w14:textId="77777777" w:rsidR="008D052B" w:rsidRDefault="008D052B" w:rsidP="008D052B">
      <w:pPr>
        <w:shd w:val="clear" w:color="auto" w:fill="FFFFFF"/>
        <w:spacing w:line="240" w:lineRule="auto"/>
        <w:rPr>
          <w:rFonts w:eastAsia="Times New Roman" w:cs="Times New Roman"/>
          <w:szCs w:val="24"/>
          <w:lang w:val="es-CO" w:eastAsia="es-ES"/>
        </w:rPr>
      </w:pPr>
    </w:p>
    <w:p w14:paraId="7C5B4C77" w14:textId="505BCCF8"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4- Cuando venda el activo cuál es el costo fiscal?</w:t>
      </w:r>
    </w:p>
    <w:p w14:paraId="5591618C"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5581C7D"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6049BF13"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Para responder, este Despacho considera necesario hacer las siguientes precisiones:</w:t>
      </w:r>
    </w:p>
    <w:p w14:paraId="083429AD"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42F894B"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3EB2EBF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1- Teniendo en cuenta que el comprador hace el desembolso de una parte, antes de suscribir el contrato de leasing, dicho desembolso deberá ser registrado como un activo. Lo anterior, ya que se ha realizado la operación con ocasión de la compraventa del bien inmueble. Esto, siempre y cuando el valor del desembolso no sea un pacto entre privados que no se va a incluir en la escritura pública; en caso de que así sea, aplicará lo establecido en el artículo 90 del Estatuto Tributario.</w:t>
      </w:r>
    </w:p>
    <w:p w14:paraId="71136E3F"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2- En segundo lugar, en cuanto al tratamiento tributario de los contratos de Leasing, deberá estarse a lo consagrado en el artículo 127-1 del Estatuto Tributario, modificado por el artículo 76 de la Ley 1819 de 2016:</w:t>
      </w:r>
    </w:p>
    <w:p w14:paraId="117948F9"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4F12317"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1DC10C1"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“Artículo 127-1. Contratos de Leasing.</w:t>
      </w:r>
      <w:r w:rsidRPr="008D052B">
        <w:rPr>
          <w:rFonts w:eastAsia="Times New Roman" w:cs="Times New Roman"/>
          <w:i/>
          <w:iCs/>
          <w:szCs w:val="24"/>
          <w:lang w:val="es-CO" w:eastAsia="es-ES"/>
        </w:rPr>
        <w:t> Son contratos de arrendamiento el arrendamiento operativo y el arrendamiento financiero o leasing.</w:t>
      </w:r>
    </w:p>
    <w:p w14:paraId="527BAF6D"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E05D757"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1231046"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Los contratos de arrendamiento que se celebren a partir del 1 de enero de 2017, se someten a las siguientes reglas para efectos del impuesto sobre la renta y complementarios:</w:t>
      </w:r>
    </w:p>
    <w:p w14:paraId="69344E61"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16AFD04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1D71DD8"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1. Definiciones:</w:t>
      </w:r>
    </w:p>
    <w:p w14:paraId="64A0DBAE"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0A1897ED"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C892048"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a. Arrendamiento financiero o leasing financiero:</w:t>
      </w:r>
      <w:r w:rsidRPr="008D052B">
        <w:rPr>
          <w:rFonts w:eastAsia="Times New Roman" w:cs="Times New Roman"/>
          <w:i/>
          <w:iCs/>
          <w:szCs w:val="24"/>
          <w:lang w:val="es-CO" w:eastAsia="es-ES"/>
        </w:rPr>
        <w:t> </w:t>
      </w:r>
      <w:r w:rsidRPr="008D052B">
        <w:rPr>
          <w:rFonts w:eastAsia="Times New Roman" w:cs="Times New Roman"/>
          <w:i/>
          <w:iCs/>
          <w:szCs w:val="24"/>
          <w:u w:val="single"/>
          <w:lang w:val="es-CO" w:eastAsia="es-ES"/>
        </w:rPr>
        <w:t>Es aquel contrato, que tiene por objeto la adquisición financiada de un activo y puede reunir una o varias de las siguientes características</w:t>
      </w:r>
      <w:r w:rsidRPr="008D052B">
        <w:rPr>
          <w:rFonts w:eastAsia="Times New Roman" w:cs="Times New Roman"/>
          <w:i/>
          <w:iCs/>
          <w:szCs w:val="24"/>
          <w:lang w:val="es-CO" w:eastAsia="es-ES"/>
        </w:rPr>
        <w:t>:</w:t>
      </w:r>
    </w:p>
    <w:p w14:paraId="63A86B68"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4F2D5B5C"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1A16A573"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i. Al final del contrato se transfiere la propiedad del activo al arrendatario o locatario.</w:t>
      </w:r>
    </w:p>
    <w:p w14:paraId="71D5FC20" w14:textId="77777777"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ii</w:t>
      </w:r>
      <w:proofErr w:type="spellEnd"/>
      <w:r w:rsidRPr="008D052B">
        <w:rPr>
          <w:rFonts w:eastAsia="Times New Roman" w:cs="Times New Roman"/>
          <w:i/>
          <w:iCs/>
          <w:szCs w:val="24"/>
          <w:lang w:val="es-CO" w:eastAsia="es-ES"/>
        </w:rPr>
        <w:t>. 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14:paraId="39363F2D" w14:textId="77777777"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iii</w:t>
      </w:r>
      <w:proofErr w:type="spellEnd"/>
      <w:r w:rsidRPr="008D052B">
        <w:rPr>
          <w:rFonts w:eastAsia="Times New Roman" w:cs="Times New Roman"/>
          <w:i/>
          <w:iCs/>
          <w:szCs w:val="24"/>
          <w:lang w:val="es-CO" w:eastAsia="es-ES"/>
        </w:rPr>
        <w:t>. El plazo del arrendamiento cubre la mayor parte de la vida económica del activo incluso si la propiedad no se transfiere al final de la operación.</w:t>
      </w:r>
    </w:p>
    <w:p w14:paraId="71227C62" w14:textId="77777777"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iv</w:t>
      </w:r>
      <w:proofErr w:type="spellEnd"/>
      <w:r w:rsidRPr="008D052B">
        <w:rPr>
          <w:rFonts w:eastAsia="Times New Roman" w:cs="Times New Roman"/>
          <w:i/>
          <w:iCs/>
          <w:szCs w:val="24"/>
          <w:lang w:val="es-CO" w:eastAsia="es-ES"/>
        </w:rPr>
        <w:t>. 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14:paraId="530AB00A"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v. Los activos arrendados son de una naturaleza tan especializada que solo el arrendatario puede usarlos sin realizar en ellos modificaciones importantes. Los contratos de leasing internacional se someten a las reglas anteriores.</w:t>
      </w:r>
    </w:p>
    <w:p w14:paraId="5C1053F6"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971E685"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21A57A93"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b. Arrendamiento operativo:</w:t>
      </w:r>
      <w:r w:rsidRPr="008D052B">
        <w:rPr>
          <w:rFonts w:eastAsia="Times New Roman" w:cs="Times New Roman"/>
          <w:i/>
          <w:iCs/>
          <w:szCs w:val="24"/>
          <w:lang w:val="es-CO" w:eastAsia="es-ES"/>
        </w:rPr>
        <w:t> Es todo arrendamiento diferente de un arrendamiento financiero o leasing financiero, de que trata el literal anterior.</w:t>
      </w:r>
    </w:p>
    <w:p w14:paraId="645C0F6C"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3AC8A104"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3DD5D6D1"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lastRenderedPageBreak/>
        <w:t>2. Tratamiento del arrendamiento financiero o leasing:</w:t>
      </w:r>
    </w:p>
    <w:p w14:paraId="4F9EEAE3"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1EA5F3F0"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5F8C001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a. Para el arrendador financiero:</w:t>
      </w:r>
    </w:p>
    <w:p w14:paraId="18ED9F79"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F0BA23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2C5C3B0E"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i. Al momento de celebración del contrato deberá reconocer un activo por arrendamiento financiero por el valor presente de los cánones de arrendamientos, la opción de compra y el valor residual de garantía en caso de ser aplicable.</w:t>
      </w:r>
    </w:p>
    <w:p w14:paraId="69525EC7" w14:textId="77777777"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ii</w:t>
      </w:r>
      <w:proofErr w:type="spellEnd"/>
      <w:r w:rsidRPr="008D052B">
        <w:rPr>
          <w:rFonts w:eastAsia="Times New Roman" w:cs="Times New Roman"/>
          <w:i/>
          <w:iCs/>
          <w:szCs w:val="24"/>
          <w:lang w:val="es-CO" w:eastAsia="es-ES"/>
        </w:rPr>
        <w:t>. Deberá incluir en sus declaraciones de renta la totalidad de los ingresos generados por los contratos de arrendamiento. Para tal efecto, se entiende por ingresos, los ingresos financieros procedentes del activo por arrendamiento, así como los demás ingresos que se deriven del contrato.</w:t>
      </w:r>
    </w:p>
    <w:p w14:paraId="180AD834"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315098C"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091C24B7"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b. Para el arrendatario:</w:t>
      </w:r>
    </w:p>
    <w:p w14:paraId="17B946D7"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39DF6F16"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4BB575A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i. 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14:paraId="0B709A7C"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79E34DB3"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2028D73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Adicionalmente y de manera discriminada, se podrán adicionar los costos en los que se incurra para poner en marcha o utilización el activo siempre que los mismos no hayan sido financiados.</w:t>
      </w:r>
    </w:p>
    <w:p w14:paraId="59D6523E"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0E1E03DF"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30873257" w14:textId="77777777"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ii</w:t>
      </w:r>
      <w:proofErr w:type="spellEnd"/>
      <w:r w:rsidRPr="008D052B">
        <w:rPr>
          <w:rFonts w:eastAsia="Times New Roman" w:cs="Times New Roman"/>
          <w:i/>
          <w:iCs/>
          <w:szCs w:val="24"/>
          <w:lang w:val="es-CO" w:eastAsia="es-ES"/>
        </w:rPr>
        <w:t>. 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14:paraId="56227743" w14:textId="77777777" w:rsidR="008D052B" w:rsidRPr="008D052B" w:rsidRDefault="008D052B" w:rsidP="008D052B">
      <w:pPr>
        <w:shd w:val="clear" w:color="auto" w:fill="FFFFFF"/>
        <w:spacing w:line="240" w:lineRule="auto"/>
        <w:ind w:left="-45"/>
        <w:rPr>
          <w:rFonts w:eastAsia="Times New Roman" w:cs="Times New Roman"/>
          <w:i/>
          <w:iCs/>
          <w:szCs w:val="24"/>
          <w:lang w:val="es-CO" w:eastAsia="es-ES"/>
        </w:rPr>
      </w:pPr>
    </w:p>
    <w:p w14:paraId="4DA31383" w14:textId="6BA5E3D6"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iii</w:t>
      </w:r>
      <w:proofErr w:type="spellEnd"/>
      <w:r w:rsidRPr="008D052B">
        <w:rPr>
          <w:rFonts w:eastAsia="Times New Roman" w:cs="Times New Roman"/>
          <w:i/>
          <w:iCs/>
          <w:szCs w:val="24"/>
          <w:lang w:val="es-CO" w:eastAsia="es-ES"/>
        </w:rPr>
        <w:t>. El IVA pagado en la operación solo será descontable o deducible según el tipo de bien objeto del contrato por parte del arrendatario, según las reglas previstas en este estatuto.</w:t>
      </w:r>
    </w:p>
    <w:p w14:paraId="33B3FE8F" w14:textId="77777777" w:rsidR="008D052B" w:rsidRPr="008D052B" w:rsidRDefault="008D052B" w:rsidP="008D052B">
      <w:pPr>
        <w:shd w:val="clear" w:color="auto" w:fill="FFFFFF"/>
        <w:spacing w:line="240" w:lineRule="auto"/>
        <w:ind w:left="-45"/>
        <w:rPr>
          <w:rFonts w:eastAsia="Times New Roman" w:cs="Times New Roman"/>
          <w:i/>
          <w:iCs/>
          <w:szCs w:val="24"/>
          <w:lang w:val="es-CO" w:eastAsia="es-ES"/>
        </w:rPr>
      </w:pPr>
    </w:p>
    <w:p w14:paraId="0430759D" w14:textId="03461C30"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iv</w:t>
      </w:r>
      <w:proofErr w:type="spellEnd"/>
      <w:r w:rsidRPr="008D052B">
        <w:rPr>
          <w:rFonts w:eastAsia="Times New Roman" w:cs="Times New Roman"/>
          <w:i/>
          <w:iCs/>
          <w:szCs w:val="24"/>
          <w:lang w:val="es-CO" w:eastAsia="es-ES"/>
        </w:rPr>
        <w:t>. Cuando el arrendamiento financiero comprenda bienes inmuebles, la parte correspondiente a terrenos no será depreciable ni amortizable.</w:t>
      </w:r>
    </w:p>
    <w:p w14:paraId="05E55665" w14:textId="77777777" w:rsidR="008D052B" w:rsidRPr="008D052B" w:rsidRDefault="008D052B" w:rsidP="008D052B">
      <w:pPr>
        <w:shd w:val="clear" w:color="auto" w:fill="FFFFFF"/>
        <w:spacing w:line="240" w:lineRule="auto"/>
        <w:ind w:left="-45"/>
        <w:rPr>
          <w:rFonts w:eastAsia="Times New Roman" w:cs="Times New Roman"/>
          <w:i/>
          <w:iCs/>
          <w:szCs w:val="24"/>
          <w:lang w:val="es-CO" w:eastAsia="es-ES"/>
        </w:rPr>
      </w:pPr>
    </w:p>
    <w:p w14:paraId="521CC686" w14:textId="1B39725F"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v. 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este. La parte de cada canon correspondiente a intereses o costo financiero, será un gasto deducible para el arrendatario sometido a las limitaciones para la deducción de intereses.</w:t>
      </w:r>
    </w:p>
    <w:p w14:paraId="31E722C5" w14:textId="77777777" w:rsidR="008D052B" w:rsidRPr="008D052B" w:rsidRDefault="008D052B" w:rsidP="008D052B">
      <w:pPr>
        <w:shd w:val="clear" w:color="auto" w:fill="FFFFFF"/>
        <w:spacing w:line="240" w:lineRule="auto"/>
        <w:ind w:left="-45"/>
        <w:rPr>
          <w:rFonts w:eastAsia="Times New Roman" w:cs="Times New Roman"/>
          <w:i/>
          <w:iCs/>
          <w:szCs w:val="24"/>
          <w:lang w:val="es-CO" w:eastAsia="es-ES"/>
        </w:rPr>
      </w:pPr>
    </w:p>
    <w:p w14:paraId="34F8EF40" w14:textId="4A3016CA"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vi. Al momento de ejercer la opción de compra, el valor pactado para tal fin se cargará contra el pasivo del arrendatario, debiendo quedar este en ceros. Cualquier diferencia se ajustará como ingreso o gasto.</w:t>
      </w:r>
    </w:p>
    <w:p w14:paraId="6FBF2F89" w14:textId="77777777" w:rsidR="008D052B" w:rsidRPr="008D052B" w:rsidRDefault="008D052B" w:rsidP="008D052B">
      <w:pPr>
        <w:shd w:val="clear" w:color="auto" w:fill="FFFFFF"/>
        <w:spacing w:line="240" w:lineRule="auto"/>
        <w:ind w:left="-45"/>
        <w:rPr>
          <w:rFonts w:eastAsia="Times New Roman" w:cs="Times New Roman"/>
          <w:i/>
          <w:iCs/>
          <w:szCs w:val="24"/>
          <w:lang w:val="es-CO" w:eastAsia="es-ES"/>
        </w:rPr>
      </w:pPr>
    </w:p>
    <w:p w14:paraId="4CFF4BA8" w14:textId="0B2D9BD0" w:rsidR="008D052B" w:rsidRPr="008D052B" w:rsidRDefault="008D052B" w:rsidP="008D052B">
      <w:pPr>
        <w:shd w:val="clear" w:color="auto" w:fill="FFFFFF"/>
        <w:spacing w:line="240" w:lineRule="auto"/>
        <w:ind w:left="-45"/>
        <w:rPr>
          <w:rFonts w:eastAsia="Times New Roman" w:cs="Times New Roman"/>
          <w:szCs w:val="24"/>
          <w:lang w:eastAsia="es-ES"/>
        </w:rPr>
      </w:pPr>
      <w:proofErr w:type="spellStart"/>
      <w:r w:rsidRPr="008D052B">
        <w:rPr>
          <w:rFonts w:eastAsia="Times New Roman" w:cs="Times New Roman"/>
          <w:i/>
          <w:iCs/>
          <w:szCs w:val="24"/>
          <w:lang w:val="es-CO" w:eastAsia="es-ES"/>
        </w:rPr>
        <w:t>vii</w:t>
      </w:r>
      <w:proofErr w:type="spellEnd"/>
      <w:r w:rsidRPr="008D052B">
        <w:rPr>
          <w:rFonts w:eastAsia="Times New Roman" w:cs="Times New Roman"/>
          <w:i/>
          <w:iCs/>
          <w:szCs w:val="24"/>
          <w:lang w:val="es-CO" w:eastAsia="es-ES"/>
        </w:rPr>
        <w:t>. 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tratará como una recuperación de deducciones. (…)”</w:t>
      </w:r>
    </w:p>
    <w:p w14:paraId="79064AF6"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176C4E5"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46C2CAE"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lastRenderedPageBreak/>
        <w:t>Finalmente, en cuanto a la renta por comparación patrimonial no debe olvidarse que esta se presenta cuando la diferencia a que alude el artículo 236 del estatuto tributario no tiene causa justificativa:</w:t>
      </w:r>
    </w:p>
    <w:p w14:paraId="04FADE7D"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27362718"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3869AB5"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“Artículo 236. Renta por comparación patrimonial. </w:t>
      </w:r>
      <w:r w:rsidRPr="008D052B">
        <w:rPr>
          <w:rFonts w:eastAsia="Times New Roman" w:cs="Times New Roman"/>
          <w:i/>
          <w:iCs/>
          <w:szCs w:val="24"/>
          <w:lang w:val="es-CO" w:eastAsia="es-ES"/>
        </w:rPr>
        <w:t>Cuando la suma de la renta gravable, las rentas exentas y la ganancia ocasional neta,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14:paraId="3DEA0D89"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7161D4E"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66F1FB1"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4- En cuanto al costo fiscal del activo en la enajenación posterior el artículo 71 del mismo estatuto señala:</w:t>
      </w:r>
    </w:p>
    <w:p w14:paraId="701F816B"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03B4E7F3"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4E331557"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b/>
          <w:bCs/>
          <w:i/>
          <w:iCs/>
          <w:szCs w:val="24"/>
          <w:lang w:val="es-CO" w:eastAsia="es-ES"/>
        </w:rPr>
        <w:t>“ARTÍCULO 71. UTILIDAD EN LA ENAJENACIÓN DE INMUEBLES.</w:t>
      </w:r>
    </w:p>
    <w:p w14:paraId="0109E650" w14:textId="77777777" w:rsidR="008D052B" w:rsidRDefault="008D052B" w:rsidP="008D052B">
      <w:pPr>
        <w:shd w:val="clear" w:color="auto" w:fill="FFFFFF"/>
        <w:spacing w:line="240" w:lineRule="auto"/>
        <w:ind w:left="-45"/>
        <w:rPr>
          <w:rFonts w:eastAsia="Times New Roman" w:cs="Times New Roman"/>
          <w:i/>
          <w:iCs/>
          <w:szCs w:val="24"/>
          <w:lang w:val="es-CO" w:eastAsia="es-ES"/>
        </w:rPr>
      </w:pPr>
    </w:p>
    <w:p w14:paraId="18C69010" w14:textId="7A82A53C"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&lt;Artículo modificado por el artículo 50 de la Ley 1819 de 2016.&gt; Para determinar la utilidad en la enajenación de bienes inmuebles que se encuentren contenidos en el artículo 69 y 69-1 del Estatuto Tributario, se restará al precio de venta el costo fiscal, establecido de acuerdo con las alternativas previstas en este Capítulo.</w:t>
      </w:r>
    </w:p>
    <w:p w14:paraId="1491670B"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292AD170"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szCs w:val="24"/>
          <w:lang w:eastAsia="es-ES"/>
        </w:rPr>
        <w:t> </w:t>
      </w:r>
    </w:p>
    <w:p w14:paraId="6AB17141" w14:textId="77777777" w:rsidR="008D052B" w:rsidRPr="008D052B" w:rsidRDefault="008D052B" w:rsidP="008D052B">
      <w:pPr>
        <w:shd w:val="clear" w:color="auto" w:fill="FFFFFF"/>
        <w:spacing w:line="240" w:lineRule="auto"/>
        <w:ind w:left="-45"/>
        <w:rPr>
          <w:rFonts w:eastAsia="Times New Roman" w:cs="Times New Roman"/>
          <w:szCs w:val="24"/>
          <w:lang w:eastAsia="es-ES"/>
        </w:rPr>
      </w:pPr>
      <w:r w:rsidRPr="008D052B">
        <w:rPr>
          <w:rFonts w:eastAsia="Times New Roman" w:cs="Times New Roman"/>
          <w:i/>
          <w:iCs/>
          <w:szCs w:val="24"/>
          <w:lang w:val="es-CO" w:eastAsia="es-ES"/>
        </w:rPr>
        <w:t xml:space="preserve">Cuando se trate de inmuebles adquiridos mediante contratos de arrendamiento financiero o leasing, </w:t>
      </w:r>
      <w:proofErr w:type="spellStart"/>
      <w:r w:rsidRPr="008D052B">
        <w:rPr>
          <w:rFonts w:eastAsia="Times New Roman" w:cs="Times New Roman"/>
          <w:i/>
          <w:iCs/>
          <w:szCs w:val="24"/>
          <w:lang w:val="es-CO" w:eastAsia="es-ES"/>
        </w:rPr>
        <w:t>retroarriendo</w:t>
      </w:r>
      <w:proofErr w:type="spellEnd"/>
      <w:r w:rsidRPr="008D052B">
        <w:rPr>
          <w:rFonts w:eastAsia="Times New Roman" w:cs="Times New Roman"/>
          <w:i/>
          <w:iCs/>
          <w:szCs w:val="24"/>
          <w:lang w:val="es-CO" w:eastAsia="es-ES"/>
        </w:rPr>
        <w:t xml:space="preserve"> o </w:t>
      </w:r>
      <w:proofErr w:type="spellStart"/>
      <w:r w:rsidRPr="008D052B">
        <w:rPr>
          <w:rFonts w:eastAsia="Times New Roman" w:cs="Times New Roman"/>
          <w:i/>
          <w:iCs/>
          <w:szCs w:val="24"/>
          <w:lang w:val="es-CO" w:eastAsia="es-ES"/>
        </w:rPr>
        <w:t>lease</w:t>
      </w:r>
      <w:proofErr w:type="spellEnd"/>
      <w:r w:rsidRPr="008D052B">
        <w:rPr>
          <w:rFonts w:eastAsia="Times New Roman" w:cs="Times New Roman"/>
          <w:i/>
          <w:iCs/>
          <w:szCs w:val="24"/>
          <w:lang w:val="es-CO" w:eastAsia="es-ES"/>
        </w:rPr>
        <w:t>-back, de acuerdo con lo previsto en el artículo 127-1 del Estatuto Tributario, el costo de enajenación para el arrendatario adquirente será el determinado en el numeral 2 del artículo 127-1 del Estatuto Tributario, más las adiciones y mejoras, menos, cuando fuere el caso, la depreciación o amortización, siempre y cuando haya sido deducida para fines fiscales.”</w:t>
      </w:r>
    </w:p>
    <w:p w14:paraId="3452B3F7"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63CECD0A"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0F9CEF53"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highlight w:val="green"/>
          <w:lang w:val="es-CO" w:eastAsia="es-ES"/>
        </w:rPr>
        <w:t>En consecuencia, en la venta de un inmueble adquirido mediante un contrato de leasing, se deberá tener en cuenta el artículo 71 citado.</w:t>
      </w:r>
    </w:p>
    <w:p w14:paraId="1295EBD7"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1C8562C9"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442B7E07"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De manera concordante el artículo 1.2.1.18.50 del DUR 1625 de 2016 que contenía los efectos tributarios del leasing habitacional asimilándolo a leasing operativo, se entiende que ha sufrido decaimiento en razón a la referencia expresa al inciso 2do. del artículo 127-1 en mención que el artículo 71 en cita realizará el artículo 50 de la Ley 1819 de 2016.</w:t>
      </w:r>
    </w:p>
    <w:p w14:paraId="538EB78C"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25244A01"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2F2D54AA"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Atentamente,</w:t>
      </w:r>
    </w:p>
    <w:p w14:paraId="7915BEB8"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52428530"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eastAsia="es-ES"/>
        </w:rPr>
        <w:t> </w:t>
      </w:r>
    </w:p>
    <w:p w14:paraId="207D66E3" w14:textId="3B6EB878"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b/>
          <w:bCs/>
          <w:szCs w:val="24"/>
          <w:lang w:val="es-CO" w:eastAsia="es-ES"/>
        </w:rPr>
        <w:t>LORENZO CASTILLO BARVO</w:t>
      </w:r>
    </w:p>
    <w:p w14:paraId="05E0C51F" w14:textId="77777777"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Subdirector de Gestión Normativa y Doctrina (E)</w:t>
      </w:r>
    </w:p>
    <w:p w14:paraId="1AF6E1A6" w14:textId="21A7A425" w:rsidR="008D052B" w:rsidRPr="008D052B" w:rsidRDefault="008D052B" w:rsidP="008D052B">
      <w:pPr>
        <w:shd w:val="clear" w:color="auto" w:fill="FFFFFF"/>
        <w:spacing w:line="240" w:lineRule="auto"/>
        <w:rPr>
          <w:rFonts w:eastAsia="Times New Roman" w:cs="Times New Roman"/>
          <w:szCs w:val="24"/>
          <w:lang w:val="es-CO" w:eastAsia="es-ES"/>
        </w:rPr>
      </w:pPr>
      <w:r w:rsidRPr="008D052B">
        <w:rPr>
          <w:rFonts w:eastAsia="Times New Roman" w:cs="Times New Roman"/>
          <w:szCs w:val="24"/>
          <w:lang w:val="es-CO" w:eastAsia="es-ES"/>
        </w:rPr>
        <w:t>Dirección de Gestión Jurídica</w:t>
      </w:r>
    </w:p>
    <w:p w14:paraId="3750DD09" w14:textId="5BBD1359" w:rsidR="008D052B" w:rsidRPr="008D052B" w:rsidRDefault="008D052B" w:rsidP="008D052B">
      <w:pPr>
        <w:shd w:val="clear" w:color="auto" w:fill="FFFFFF"/>
        <w:spacing w:line="240" w:lineRule="auto"/>
        <w:rPr>
          <w:rFonts w:eastAsia="Times New Roman" w:cs="Times New Roman"/>
          <w:szCs w:val="24"/>
          <w:lang w:eastAsia="es-ES"/>
        </w:rPr>
      </w:pPr>
      <w:r w:rsidRPr="008D052B">
        <w:rPr>
          <w:rFonts w:eastAsia="Times New Roman" w:cs="Times New Roman"/>
          <w:szCs w:val="24"/>
          <w:lang w:val="es-CO" w:eastAsia="es-ES"/>
        </w:rPr>
        <w:t>_____________________________________________________________________________</w:t>
      </w:r>
    </w:p>
    <w:sectPr w:rsidR="008D052B" w:rsidRPr="008D052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294F"/>
    <w:multiLevelType w:val="multilevel"/>
    <w:tmpl w:val="ED2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F43F2"/>
    <w:multiLevelType w:val="multilevel"/>
    <w:tmpl w:val="AF7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2B"/>
    <w:rsid w:val="001E311E"/>
    <w:rsid w:val="00434AE6"/>
    <w:rsid w:val="007F5CC8"/>
    <w:rsid w:val="008779BE"/>
    <w:rsid w:val="008D052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5B90"/>
  <w15:chartTrackingRefBased/>
  <w15:docId w15:val="{78691EF5-A29A-408D-8429-9B940F3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88517">
      <w:bodyDiv w:val="1"/>
      <w:marLeft w:val="0"/>
      <w:marRight w:val="0"/>
      <w:marTop w:val="0"/>
      <w:marBottom w:val="0"/>
      <w:divBdr>
        <w:top w:val="none" w:sz="0" w:space="0" w:color="auto"/>
        <w:left w:val="none" w:sz="0" w:space="0" w:color="auto"/>
        <w:bottom w:val="none" w:sz="0" w:space="0" w:color="auto"/>
        <w:right w:val="none" w:sz="0" w:space="0" w:color="auto"/>
      </w:divBdr>
      <w:divsChild>
        <w:div w:id="1195846739">
          <w:marLeft w:val="0"/>
          <w:marRight w:val="0"/>
          <w:marTop w:val="0"/>
          <w:marBottom w:val="0"/>
          <w:divBdr>
            <w:top w:val="none" w:sz="0" w:space="0" w:color="auto"/>
            <w:left w:val="none" w:sz="0" w:space="0" w:color="auto"/>
            <w:bottom w:val="none" w:sz="0" w:space="0" w:color="auto"/>
            <w:right w:val="none" w:sz="0" w:space="0" w:color="auto"/>
          </w:divBdr>
          <w:divsChild>
            <w:div w:id="1160728503">
              <w:marLeft w:val="-225"/>
              <w:marRight w:val="-225"/>
              <w:marTop w:val="0"/>
              <w:marBottom w:val="0"/>
              <w:divBdr>
                <w:top w:val="none" w:sz="0" w:space="0" w:color="auto"/>
                <w:left w:val="none" w:sz="0" w:space="0" w:color="auto"/>
                <w:bottom w:val="none" w:sz="0" w:space="0" w:color="auto"/>
                <w:right w:val="none" w:sz="0" w:space="0" w:color="auto"/>
              </w:divBdr>
              <w:divsChild>
                <w:div w:id="833303293">
                  <w:marLeft w:val="0"/>
                  <w:marRight w:val="0"/>
                  <w:marTop w:val="0"/>
                  <w:marBottom w:val="0"/>
                  <w:divBdr>
                    <w:top w:val="none" w:sz="0" w:space="0" w:color="auto"/>
                    <w:left w:val="none" w:sz="0" w:space="0" w:color="auto"/>
                    <w:bottom w:val="none" w:sz="0" w:space="0" w:color="auto"/>
                    <w:right w:val="none" w:sz="0" w:space="0" w:color="auto"/>
                  </w:divBdr>
                  <w:divsChild>
                    <w:div w:id="775910916">
                      <w:marLeft w:val="0"/>
                      <w:marRight w:val="0"/>
                      <w:marTop w:val="0"/>
                      <w:marBottom w:val="0"/>
                      <w:divBdr>
                        <w:top w:val="none" w:sz="0" w:space="0" w:color="auto"/>
                        <w:left w:val="none" w:sz="0" w:space="0" w:color="auto"/>
                        <w:bottom w:val="none" w:sz="0" w:space="0" w:color="auto"/>
                        <w:right w:val="none" w:sz="0" w:space="0" w:color="auto"/>
                      </w:divBdr>
                      <w:divsChild>
                        <w:div w:id="3514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7846">
                  <w:marLeft w:val="0"/>
                  <w:marRight w:val="0"/>
                  <w:marTop w:val="0"/>
                  <w:marBottom w:val="0"/>
                  <w:divBdr>
                    <w:top w:val="none" w:sz="0" w:space="0" w:color="auto"/>
                    <w:left w:val="none" w:sz="0" w:space="0" w:color="auto"/>
                    <w:bottom w:val="none" w:sz="0" w:space="0" w:color="auto"/>
                    <w:right w:val="none" w:sz="0" w:space="0" w:color="auto"/>
                  </w:divBdr>
                  <w:divsChild>
                    <w:div w:id="2106264573">
                      <w:marLeft w:val="0"/>
                      <w:marRight w:val="0"/>
                      <w:marTop w:val="0"/>
                      <w:marBottom w:val="0"/>
                      <w:divBdr>
                        <w:top w:val="none" w:sz="0" w:space="0" w:color="auto"/>
                        <w:left w:val="none" w:sz="0" w:space="0" w:color="auto"/>
                        <w:bottom w:val="none" w:sz="0" w:space="0" w:color="auto"/>
                        <w:right w:val="none" w:sz="0" w:space="0" w:color="auto"/>
                      </w:divBdr>
                      <w:divsChild>
                        <w:div w:id="333800108">
                          <w:marLeft w:val="0"/>
                          <w:marRight w:val="0"/>
                          <w:marTop w:val="0"/>
                          <w:marBottom w:val="0"/>
                          <w:divBdr>
                            <w:top w:val="single" w:sz="6" w:space="12" w:color="FFFFFF"/>
                            <w:left w:val="single" w:sz="6" w:space="12" w:color="FFFFFF"/>
                            <w:bottom w:val="single" w:sz="6" w:space="12" w:color="FFFFFF"/>
                            <w:right w:val="single" w:sz="6" w:space="12" w:color="FFFFFF"/>
                          </w:divBdr>
                          <w:divsChild>
                            <w:div w:id="979767581">
                              <w:marLeft w:val="0"/>
                              <w:marRight w:val="0"/>
                              <w:marTop w:val="0"/>
                              <w:marBottom w:val="0"/>
                              <w:divBdr>
                                <w:top w:val="none" w:sz="0" w:space="0" w:color="auto"/>
                                <w:left w:val="none" w:sz="0" w:space="0" w:color="auto"/>
                                <w:bottom w:val="none" w:sz="0" w:space="0" w:color="auto"/>
                                <w:right w:val="none" w:sz="0" w:space="0" w:color="auto"/>
                              </w:divBdr>
                              <w:divsChild>
                                <w:div w:id="685248514">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20941004">
                      <w:marLeft w:val="0"/>
                      <w:marRight w:val="0"/>
                      <w:marTop w:val="0"/>
                      <w:marBottom w:val="0"/>
                      <w:divBdr>
                        <w:top w:val="none" w:sz="0" w:space="0" w:color="auto"/>
                        <w:left w:val="none" w:sz="0" w:space="0" w:color="auto"/>
                        <w:bottom w:val="none" w:sz="0" w:space="0" w:color="auto"/>
                        <w:right w:val="none" w:sz="0" w:space="0" w:color="auto"/>
                      </w:divBdr>
                      <w:divsChild>
                        <w:div w:id="957176161">
                          <w:marLeft w:val="0"/>
                          <w:marRight w:val="0"/>
                          <w:marTop w:val="0"/>
                          <w:marBottom w:val="0"/>
                          <w:divBdr>
                            <w:top w:val="none" w:sz="0" w:space="0" w:color="auto"/>
                            <w:left w:val="none" w:sz="0" w:space="0" w:color="auto"/>
                            <w:bottom w:val="none" w:sz="0" w:space="0" w:color="auto"/>
                            <w:right w:val="none" w:sz="0" w:space="0" w:color="auto"/>
                          </w:divBdr>
                          <w:divsChild>
                            <w:div w:id="17712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1614</Words>
  <Characters>8883</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2020-04-29T20:25:00Z</dcterms:created>
  <dcterms:modified xsi:type="dcterms:W3CDTF">2020-04-29T20:31:00Z</dcterms:modified>
</cp:coreProperties>
</file>