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124B" w14:textId="77777777"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bookmarkStart w:id="0" w:name="_GoBack"/>
      <w:bookmarkEnd w:id="0"/>
      <w:r w:rsidRPr="00FE78EE">
        <w:rPr>
          <w:rFonts w:eastAsia="Times New Roman" w:cs="Times New Roman"/>
          <w:b/>
          <w:bCs/>
          <w:szCs w:val="24"/>
          <w:lang w:eastAsia="es-CO"/>
        </w:rPr>
        <w:t>OFICIO Nº 884 [008774]</w:t>
      </w:r>
    </w:p>
    <w:p w14:paraId="3938A56F" w14:textId="77777777"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11-04-2019</w:t>
      </w:r>
    </w:p>
    <w:p w14:paraId="4D2F532A" w14:textId="77777777" w:rsidR="00364351" w:rsidRPr="00FE78EE" w:rsidRDefault="00364351" w:rsidP="00364351">
      <w:pPr>
        <w:spacing w:line="240" w:lineRule="auto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DIAN</w:t>
      </w:r>
    </w:p>
    <w:p w14:paraId="2B9642C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 </w:t>
      </w:r>
    </w:p>
    <w:p w14:paraId="3E8DBCCA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 </w:t>
      </w:r>
    </w:p>
    <w:p w14:paraId="5E90770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14:paraId="673466F1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100208221 000884</w:t>
      </w:r>
    </w:p>
    <w:p w14:paraId="605E2C5A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Bogotá, D.C.</w:t>
      </w:r>
    </w:p>
    <w:p w14:paraId="17D85BC1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6244B388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proofErr w:type="spellStart"/>
      <w:r w:rsidRPr="00FE78EE">
        <w:rPr>
          <w:rFonts w:eastAsia="Times New Roman" w:cs="Times New Roman"/>
          <w:b/>
          <w:bCs/>
          <w:szCs w:val="24"/>
          <w:lang w:eastAsia="es-CO"/>
        </w:rPr>
        <w:t>Ref</w:t>
      </w:r>
      <w:proofErr w:type="spellEnd"/>
      <w:r w:rsidRPr="00FE78EE">
        <w:rPr>
          <w:rFonts w:eastAsia="Times New Roman" w:cs="Times New Roman"/>
          <w:b/>
          <w:bCs/>
          <w:szCs w:val="24"/>
          <w:lang w:eastAsia="es-CO"/>
        </w:rPr>
        <w:t>:</w:t>
      </w:r>
      <w:r w:rsidRPr="00FE78EE">
        <w:rPr>
          <w:rFonts w:eastAsia="Times New Roman" w:cs="Times New Roman"/>
          <w:szCs w:val="24"/>
          <w:lang w:eastAsia="es-CO"/>
        </w:rPr>
        <w:t> Radicado 100012786 del 25/02/2019</w:t>
      </w:r>
    </w:p>
    <w:p w14:paraId="00A85FF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5677693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Tema </w:t>
      </w:r>
      <w:r w:rsidRPr="00FE78EE">
        <w:rPr>
          <w:rFonts w:eastAsia="Times New Roman" w:cs="Times New Roman"/>
          <w:szCs w:val="24"/>
          <w:lang w:eastAsia="es-CO"/>
        </w:rPr>
        <w:t>Impuesto sobre la Renta y Complementarios</w:t>
      </w:r>
    </w:p>
    <w:p w14:paraId="3E0C49E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Descriptores </w:t>
      </w:r>
      <w:r w:rsidRPr="00FE78EE">
        <w:rPr>
          <w:rFonts w:eastAsia="Times New Roman" w:cs="Times New Roman"/>
          <w:szCs w:val="24"/>
          <w:lang w:eastAsia="es-CO"/>
        </w:rPr>
        <w:t>Renta Bruta</w:t>
      </w:r>
    </w:p>
    <w:p w14:paraId="787D2ACA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Fuentes formales </w:t>
      </w:r>
      <w:r w:rsidRPr="00FE78EE">
        <w:rPr>
          <w:rFonts w:eastAsia="Times New Roman" w:cs="Times New Roman"/>
          <w:szCs w:val="24"/>
          <w:lang w:eastAsia="es-CO"/>
        </w:rPr>
        <w:t>Artículos </w:t>
      </w:r>
      <w:hyperlink r:id="rId4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90</w:t>
        </w:r>
      </w:hyperlink>
      <w:r w:rsidRPr="00FE78EE">
        <w:rPr>
          <w:rFonts w:eastAsia="Times New Roman" w:cs="Times New Roman"/>
          <w:szCs w:val="24"/>
          <w:lang w:eastAsia="es-CO"/>
        </w:rPr>
        <w:t> y </w:t>
      </w:r>
      <w:hyperlink r:id="rId5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26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Tributario.</w:t>
      </w:r>
    </w:p>
    <w:p w14:paraId="74DF86D5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3E449888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689C7CA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Cordial saludo, señor Castelblanco:</w:t>
      </w:r>
    </w:p>
    <w:p w14:paraId="56683943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7769AA8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cambiarias.</w:t>
      </w:r>
    </w:p>
    <w:p w14:paraId="2BC12D61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2CF6BEC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No es de nuestra competencia emitir conceptos sobre procedimientos específicos o actuaciones particulares concretas que deban adelantar los contribuyentes frente a obligaciones previstas en el Estatuto Tributario.</w:t>
      </w:r>
    </w:p>
    <w:p w14:paraId="11019849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053BE0A5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 continuación, damos respuesta a las siguientes preguntas sobre qué valor registrar en la escritura pública de una casa que tiene un avalúo catastral superior al valor comercial.</w:t>
      </w:r>
    </w:p>
    <w:p w14:paraId="6525CF4A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768E304F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1. ¿Aplica para el caso, aquello de registrar en la escritura de venta bajo juramento el precio de la transacción, y de esa manera el Notario recibir la tramitación del negocio, o se debe registrar la operación de venta por mínimo el precio del Avalúo Catastral así no sea cierto y haya que venderla por menor precio?</w:t>
      </w:r>
    </w:p>
    <w:p w14:paraId="47E02C2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7E0AABE8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Conforme al inciso 5º del </w:t>
      </w:r>
      <w:hyperlink r:id="rId6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artículo 90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 modificado por la Ley 1943 de 2018, el precio mínimo, para efectos tributarios, es el valor del avalúo catastral porque la ley considera inaceptable un valor inferior.</w:t>
      </w:r>
    </w:p>
    <w:p w14:paraId="7A71D804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7C7911A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Así lo establece la disposición:</w:t>
      </w:r>
    </w:p>
    <w:p w14:paraId="4BA72BC7" w14:textId="77777777"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674751B9" w14:textId="77777777"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LEY 1943 DE 2018</w:t>
      </w:r>
    </w:p>
    <w:p w14:paraId="36171DA5" w14:textId="77777777"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(diciembre 28)</w:t>
      </w:r>
    </w:p>
    <w:p w14:paraId="2FD90AF3" w14:textId="77777777"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 </w:t>
      </w:r>
    </w:p>
    <w:p w14:paraId="3485D51C" w14:textId="77777777" w:rsidR="00364351" w:rsidRPr="00FE78EE" w:rsidRDefault="00364351" w:rsidP="00364351">
      <w:pPr>
        <w:spacing w:line="240" w:lineRule="auto"/>
        <w:ind w:left="180"/>
        <w:jc w:val="center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Por la cual se expiden normas de financiamiento para el restablecimiento del equilibrio del presupuesto general y se dictan otras disposiciones.</w:t>
      </w:r>
    </w:p>
    <w:p w14:paraId="0D4D5BEE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6BCC7B3F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ARTÍCULO 53.</w:t>
      </w:r>
      <w:r w:rsidRPr="00FE78EE">
        <w:rPr>
          <w:rFonts w:eastAsia="Times New Roman" w:cs="Times New Roman"/>
          <w:i/>
          <w:iCs/>
          <w:szCs w:val="24"/>
          <w:lang w:eastAsia="es-CO"/>
        </w:rPr>
        <w:t> Modifíquese el </w:t>
      </w:r>
      <w:hyperlink r:id="rId7" w:tooltip="Estatuto Tributario CETA" w:history="1">
        <w:r w:rsidRPr="00FE78EE">
          <w:rPr>
            <w:rFonts w:eastAsia="Times New Roman" w:cs="Times New Roman"/>
            <w:i/>
            <w:iCs/>
            <w:szCs w:val="24"/>
            <w:u w:val="single"/>
            <w:lang w:eastAsia="es-CO"/>
          </w:rPr>
          <w:t>artículo 90</w:t>
        </w:r>
      </w:hyperlink>
      <w:r w:rsidRPr="00FE78EE">
        <w:rPr>
          <w:rFonts w:eastAsia="Times New Roman" w:cs="Times New Roman"/>
          <w:i/>
          <w:iCs/>
          <w:szCs w:val="24"/>
          <w:lang w:eastAsia="es-CO"/>
        </w:rPr>
        <w:t> del Estatuto Tributario, el cual quedará así:</w:t>
      </w:r>
    </w:p>
    <w:p w14:paraId="1EA10C29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235C4681" w14:textId="77777777" w:rsidR="00364351" w:rsidRPr="00FE78EE" w:rsidRDefault="00EC1A07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hyperlink r:id="rId8" w:tooltip="Estatuto Tributario CETA" w:history="1">
        <w:r w:rsidR="00364351" w:rsidRPr="00FE78EE">
          <w:rPr>
            <w:rFonts w:eastAsia="Times New Roman" w:cs="Times New Roman"/>
            <w:b/>
            <w:bCs/>
            <w:i/>
            <w:iCs/>
            <w:szCs w:val="24"/>
            <w:u w:val="single"/>
            <w:lang w:eastAsia="es-CO"/>
          </w:rPr>
          <w:t>Artículo 90</w:t>
        </w:r>
      </w:hyperlink>
      <w:r w:rsidR="00364351" w:rsidRPr="00FE78EE">
        <w:rPr>
          <w:rFonts w:eastAsia="Times New Roman" w:cs="Times New Roman"/>
          <w:b/>
          <w:bCs/>
          <w:i/>
          <w:iCs/>
          <w:szCs w:val="24"/>
          <w:lang w:eastAsia="es-CO"/>
        </w:rPr>
        <w:t>. Determinación de la renta bruta en la enajenación de activos y valor comercial en operaciones sobre bienes y servicios.</w:t>
      </w:r>
      <w:r w:rsidR="00364351" w:rsidRPr="00FE78EE">
        <w:rPr>
          <w:rFonts w:eastAsia="Times New Roman" w:cs="Times New Roman"/>
          <w:i/>
          <w:iCs/>
          <w:szCs w:val="24"/>
          <w:lang w:eastAsia="es-CO"/>
        </w:rPr>
        <w:t> La renta bruta o la pérdida proveniente de la enajenación de activos a cualquier título, está constituida por la diferencia entre el precio de la enajenación y el costo del activo o activos enajenados.</w:t>
      </w:r>
    </w:p>
    <w:p w14:paraId="260992E3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(…)</w:t>
      </w:r>
    </w:p>
    <w:p w14:paraId="5854E801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En el caso de bienes raíces, además de lo previsto en esta disposición, </w:t>
      </w:r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no se </w:t>
      </w:r>
      <w:proofErr w:type="spellStart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aceptaraì</w:t>
      </w:r>
      <w:proofErr w:type="spellEnd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 xml:space="preserve"> (sic) un precio inferior al costo, al avalúo catastral ni al </w:t>
      </w:r>
      <w:proofErr w:type="spellStart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autoavalúo</w:t>
      </w:r>
      <w:proofErr w:type="spellEnd"/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, sin perjuicio de la posibilidad de un valor comercial superior</w:t>
      </w:r>
      <w:r w:rsidRPr="00FE78EE">
        <w:rPr>
          <w:rFonts w:eastAsia="Times New Roman" w:cs="Times New Roman"/>
          <w:i/>
          <w:iCs/>
          <w:szCs w:val="24"/>
          <w:lang w:eastAsia="es-CO"/>
        </w:rPr>
        <w:t xml:space="preserve">. En los casos en que existan lista de precios, bases de datos, ofertas o cualquier otro mecanismo que permita determinar el valor </w:t>
      </w:r>
      <w:r w:rsidRPr="00FE78EE">
        <w:rPr>
          <w:rFonts w:eastAsia="Times New Roman" w:cs="Times New Roman"/>
          <w:i/>
          <w:iCs/>
          <w:szCs w:val="24"/>
          <w:lang w:eastAsia="es-CO"/>
        </w:rPr>
        <w:lastRenderedPageBreak/>
        <w:t>comercial de los bienes raíces enajenados o transferidos, los contribuyentes deberán remitirse a los mismos. Del mismo modo, el valor de los inmuebles estará ì (sic) conformado por todas las sumas pagadas para su adquisición, así ì (sic) se convengan o facturen por fuera de la escritura o correspondan a bienes o servicios accesorios a la adquisición del bien, tales como aportes, mejoras, construcciones, intermediación o cualquier otro concepto.</w:t>
      </w:r>
    </w:p>
    <w:p w14:paraId="4C554A86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7F18E08D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u w:val="single"/>
          <w:lang w:eastAsia="es-CO"/>
        </w:rPr>
        <w:t>En la escritura pública de enajenación o declaración de construcción las partes deberán declarar, bajo la gravedad de juramento, que el precio incluido en la escritura es real y no ha sido objeto de pactos privados en los que se señale un valor diferente; en caso de que tales pactos existan, deberá ì (sic) informarse el precio convenido en ellos</w:t>
      </w:r>
      <w:r w:rsidRPr="00FE78EE">
        <w:rPr>
          <w:rFonts w:eastAsia="Times New Roman" w:cs="Times New Roman"/>
          <w:i/>
          <w:iCs/>
          <w:szCs w:val="24"/>
          <w:lang w:eastAsia="es-CO"/>
        </w:rPr>
        <w:t>. En la misma escritura se debe declarar que no existen sumas que se hayan convenido o facturado por fuera de la misma o, de lo contrario, deberá ì (sic) manifestarse su valor. Sin las referidas declaraciones, tanto el impuesto sobre la renta, como la ganancia ocasional, el impuesto de registro, los derechos de registro y los derechos notariales, serán liquidados sobre una base equivalente a cuatro veces el valor incluido en la escritura, sin perjuicio de la obligación del notario de reportar la irregularidad a las autoridades de impuestos para lo de su competencia y sin perjuicio de las facultades de la Dirección de Impuestos y Aduanas Nacionales (DIAN) para determinar el valor real de la transacción.</w:t>
      </w:r>
    </w:p>
    <w:p w14:paraId="786B744F" w14:textId="77777777" w:rsidR="00364351" w:rsidRPr="00FE78EE" w:rsidRDefault="00364351" w:rsidP="00364351">
      <w:pPr>
        <w:spacing w:line="240" w:lineRule="auto"/>
        <w:ind w:left="180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(…)”</w:t>
      </w:r>
    </w:p>
    <w:p w14:paraId="4D59FAE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0FFB41AB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Con base en la normativa expuesta con anterioridad, en la escritura pública se deberá registrar el valor real de la transacción; es decir, el valor comercial pactado entre las partes. Por otro lado, para efectos tributarios, el valor que se registrará para efectos de la determinación de la base gravable en los tributos aplicables a la enajenación, no podrá ser inferior al avalúo catastral.</w:t>
      </w:r>
    </w:p>
    <w:p w14:paraId="3512F71E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339F0401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2. ¿Siendo que, como persona natural no llevo contabilidad, hay alguna manera de establecer como pérdida respecto al Avalúo Catastral, la diferencia entre este y el precio de venta?</w:t>
      </w:r>
    </w:p>
    <w:p w14:paraId="7669667D" w14:textId="77777777" w:rsidR="00FE78EE" w:rsidRDefault="00FE78EE" w:rsidP="00364351">
      <w:pPr>
        <w:spacing w:line="240" w:lineRule="auto"/>
        <w:rPr>
          <w:rFonts w:eastAsia="Times New Roman" w:cs="Times New Roman"/>
          <w:i/>
          <w:iCs/>
          <w:szCs w:val="24"/>
          <w:lang w:eastAsia="es-CO"/>
        </w:rPr>
      </w:pPr>
    </w:p>
    <w:p w14:paraId="448DB83B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3. ¿Qué puedo hacer para resarcir la pérdida por impuestos pagados sobre un bien cuyo Avalúo Comercial está debajo del Avalúo Catastral?</w:t>
      </w:r>
    </w:p>
    <w:p w14:paraId="0BE17BCA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6456AB61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 w:val="32"/>
          <w:szCs w:val="32"/>
          <w:lang w:eastAsia="es-CO"/>
        </w:rPr>
      </w:pPr>
      <w:r w:rsidRPr="00FE78EE">
        <w:rPr>
          <w:rFonts w:eastAsia="Times New Roman" w:cs="Times New Roman"/>
          <w:sz w:val="32"/>
          <w:szCs w:val="32"/>
          <w:lang w:eastAsia="es-CO"/>
        </w:rPr>
        <w:t xml:space="preserve">De acuerdo con su consulta, entendemos que se trata de un activo fijo el cual ha </w:t>
      </w:r>
      <w:proofErr w:type="spellStart"/>
      <w:r w:rsidRPr="00FE78EE">
        <w:rPr>
          <w:rFonts w:eastAsia="Times New Roman" w:cs="Times New Roman"/>
          <w:sz w:val="32"/>
          <w:szCs w:val="32"/>
          <w:lang w:eastAsia="es-CO"/>
        </w:rPr>
        <w:t>sid</w:t>
      </w:r>
      <w:proofErr w:type="spellEnd"/>
      <w:r w:rsidRPr="00FE78EE">
        <w:rPr>
          <w:rFonts w:eastAsia="Times New Roman" w:cs="Times New Roman"/>
          <w:sz w:val="32"/>
          <w:szCs w:val="32"/>
          <w:lang w:eastAsia="es-CO"/>
        </w:rPr>
        <w:t xml:space="preserve"> (sic) propiedad del contribuyente, por un período superior a dos (2) años. </w:t>
      </w:r>
      <w:r w:rsidRPr="00FE78EE">
        <w:rPr>
          <w:rFonts w:eastAsia="Times New Roman" w:cs="Times New Roman"/>
          <w:sz w:val="32"/>
          <w:szCs w:val="32"/>
          <w:highlight w:val="green"/>
          <w:lang w:eastAsia="es-CO"/>
        </w:rPr>
        <w:t xml:space="preserve">Por lo anterior, la enajenación de dicho activo podrá generar una pérdida ocasional y, </w:t>
      </w:r>
      <w:r w:rsidRPr="00FE78EE">
        <w:rPr>
          <w:rFonts w:eastAsia="Times New Roman" w:cs="Times New Roman"/>
          <w:sz w:val="32"/>
          <w:szCs w:val="32"/>
          <w:highlight w:val="green"/>
          <w:u w:val="single"/>
          <w:lang w:eastAsia="es-CO"/>
        </w:rPr>
        <w:t>dicha pérdida, solo podrá ser compensada con ganancias ocasionales.</w:t>
      </w:r>
      <w:r w:rsidRPr="00FE78EE">
        <w:rPr>
          <w:rFonts w:eastAsia="Times New Roman" w:cs="Times New Roman"/>
          <w:sz w:val="32"/>
          <w:szCs w:val="32"/>
          <w:highlight w:val="green"/>
          <w:lang w:eastAsia="es-CO"/>
        </w:rPr>
        <w:t xml:space="preserve"> Es decir, la pérdida ocasional no podrá ser compensada con renta líquida.</w:t>
      </w:r>
    </w:p>
    <w:p w14:paraId="6BF98E83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5FDD3578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Estas conclusiones encuentran argumentos en lo establecido por el </w:t>
      </w:r>
      <w:hyperlink r:id="rId9" w:tooltip="Estatuto Tributario CETA" w:history="1">
        <w:r w:rsidRPr="00FE78EE">
          <w:rPr>
            <w:rFonts w:eastAsia="Times New Roman" w:cs="Times New Roman"/>
            <w:szCs w:val="24"/>
            <w:u w:val="single"/>
            <w:lang w:eastAsia="es-CO"/>
          </w:rPr>
          <w:t>artículo 311</w:t>
        </w:r>
      </w:hyperlink>
      <w:r w:rsidRPr="00FE78EE">
        <w:rPr>
          <w:rFonts w:eastAsia="Times New Roman" w:cs="Times New Roman"/>
          <w:szCs w:val="24"/>
          <w:lang w:eastAsia="es-CO"/>
        </w:rPr>
        <w:t> del Estatuto Tributario.</w:t>
      </w:r>
    </w:p>
    <w:p w14:paraId="44591C6D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29A467A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23293448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Atentamente,</w:t>
      </w:r>
    </w:p>
    <w:p w14:paraId="7EC773FC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44B995D7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1EB6265C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b/>
          <w:bCs/>
          <w:szCs w:val="24"/>
          <w:lang w:eastAsia="es-CO"/>
        </w:rPr>
        <w:t>LORENZO CASTILLO BARVO</w:t>
      </w:r>
    </w:p>
    <w:p w14:paraId="4CEA5550" w14:textId="77777777" w:rsidR="00364351" w:rsidRPr="00FE78EE" w:rsidRDefault="00364351" w:rsidP="00364351">
      <w:pPr>
        <w:spacing w:line="240" w:lineRule="auto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Subdirector de Gestión Normativa y Doctrina (E)</w:t>
      </w:r>
    </w:p>
    <w:p w14:paraId="54D7B940" w14:textId="77777777" w:rsidR="00364351" w:rsidRPr="00FE78EE" w:rsidRDefault="00364351" w:rsidP="00364351">
      <w:pPr>
        <w:spacing w:after="285" w:line="240" w:lineRule="auto"/>
        <w:jc w:val="left"/>
        <w:rPr>
          <w:rFonts w:eastAsia="Times New Roman" w:cs="Times New Roman"/>
          <w:szCs w:val="24"/>
          <w:lang w:eastAsia="es-CO"/>
        </w:rPr>
      </w:pPr>
      <w:r w:rsidRPr="00FE78EE">
        <w:rPr>
          <w:rFonts w:eastAsia="Times New Roman" w:cs="Times New Roman"/>
          <w:szCs w:val="24"/>
          <w:lang w:eastAsia="es-CO"/>
        </w:rPr>
        <w:t> </w:t>
      </w:r>
    </w:p>
    <w:p w14:paraId="72EAA842" w14:textId="77777777" w:rsidR="00730617" w:rsidRPr="00FE78EE" w:rsidRDefault="00730617">
      <w:pPr>
        <w:rPr>
          <w:rFonts w:cs="Times New Roman"/>
          <w:szCs w:val="24"/>
        </w:rPr>
      </w:pPr>
    </w:p>
    <w:sectPr w:rsidR="00730617" w:rsidRPr="00FE78EE" w:rsidSect="00A45230">
      <w:pgSz w:w="12191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51"/>
    <w:rsid w:val="00364351"/>
    <w:rsid w:val="00566A3C"/>
    <w:rsid w:val="00730617"/>
    <w:rsid w:val="00A45230"/>
    <w:rsid w:val="00EC1A07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EED7"/>
  <w15:chartTrackingRefBased/>
  <w15:docId w15:val="{B4C65CA7-5C13-4C61-B824-3A21E172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eta.org.co/html/vista_de_un_articulo.asp?Norma=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eta.org.co/html/vista_de_un_articulo.asp?Norma=134" TargetMode="External"/><Relationship Id="rId9" Type="http://schemas.openxmlformats.org/officeDocument/2006/relationships/hyperlink" Target="https://www.ceta.org.co/html/vista_de_un_articulo.asp?Norma=38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CNETCO</cp:lastModifiedBy>
  <cp:revision>2</cp:revision>
  <dcterms:created xsi:type="dcterms:W3CDTF">2020-02-05T23:42:00Z</dcterms:created>
  <dcterms:modified xsi:type="dcterms:W3CDTF">2020-02-05T23:42:00Z</dcterms:modified>
</cp:coreProperties>
</file>