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3A2C2" w14:textId="77777777" w:rsidR="00B20AB5" w:rsidRPr="00B20AB5" w:rsidRDefault="00B20AB5" w:rsidP="00B20AB5">
      <w:pPr>
        <w:spacing w:after="0" w:line="240" w:lineRule="auto"/>
        <w:jc w:val="center"/>
        <w:rPr>
          <w:rFonts w:ascii="Arial" w:eastAsia="Times New Roman" w:hAnsi="Arial" w:cs="Arial"/>
          <w:color w:val="000000"/>
          <w:sz w:val="18"/>
          <w:szCs w:val="18"/>
          <w:lang w:eastAsia="es-CO"/>
        </w:rPr>
      </w:pPr>
      <w:r w:rsidRPr="00B20AB5">
        <w:rPr>
          <w:rFonts w:ascii="Segoe UI" w:eastAsia="Times New Roman" w:hAnsi="Segoe UI" w:cs="Segoe UI"/>
          <w:b/>
          <w:bCs/>
          <w:color w:val="0000FF"/>
          <w:sz w:val="28"/>
          <w:szCs w:val="28"/>
          <w:lang w:eastAsia="es-CO"/>
        </w:rPr>
        <w:t xml:space="preserve">OFICIO </w:t>
      </w:r>
      <w:proofErr w:type="spellStart"/>
      <w:r w:rsidRPr="00B20AB5">
        <w:rPr>
          <w:rFonts w:ascii="Segoe UI" w:eastAsia="Times New Roman" w:hAnsi="Segoe UI" w:cs="Segoe UI"/>
          <w:b/>
          <w:bCs/>
          <w:color w:val="0000FF"/>
          <w:sz w:val="28"/>
          <w:szCs w:val="28"/>
          <w:lang w:eastAsia="es-CO"/>
        </w:rPr>
        <w:t>Nº</w:t>
      </w:r>
      <w:proofErr w:type="spellEnd"/>
      <w:r w:rsidRPr="00B20AB5">
        <w:rPr>
          <w:rFonts w:ascii="Segoe UI" w:eastAsia="Times New Roman" w:hAnsi="Segoe UI" w:cs="Segoe UI"/>
          <w:b/>
          <w:bCs/>
          <w:color w:val="0000FF"/>
          <w:sz w:val="28"/>
          <w:szCs w:val="28"/>
          <w:lang w:eastAsia="es-CO"/>
        </w:rPr>
        <w:t xml:space="preserve"> 746</w:t>
      </w:r>
    </w:p>
    <w:p w14:paraId="3BE7D095" w14:textId="77777777" w:rsidR="00B20AB5" w:rsidRPr="00B20AB5" w:rsidRDefault="00B20AB5" w:rsidP="00B20AB5">
      <w:pPr>
        <w:spacing w:after="0" w:line="240" w:lineRule="auto"/>
        <w:jc w:val="center"/>
        <w:rPr>
          <w:rFonts w:ascii="Arial" w:eastAsia="Times New Roman" w:hAnsi="Arial" w:cs="Arial"/>
          <w:color w:val="000000"/>
          <w:sz w:val="18"/>
          <w:szCs w:val="18"/>
          <w:lang w:eastAsia="es-CO"/>
        </w:rPr>
      </w:pPr>
      <w:r w:rsidRPr="00B20AB5">
        <w:rPr>
          <w:rFonts w:ascii="Segoe UI" w:eastAsia="Times New Roman" w:hAnsi="Segoe UI" w:cs="Segoe UI"/>
          <w:b/>
          <w:bCs/>
          <w:color w:val="0000FF"/>
          <w:sz w:val="28"/>
          <w:szCs w:val="28"/>
          <w:lang w:eastAsia="es-CO"/>
        </w:rPr>
        <w:t>24-06-2020</w:t>
      </w:r>
    </w:p>
    <w:p w14:paraId="4739B161" w14:textId="77777777" w:rsidR="00B20AB5" w:rsidRPr="00B20AB5" w:rsidRDefault="00B20AB5" w:rsidP="00B20AB5">
      <w:pPr>
        <w:spacing w:after="0" w:line="240" w:lineRule="auto"/>
        <w:jc w:val="center"/>
        <w:rPr>
          <w:rFonts w:ascii="Arial" w:eastAsia="Times New Roman" w:hAnsi="Arial" w:cs="Arial"/>
          <w:color w:val="000000"/>
          <w:sz w:val="18"/>
          <w:szCs w:val="18"/>
          <w:lang w:eastAsia="es-CO"/>
        </w:rPr>
      </w:pPr>
      <w:r w:rsidRPr="00B20AB5">
        <w:rPr>
          <w:rFonts w:ascii="Segoe UI" w:eastAsia="Times New Roman" w:hAnsi="Segoe UI" w:cs="Segoe UI"/>
          <w:b/>
          <w:bCs/>
          <w:color w:val="0000FF"/>
          <w:sz w:val="28"/>
          <w:szCs w:val="28"/>
          <w:lang w:eastAsia="es-CO"/>
        </w:rPr>
        <w:t>DIAN</w:t>
      </w:r>
    </w:p>
    <w:p w14:paraId="0B56BA7F"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193D4EF7"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600B0F61"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Subdirección de Gestión Normativa y Doctrina</w:t>
      </w:r>
    </w:p>
    <w:p w14:paraId="2359D82D"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100208221-746</w:t>
      </w:r>
    </w:p>
    <w:p w14:paraId="48C70B51"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Bogotá, D.C.</w:t>
      </w:r>
    </w:p>
    <w:p w14:paraId="1709FB85"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43"/>
        <w:gridCol w:w="284"/>
        <w:gridCol w:w="283"/>
        <w:gridCol w:w="6094"/>
      </w:tblGrid>
      <w:tr w:rsidR="00B20AB5" w:rsidRPr="00B20AB5" w14:paraId="5B5C3CC8" w14:textId="77777777" w:rsidTr="00B20AB5">
        <w:tc>
          <w:tcPr>
            <w:tcW w:w="1843" w:type="dxa"/>
            <w:tcBorders>
              <w:top w:val="nil"/>
              <w:left w:val="nil"/>
              <w:bottom w:val="nil"/>
              <w:right w:val="nil"/>
            </w:tcBorders>
            <w:shd w:val="clear" w:color="auto" w:fill="auto"/>
            <w:tcMar>
              <w:top w:w="0" w:type="dxa"/>
              <w:left w:w="108" w:type="dxa"/>
              <w:bottom w:w="0" w:type="dxa"/>
              <w:right w:w="108" w:type="dxa"/>
            </w:tcMar>
            <w:hideMark/>
          </w:tcPr>
          <w:p w14:paraId="7502CFAA"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b/>
                <w:bCs/>
                <w:sz w:val="20"/>
                <w:szCs w:val="20"/>
                <w:lang w:eastAsia="es-CO"/>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07E5AF5D"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118526FB"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3C351465"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Obligación de facturar</w:t>
            </w:r>
          </w:p>
        </w:tc>
      </w:tr>
      <w:tr w:rsidR="00B20AB5" w:rsidRPr="00B20AB5" w14:paraId="5FE7CB59" w14:textId="77777777" w:rsidTr="00B20AB5">
        <w:tc>
          <w:tcPr>
            <w:tcW w:w="1843" w:type="dxa"/>
            <w:tcBorders>
              <w:top w:val="nil"/>
              <w:left w:val="nil"/>
              <w:bottom w:val="nil"/>
              <w:right w:val="nil"/>
            </w:tcBorders>
            <w:shd w:val="clear" w:color="auto" w:fill="auto"/>
            <w:tcMar>
              <w:top w:w="0" w:type="dxa"/>
              <w:left w:w="108" w:type="dxa"/>
              <w:bottom w:w="0" w:type="dxa"/>
              <w:right w:w="108" w:type="dxa"/>
            </w:tcMar>
            <w:hideMark/>
          </w:tcPr>
          <w:p w14:paraId="7C94B98A"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b/>
                <w:bCs/>
                <w:sz w:val="20"/>
                <w:szCs w:val="20"/>
                <w:lang w:eastAsia="es-CO"/>
              </w:rPr>
              <w:t>Descriptores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709EF11F"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1C951432"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1E34853A"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Requisitos de la factura de venta</w:t>
            </w:r>
          </w:p>
        </w:tc>
      </w:tr>
      <w:tr w:rsidR="00B20AB5" w:rsidRPr="00B20AB5" w14:paraId="1747EFDE" w14:textId="77777777" w:rsidTr="00B20AB5">
        <w:tc>
          <w:tcPr>
            <w:tcW w:w="1843" w:type="dxa"/>
            <w:tcBorders>
              <w:top w:val="nil"/>
              <w:left w:val="nil"/>
              <w:bottom w:val="nil"/>
              <w:right w:val="nil"/>
            </w:tcBorders>
            <w:shd w:val="clear" w:color="auto" w:fill="auto"/>
            <w:tcMar>
              <w:top w:w="0" w:type="dxa"/>
              <w:left w:w="108" w:type="dxa"/>
              <w:bottom w:w="0" w:type="dxa"/>
              <w:right w:w="108" w:type="dxa"/>
            </w:tcMar>
            <w:hideMark/>
          </w:tcPr>
          <w:p w14:paraId="5A7107E5"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b/>
                <w:bCs/>
                <w:sz w:val="20"/>
                <w:szCs w:val="20"/>
                <w:lang w:eastAsia="es-CO"/>
              </w:rPr>
              <w:t>Fuentes formales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3D48D1FB"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14:paraId="2DAC5257"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 </w:t>
            </w: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46DFAA5F"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Artículos </w:t>
            </w:r>
            <w:hyperlink r:id="rId4" w:tooltip="Estatuto Tributario CETA" w:history="1">
              <w:r w:rsidRPr="00B20AB5">
                <w:rPr>
                  <w:rFonts w:ascii="Segoe UI" w:eastAsia="Times New Roman" w:hAnsi="Segoe UI" w:cs="Segoe UI"/>
                  <w:color w:val="0089E1"/>
                  <w:sz w:val="20"/>
                  <w:szCs w:val="20"/>
                  <w:lang w:eastAsia="es-CO"/>
                </w:rPr>
                <w:t>615</w:t>
              </w:r>
            </w:hyperlink>
            <w:r w:rsidRPr="00B20AB5">
              <w:rPr>
                <w:rFonts w:ascii="Segoe UI" w:eastAsia="Times New Roman" w:hAnsi="Segoe UI" w:cs="Segoe UI"/>
                <w:sz w:val="20"/>
                <w:szCs w:val="20"/>
                <w:lang w:eastAsia="es-CO"/>
              </w:rPr>
              <w:t>, </w:t>
            </w:r>
            <w:hyperlink r:id="rId5" w:tooltip="Estatuto Tributario CETA" w:history="1">
              <w:r w:rsidRPr="00B20AB5">
                <w:rPr>
                  <w:rFonts w:ascii="Segoe UI" w:eastAsia="Times New Roman" w:hAnsi="Segoe UI" w:cs="Segoe UI"/>
                  <w:color w:val="0089E1"/>
                  <w:sz w:val="20"/>
                  <w:szCs w:val="20"/>
                  <w:lang w:eastAsia="es-CO"/>
                </w:rPr>
                <w:t>616-1</w:t>
              </w:r>
            </w:hyperlink>
            <w:r w:rsidRPr="00B20AB5">
              <w:rPr>
                <w:rFonts w:ascii="Segoe UI" w:eastAsia="Times New Roman" w:hAnsi="Segoe UI" w:cs="Segoe UI"/>
                <w:sz w:val="20"/>
                <w:szCs w:val="20"/>
                <w:lang w:eastAsia="es-CO"/>
              </w:rPr>
              <w:t>, </w:t>
            </w:r>
            <w:hyperlink r:id="rId6" w:tooltip="Estatuto Tributario CETA" w:history="1">
              <w:r w:rsidRPr="00B20AB5">
                <w:rPr>
                  <w:rFonts w:ascii="Segoe UI" w:eastAsia="Times New Roman" w:hAnsi="Segoe UI" w:cs="Segoe UI"/>
                  <w:color w:val="0089E1"/>
                  <w:sz w:val="20"/>
                  <w:szCs w:val="20"/>
                  <w:lang w:eastAsia="es-CO"/>
                </w:rPr>
                <w:t>616-2</w:t>
              </w:r>
            </w:hyperlink>
            <w:r w:rsidRPr="00B20AB5">
              <w:rPr>
                <w:rFonts w:ascii="Segoe UI" w:eastAsia="Times New Roman" w:hAnsi="Segoe UI" w:cs="Segoe UI"/>
                <w:sz w:val="20"/>
                <w:szCs w:val="20"/>
                <w:lang w:eastAsia="es-CO"/>
              </w:rPr>
              <w:t> y </w:t>
            </w:r>
            <w:hyperlink r:id="rId7" w:tooltip="Estatuto Tributario CETA" w:history="1">
              <w:r w:rsidRPr="00B20AB5">
                <w:rPr>
                  <w:rFonts w:ascii="Segoe UI" w:eastAsia="Times New Roman" w:hAnsi="Segoe UI" w:cs="Segoe UI"/>
                  <w:color w:val="0089E1"/>
                  <w:sz w:val="20"/>
                  <w:szCs w:val="20"/>
                  <w:lang w:eastAsia="es-CO"/>
                </w:rPr>
                <w:t>617</w:t>
              </w:r>
            </w:hyperlink>
            <w:r w:rsidRPr="00B20AB5">
              <w:rPr>
                <w:rFonts w:ascii="Segoe UI" w:eastAsia="Times New Roman" w:hAnsi="Segoe UI" w:cs="Segoe UI"/>
                <w:sz w:val="20"/>
                <w:szCs w:val="20"/>
                <w:lang w:eastAsia="es-CO"/>
              </w:rPr>
              <w:t> del Estatuto Tributario;</w:t>
            </w:r>
          </w:p>
          <w:p w14:paraId="0D97E564" w14:textId="77777777" w:rsidR="00B20AB5" w:rsidRPr="00B20AB5" w:rsidRDefault="00B20AB5" w:rsidP="00B20AB5">
            <w:pPr>
              <w:spacing w:after="0" w:line="240" w:lineRule="auto"/>
              <w:jc w:val="both"/>
              <w:rPr>
                <w:rFonts w:ascii="Times New Roman" w:eastAsia="Times New Roman" w:hAnsi="Times New Roman" w:cs="Times New Roman"/>
                <w:sz w:val="24"/>
                <w:szCs w:val="24"/>
                <w:lang w:eastAsia="es-CO"/>
              </w:rPr>
            </w:pPr>
            <w:r w:rsidRPr="00B20AB5">
              <w:rPr>
                <w:rFonts w:ascii="Segoe UI" w:eastAsia="Times New Roman" w:hAnsi="Segoe UI" w:cs="Segoe UI"/>
                <w:sz w:val="20"/>
                <w:szCs w:val="20"/>
                <w:lang w:eastAsia="es-CO"/>
              </w:rPr>
              <w:t>Decreto 1625 de 2016 y artículos 11 y 12 de la resolución 00042 de 2020</w:t>
            </w:r>
          </w:p>
        </w:tc>
      </w:tr>
    </w:tbl>
    <w:p w14:paraId="3DC9D684"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033748A5"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7AEA8860"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27ED20D"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264CFAFD"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En la consulta de la referencia el peticionario plantea inquietudes acerca de la aplicación de la obligación de facturar para las propiedades horizontales, las cuales serán atendidas en el orden en que fueron propuestas, así:</w:t>
      </w:r>
    </w:p>
    <w:p w14:paraId="72459393"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i/>
          <w:iCs/>
          <w:color w:val="000000"/>
          <w:sz w:val="18"/>
          <w:szCs w:val="18"/>
          <w:lang w:eastAsia="es-CO"/>
        </w:rPr>
        <w:t> </w:t>
      </w:r>
    </w:p>
    <w:p w14:paraId="723B5C2B" w14:textId="77777777" w:rsidR="00B20AB5" w:rsidRPr="00B20AB5" w:rsidRDefault="00B20AB5" w:rsidP="00B20AB5">
      <w:pPr>
        <w:spacing w:after="0" w:line="240" w:lineRule="auto"/>
        <w:ind w:left="284"/>
        <w:jc w:val="both"/>
        <w:rPr>
          <w:rFonts w:ascii="Arial" w:eastAsia="Times New Roman" w:hAnsi="Arial" w:cs="Arial"/>
          <w:color w:val="000000"/>
          <w:sz w:val="18"/>
          <w:szCs w:val="18"/>
          <w:lang w:eastAsia="es-CO"/>
        </w:rPr>
      </w:pPr>
      <w:r w:rsidRPr="00B20AB5">
        <w:rPr>
          <w:rFonts w:ascii="Segoe UI" w:eastAsia="Times New Roman" w:hAnsi="Segoe UI" w:cs="Segoe UI"/>
          <w:i/>
          <w:iCs/>
          <w:color w:val="000000"/>
          <w:sz w:val="18"/>
          <w:szCs w:val="18"/>
          <w:lang w:eastAsia="es-CO"/>
        </w:rPr>
        <w:t>“(…)</w:t>
      </w:r>
    </w:p>
    <w:p w14:paraId="6A4BE1DE" w14:textId="77777777" w:rsidR="00B20AB5" w:rsidRPr="00B20AB5" w:rsidRDefault="00B20AB5" w:rsidP="00B20AB5">
      <w:pPr>
        <w:spacing w:after="0" w:line="240" w:lineRule="auto"/>
        <w:ind w:left="284"/>
        <w:jc w:val="both"/>
        <w:rPr>
          <w:rFonts w:ascii="Arial" w:eastAsia="Times New Roman" w:hAnsi="Arial" w:cs="Arial"/>
          <w:color w:val="000000"/>
          <w:sz w:val="18"/>
          <w:szCs w:val="18"/>
          <w:lang w:eastAsia="es-CO"/>
        </w:rPr>
      </w:pPr>
      <w:r w:rsidRPr="00B20AB5">
        <w:rPr>
          <w:rFonts w:ascii="Segoe UI" w:eastAsia="Times New Roman" w:hAnsi="Segoe UI" w:cs="Segoe UI"/>
          <w:b/>
          <w:bCs/>
          <w:i/>
          <w:iCs/>
          <w:color w:val="000000"/>
          <w:sz w:val="18"/>
          <w:szCs w:val="18"/>
          <w:lang w:eastAsia="es-CO"/>
        </w:rPr>
        <w:t>1. ¿Los prestadores de servicios de dichas copropiedades tales como vigilancia, mantenimiento de equipos, aseo entre otros; deberán facturar y cobrar el IVA estas propiedades horizontales? y por otro lado si bien el </w:t>
      </w:r>
      <w:hyperlink r:id="rId8" w:tooltip="Estatuto Tributario CETA" w:history="1">
        <w:r w:rsidRPr="00B20AB5">
          <w:rPr>
            <w:rFonts w:ascii="Segoe UI" w:eastAsia="Times New Roman" w:hAnsi="Segoe UI" w:cs="Segoe UI"/>
            <w:b/>
            <w:bCs/>
            <w:i/>
            <w:iCs/>
            <w:color w:val="0089E1"/>
            <w:sz w:val="18"/>
            <w:szCs w:val="18"/>
            <w:lang w:eastAsia="es-CO"/>
          </w:rPr>
          <w:t>artículo 19-5</w:t>
        </w:r>
      </w:hyperlink>
      <w:r w:rsidRPr="00B20AB5">
        <w:rPr>
          <w:rFonts w:ascii="Segoe UI" w:eastAsia="Times New Roman" w:hAnsi="Segoe UI" w:cs="Segoe UI"/>
          <w:b/>
          <w:bCs/>
          <w:i/>
          <w:iCs/>
          <w:color w:val="000000"/>
          <w:sz w:val="18"/>
          <w:szCs w:val="18"/>
          <w:lang w:eastAsia="es-CO"/>
        </w:rPr>
        <w:t> del estatuto tributario establece que estas entidades están gravadas con el impuesto de renta por la explotación de sus áreas comunes, ¿deben también facturar IVA por ejemplo por el alquiler de parqueaderos y salón social?</w:t>
      </w:r>
    </w:p>
    <w:p w14:paraId="7C24F26A"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3074B482"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Respecto a la obligación de facturar, se informa que de conformidad con los artículo </w:t>
      </w:r>
      <w:hyperlink r:id="rId9" w:tooltip="Estatuto Tributario CETA" w:history="1">
        <w:r w:rsidRPr="00B20AB5">
          <w:rPr>
            <w:rFonts w:ascii="Segoe UI" w:eastAsia="Times New Roman" w:hAnsi="Segoe UI" w:cs="Segoe UI"/>
            <w:color w:val="0089E1"/>
            <w:sz w:val="18"/>
            <w:szCs w:val="18"/>
            <w:lang w:eastAsia="es-CO"/>
          </w:rPr>
          <w:t>615</w:t>
        </w:r>
      </w:hyperlink>
      <w:r w:rsidRPr="00B20AB5">
        <w:rPr>
          <w:rFonts w:ascii="Segoe UI" w:eastAsia="Times New Roman" w:hAnsi="Segoe UI" w:cs="Segoe UI"/>
          <w:color w:val="000000"/>
          <w:sz w:val="18"/>
          <w:szCs w:val="18"/>
          <w:lang w:eastAsia="es-CO"/>
        </w:rPr>
        <w:t> y </w:t>
      </w:r>
      <w:hyperlink r:id="rId10" w:tooltip="Estatuto Tributario CETA" w:history="1">
        <w:r w:rsidRPr="00B20AB5">
          <w:rPr>
            <w:rFonts w:ascii="Segoe UI" w:eastAsia="Times New Roman" w:hAnsi="Segoe UI" w:cs="Segoe UI"/>
            <w:color w:val="0089E1"/>
            <w:sz w:val="18"/>
            <w:szCs w:val="18"/>
            <w:lang w:eastAsia="es-CO"/>
          </w:rPr>
          <w:t>616-1</w:t>
        </w:r>
      </w:hyperlink>
      <w:r w:rsidRPr="00B20AB5">
        <w:rPr>
          <w:rFonts w:ascii="Segoe UI" w:eastAsia="Times New Roman" w:hAnsi="Segoe UI" w:cs="Segoe UI"/>
          <w:color w:val="000000"/>
          <w:sz w:val="18"/>
          <w:szCs w:val="18"/>
          <w:lang w:eastAsia="es-CO"/>
        </w:rPr>
        <w:t> del Estatuto Tributario, y los artículos 11 y 12 de la Resolución 000042 de 2020 están obligadas a expedir factura o documento equivalente todas las personas o entidades que tengan la calidad de comerciantes, ejerzan profesiones liberales o presten servicios inherentes a estas, o enajenen bienes producto de la actividad agrícola o ganadera, independientemente de su calidad de contribuyentes o no del impuesto sobre las ventas, al igual que los importadores, los prestadores de servicios y en las ventas a consumidores finales.</w:t>
      </w:r>
    </w:p>
    <w:p w14:paraId="083DBD91"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439E0B17"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Ahora, los sujetos no obligados a facturar, están dispuestos taxativamente en los artículos </w:t>
      </w:r>
      <w:hyperlink r:id="rId11" w:tooltip="Estatuto Tributario CETA" w:history="1">
        <w:r w:rsidRPr="00B20AB5">
          <w:rPr>
            <w:rFonts w:ascii="Segoe UI" w:eastAsia="Times New Roman" w:hAnsi="Segoe UI" w:cs="Segoe UI"/>
            <w:color w:val="0089E1"/>
            <w:sz w:val="18"/>
            <w:szCs w:val="18"/>
            <w:lang w:eastAsia="es-CO"/>
          </w:rPr>
          <w:t>616-2</w:t>
        </w:r>
      </w:hyperlink>
      <w:r w:rsidRPr="00B20AB5">
        <w:rPr>
          <w:rFonts w:ascii="Segoe UI" w:eastAsia="Times New Roman" w:hAnsi="Segoe UI" w:cs="Segoe UI"/>
          <w:color w:val="000000"/>
          <w:sz w:val="18"/>
          <w:szCs w:val="18"/>
          <w:lang w:eastAsia="es-CO"/>
        </w:rPr>
        <w:t> del Estatuto Tributario, 1.6.1.4.3. del Decreto 1625 de 2016 y 7 de la Resolución 000042 de 2020. Por ende, todas las personas que vendan bienes o presten servicios que no se encuentren exceptuadas por las normas mencionadas, tendrán la obligación de expedir factura o documento equivalente. De igual manera se reitera, que la obligación de facturar es independiente a la causación del impuesto sobre las ventas.</w:t>
      </w:r>
    </w:p>
    <w:p w14:paraId="211C39AA"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b/>
          <w:bCs/>
          <w:i/>
          <w:iCs/>
          <w:color w:val="000000"/>
          <w:sz w:val="18"/>
          <w:szCs w:val="18"/>
          <w:lang w:eastAsia="es-CO"/>
        </w:rPr>
        <w:t> </w:t>
      </w:r>
    </w:p>
    <w:p w14:paraId="52DCED19" w14:textId="77777777" w:rsidR="00B20AB5" w:rsidRPr="00B20AB5" w:rsidRDefault="00B20AB5" w:rsidP="00B20AB5">
      <w:pPr>
        <w:spacing w:after="0" w:line="240" w:lineRule="auto"/>
        <w:ind w:left="284"/>
        <w:jc w:val="both"/>
        <w:rPr>
          <w:rFonts w:ascii="Arial" w:eastAsia="Times New Roman" w:hAnsi="Arial" w:cs="Arial"/>
          <w:color w:val="000000"/>
          <w:sz w:val="18"/>
          <w:szCs w:val="18"/>
          <w:lang w:eastAsia="es-CO"/>
        </w:rPr>
      </w:pPr>
      <w:r w:rsidRPr="00B20AB5">
        <w:rPr>
          <w:rFonts w:ascii="Segoe UI" w:eastAsia="Times New Roman" w:hAnsi="Segoe UI" w:cs="Segoe UI"/>
          <w:b/>
          <w:bCs/>
          <w:i/>
          <w:iCs/>
          <w:color w:val="000000"/>
          <w:sz w:val="18"/>
          <w:szCs w:val="18"/>
          <w:lang w:eastAsia="es-CO"/>
        </w:rPr>
        <w:t xml:space="preserve">2. En un Edificio mixto en el que se alquila el salón social y el Jacuzzi máximo 4 veces en el mes y se realiza cobro por los gastos que genera su mantenimiento tales como aseo y productos de limpieza entre otros, pero que no se obtiene utilidad dichas actividades; </w:t>
      </w:r>
      <w:proofErr w:type="gramStart"/>
      <w:r w:rsidRPr="00B20AB5">
        <w:rPr>
          <w:rFonts w:ascii="Segoe UI" w:eastAsia="Times New Roman" w:hAnsi="Segoe UI" w:cs="Segoe UI"/>
          <w:b/>
          <w:bCs/>
          <w:i/>
          <w:iCs/>
          <w:color w:val="000000"/>
          <w:sz w:val="18"/>
          <w:szCs w:val="18"/>
          <w:lang w:eastAsia="es-CO"/>
        </w:rPr>
        <w:t>también está obligado a facturar con IVA esos servicios?</w:t>
      </w:r>
      <w:proofErr w:type="gramEnd"/>
    </w:p>
    <w:p w14:paraId="0080B6B8"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64EE7421"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Sobre el asunto este Despacho se pronunció con oficio No. interno 100208221-563 del 15 de mayo 2020, explicando:</w:t>
      </w:r>
    </w:p>
    <w:p w14:paraId="2AE9F42D"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i/>
          <w:iCs/>
          <w:color w:val="000000"/>
          <w:sz w:val="18"/>
          <w:szCs w:val="18"/>
          <w:lang w:eastAsia="es-CO"/>
        </w:rPr>
        <w:t> </w:t>
      </w:r>
    </w:p>
    <w:p w14:paraId="6C492DA6" w14:textId="77777777" w:rsidR="00B20AB5" w:rsidRPr="00B20AB5" w:rsidRDefault="00B20AB5" w:rsidP="00B20AB5">
      <w:pPr>
        <w:spacing w:after="0" w:line="240" w:lineRule="auto"/>
        <w:ind w:left="284"/>
        <w:jc w:val="both"/>
        <w:rPr>
          <w:rFonts w:ascii="Arial" w:eastAsia="Times New Roman" w:hAnsi="Arial" w:cs="Arial"/>
          <w:color w:val="000000"/>
          <w:sz w:val="18"/>
          <w:szCs w:val="18"/>
          <w:lang w:eastAsia="es-CO"/>
        </w:rPr>
      </w:pPr>
      <w:r w:rsidRPr="00B20AB5">
        <w:rPr>
          <w:rFonts w:ascii="Segoe UI" w:eastAsia="Times New Roman" w:hAnsi="Segoe UI" w:cs="Segoe UI"/>
          <w:i/>
          <w:iCs/>
          <w:color w:val="000000"/>
          <w:sz w:val="18"/>
          <w:szCs w:val="18"/>
          <w:lang w:eastAsia="es-CO"/>
        </w:rPr>
        <w:t>“(…) en los casos en que las propiedades horizontales sean obligadas a facturar, las mismas deberán expedir factura por las operaciones de venta de bienes o prestación de servicios que realicen, independientemente de que sean gravadas o no con el impuesto sobre las ventas. En estos casos, se deberá facturar electrónicamente, según lo establecido en el Estatuto Tributario y el Decreto 358 de 2020, al igual que las demás normas aplicables que sean expedidas, incluyendo aquellas en relación con el cronograma de implementación de la factura electrónica”.</w:t>
      </w:r>
    </w:p>
    <w:p w14:paraId="4E692833"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3337FFC6"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Adicionalmente se precisa que el calendario de implementación de la factura electrónica de venta está dispuesto en el artículo 20 de la Resolución 000042 de 2020.</w:t>
      </w:r>
    </w:p>
    <w:p w14:paraId="065C2134"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b/>
          <w:bCs/>
          <w:i/>
          <w:iCs/>
          <w:color w:val="000000"/>
          <w:sz w:val="18"/>
          <w:szCs w:val="18"/>
          <w:lang w:eastAsia="es-CO"/>
        </w:rPr>
        <w:t> </w:t>
      </w:r>
    </w:p>
    <w:p w14:paraId="17728C4E" w14:textId="77777777" w:rsidR="00B20AB5" w:rsidRPr="00B20AB5" w:rsidRDefault="00B20AB5" w:rsidP="00B20AB5">
      <w:pPr>
        <w:spacing w:after="0" w:line="240" w:lineRule="auto"/>
        <w:ind w:left="284"/>
        <w:jc w:val="both"/>
        <w:rPr>
          <w:rFonts w:ascii="Arial" w:eastAsia="Times New Roman" w:hAnsi="Arial" w:cs="Arial"/>
          <w:color w:val="000000"/>
          <w:sz w:val="18"/>
          <w:szCs w:val="18"/>
          <w:lang w:eastAsia="es-CO"/>
        </w:rPr>
      </w:pPr>
      <w:r w:rsidRPr="00B20AB5">
        <w:rPr>
          <w:rFonts w:ascii="Segoe UI" w:eastAsia="Times New Roman" w:hAnsi="Segoe UI" w:cs="Segoe UI"/>
          <w:b/>
          <w:bCs/>
          <w:i/>
          <w:iCs/>
          <w:color w:val="000000"/>
          <w:sz w:val="18"/>
          <w:szCs w:val="18"/>
          <w:lang w:eastAsia="es-CO"/>
        </w:rPr>
        <w:t>3. Finalmente de la manera más atenta solicito su colaboración con la siguiente inquietud: ¿Las propiedades horizontales mixtas y con ingresos por explotación de sus áreas comunes que son declarantes de renta que además perciben ingresos por rendimientos financieros, estos últimos se encuentran gravados con impuesto a la renta para este tipo de entidades?</w:t>
      </w:r>
    </w:p>
    <w:p w14:paraId="207D3998"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7F174AF7"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lastRenderedPageBreak/>
        <w:t>De acuerdo con lo dispuesto en el </w:t>
      </w:r>
      <w:hyperlink r:id="rId12" w:tooltip="Estatuto Tributario CETA" w:history="1">
        <w:r w:rsidRPr="00B20AB5">
          <w:rPr>
            <w:rFonts w:ascii="Segoe UI" w:eastAsia="Times New Roman" w:hAnsi="Segoe UI" w:cs="Segoe UI"/>
            <w:color w:val="0089E1"/>
            <w:sz w:val="18"/>
            <w:szCs w:val="18"/>
            <w:lang w:eastAsia="es-CO"/>
          </w:rPr>
          <w:t>artículo 19-5</w:t>
        </w:r>
      </w:hyperlink>
      <w:r w:rsidRPr="00B20AB5">
        <w:rPr>
          <w:rFonts w:ascii="Segoe UI" w:eastAsia="Times New Roman" w:hAnsi="Segoe UI" w:cs="Segoe UI"/>
          <w:color w:val="000000"/>
          <w:sz w:val="18"/>
          <w:szCs w:val="18"/>
          <w:lang w:eastAsia="es-CO"/>
        </w:rPr>
        <w:t> del Estatuto Tributario: “</w:t>
      </w:r>
      <w:r w:rsidRPr="00B20AB5">
        <w:rPr>
          <w:rFonts w:ascii="Segoe UI" w:eastAsia="Times New Roman" w:hAnsi="Segoe UI" w:cs="Segoe UI"/>
          <w:b/>
          <w:bCs/>
          <w:i/>
          <w:iCs/>
          <w:color w:val="000000"/>
          <w:sz w:val="18"/>
          <w:szCs w:val="18"/>
          <w:lang w:eastAsia="es-CO"/>
        </w:rPr>
        <w:t>Las personas jurídicas originadas en la constitución de la propiedad horizontal que destinan algún o algunos de sus bienes, o áreas comunes para la explotación comercial o industrial, generando algún tipo de renta, serán contribuyentes del régimen ordinario del impuesto sobre la renta </w:t>
      </w:r>
      <w:r w:rsidRPr="00B20AB5">
        <w:rPr>
          <w:rFonts w:ascii="Segoe UI" w:eastAsia="Times New Roman" w:hAnsi="Segoe UI" w:cs="Segoe UI"/>
          <w:i/>
          <w:iCs/>
          <w:color w:val="000000"/>
          <w:sz w:val="18"/>
          <w:szCs w:val="18"/>
          <w:lang w:eastAsia="es-CO"/>
        </w:rPr>
        <w:t>y complementarios y del impuesto de industria y comercio</w:t>
      </w:r>
    </w:p>
    <w:p w14:paraId="3BA3E243"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b/>
          <w:bCs/>
          <w:i/>
          <w:iCs/>
          <w:color w:val="000000"/>
          <w:sz w:val="18"/>
          <w:szCs w:val="18"/>
          <w:lang w:eastAsia="es-CO"/>
        </w:rPr>
        <w:t>Parágrafo.</w:t>
      </w:r>
      <w:r w:rsidRPr="00B20AB5">
        <w:rPr>
          <w:rFonts w:ascii="Segoe UI" w:eastAsia="Times New Roman" w:hAnsi="Segoe UI" w:cs="Segoe UI"/>
          <w:i/>
          <w:iCs/>
          <w:color w:val="000000"/>
          <w:sz w:val="18"/>
          <w:szCs w:val="18"/>
          <w:lang w:eastAsia="es-CO"/>
        </w:rPr>
        <w:t> Se excluirán de lo dispuesto en este artículo las propiedades horizontales de uso residencial”</w:t>
      </w:r>
      <w:r w:rsidRPr="00B20AB5">
        <w:rPr>
          <w:rFonts w:ascii="Segoe UI" w:eastAsia="Times New Roman" w:hAnsi="Segoe UI" w:cs="Segoe UI"/>
          <w:color w:val="000000"/>
          <w:sz w:val="18"/>
          <w:szCs w:val="18"/>
          <w:lang w:eastAsia="es-CO"/>
        </w:rPr>
        <w:t>.</w:t>
      </w:r>
    </w:p>
    <w:p w14:paraId="192BF9FC"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472203A0"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Por lo cual, los rendimientos financieros obtenidos por estos sujetos (propiedades horizontales que destinan algún o algunos de sus bienes, o áreas comunes para la explotación comercial o industrial, generando algún tipo de renta) se deben regir por la naturaleza de los ingresos establecida en el </w:t>
      </w:r>
      <w:hyperlink r:id="rId13" w:tooltip="Estatuto Tributario CETA" w:history="1">
        <w:r w:rsidRPr="00B20AB5">
          <w:rPr>
            <w:rFonts w:ascii="Segoe UI" w:eastAsia="Times New Roman" w:hAnsi="Segoe UI" w:cs="Segoe UI"/>
            <w:color w:val="0089E1"/>
            <w:sz w:val="18"/>
            <w:szCs w:val="18"/>
            <w:lang w:eastAsia="es-CO"/>
          </w:rPr>
          <w:t>artículo 26</w:t>
        </w:r>
      </w:hyperlink>
      <w:r w:rsidRPr="00B20AB5">
        <w:rPr>
          <w:rFonts w:ascii="Segoe UI" w:eastAsia="Times New Roman" w:hAnsi="Segoe UI" w:cs="Segoe UI"/>
          <w:color w:val="000000"/>
          <w:sz w:val="18"/>
          <w:szCs w:val="18"/>
          <w:lang w:eastAsia="es-CO"/>
        </w:rPr>
        <w:t xml:space="preserve"> del Estatuto Tributario. Norma que indica que para que un ingreso pueda considerarse como constitutivo de renta se requiere: i) Que sea un ingreso propio. </w:t>
      </w:r>
      <w:proofErr w:type="spellStart"/>
      <w:r w:rsidRPr="00B20AB5">
        <w:rPr>
          <w:rFonts w:ascii="Segoe UI" w:eastAsia="Times New Roman" w:hAnsi="Segoe UI" w:cs="Segoe UI"/>
          <w:color w:val="000000"/>
          <w:sz w:val="18"/>
          <w:szCs w:val="18"/>
          <w:lang w:eastAsia="es-CO"/>
        </w:rPr>
        <w:t>ii</w:t>
      </w:r>
      <w:proofErr w:type="spellEnd"/>
      <w:r w:rsidRPr="00B20AB5">
        <w:rPr>
          <w:rFonts w:ascii="Segoe UI" w:eastAsia="Times New Roman" w:hAnsi="Segoe UI" w:cs="Segoe UI"/>
          <w:color w:val="000000"/>
          <w:sz w:val="18"/>
          <w:szCs w:val="18"/>
          <w:lang w:eastAsia="es-CO"/>
        </w:rPr>
        <w:t xml:space="preserve">) Que sea realizado durante el año o período gravable </w:t>
      </w:r>
      <w:proofErr w:type="spellStart"/>
      <w:r w:rsidRPr="00B20AB5">
        <w:rPr>
          <w:rFonts w:ascii="Segoe UI" w:eastAsia="Times New Roman" w:hAnsi="Segoe UI" w:cs="Segoe UI"/>
          <w:color w:val="000000"/>
          <w:sz w:val="18"/>
          <w:szCs w:val="18"/>
          <w:lang w:eastAsia="es-CO"/>
        </w:rPr>
        <w:t>iii</w:t>
      </w:r>
      <w:proofErr w:type="spellEnd"/>
      <w:r w:rsidRPr="00B20AB5">
        <w:rPr>
          <w:rFonts w:ascii="Segoe UI" w:eastAsia="Times New Roman" w:hAnsi="Segoe UI" w:cs="Segoe UI"/>
          <w:color w:val="000000"/>
          <w:sz w:val="18"/>
          <w:szCs w:val="18"/>
          <w:lang w:eastAsia="es-CO"/>
        </w:rPr>
        <w:t xml:space="preserve">) Que sea susceptible de capitalizarse o producir un incremento neto en el patrimonio y </w:t>
      </w:r>
      <w:proofErr w:type="spellStart"/>
      <w:r w:rsidRPr="00B20AB5">
        <w:rPr>
          <w:rFonts w:ascii="Segoe UI" w:eastAsia="Times New Roman" w:hAnsi="Segoe UI" w:cs="Segoe UI"/>
          <w:color w:val="000000"/>
          <w:sz w:val="18"/>
          <w:szCs w:val="18"/>
          <w:lang w:eastAsia="es-CO"/>
        </w:rPr>
        <w:t>iv</w:t>
      </w:r>
      <w:proofErr w:type="spellEnd"/>
      <w:r w:rsidRPr="00B20AB5">
        <w:rPr>
          <w:rFonts w:ascii="Segoe UI" w:eastAsia="Times New Roman" w:hAnsi="Segoe UI" w:cs="Segoe UI"/>
          <w:color w:val="000000"/>
          <w:sz w:val="18"/>
          <w:szCs w:val="18"/>
          <w:lang w:eastAsia="es-CO"/>
        </w:rPr>
        <w:t>) Que no haya sido expresamente exceptuado como constitutivo de renta o de ganancia ocasional.</w:t>
      </w:r>
    </w:p>
    <w:p w14:paraId="7EF1EB1C"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21D59725"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En consecuencia, los rendimientos financieros percibidos por las propiedades horizontales que son contribuyentes del impuesto sobre la renta y complementarios deben considerarse gravados y, por ende, forman parte de la base gravable del mencionado impuesto.</w:t>
      </w:r>
    </w:p>
    <w:p w14:paraId="1A143797"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 </w:t>
      </w:r>
    </w:p>
    <w:p w14:paraId="078E657D"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Atentamente,</w:t>
      </w:r>
    </w:p>
    <w:p w14:paraId="7CD82AAC"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b/>
          <w:bCs/>
          <w:color w:val="000000"/>
          <w:sz w:val="18"/>
          <w:szCs w:val="18"/>
          <w:lang w:eastAsia="es-CO"/>
        </w:rPr>
        <w:t> </w:t>
      </w:r>
    </w:p>
    <w:p w14:paraId="0BEA0684"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b/>
          <w:bCs/>
          <w:color w:val="000000"/>
          <w:sz w:val="18"/>
          <w:szCs w:val="18"/>
          <w:lang w:eastAsia="es-CO"/>
        </w:rPr>
        <w:t> </w:t>
      </w:r>
    </w:p>
    <w:p w14:paraId="2C08BD83"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b/>
          <w:bCs/>
          <w:color w:val="000000"/>
          <w:sz w:val="18"/>
          <w:szCs w:val="18"/>
          <w:lang w:eastAsia="es-CO"/>
        </w:rPr>
        <w:t>PABLO EMILIO MENDOZA VELILLA</w:t>
      </w:r>
    </w:p>
    <w:p w14:paraId="665B0FF9"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Subdirector de Gestión Normativa y Doctrina</w:t>
      </w:r>
    </w:p>
    <w:p w14:paraId="4E80A4F0"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Dirección de Gestión Jurídica</w:t>
      </w:r>
    </w:p>
    <w:p w14:paraId="38447117" w14:textId="77777777" w:rsidR="00B20AB5" w:rsidRPr="00B20AB5" w:rsidRDefault="00B20AB5" w:rsidP="00B20AB5">
      <w:pPr>
        <w:spacing w:after="0" w:line="240" w:lineRule="auto"/>
        <w:jc w:val="both"/>
        <w:rPr>
          <w:rFonts w:ascii="Arial" w:eastAsia="Times New Roman" w:hAnsi="Arial" w:cs="Arial"/>
          <w:color w:val="000000"/>
          <w:sz w:val="18"/>
          <w:szCs w:val="18"/>
          <w:lang w:eastAsia="es-CO"/>
        </w:rPr>
      </w:pPr>
      <w:r w:rsidRPr="00B20AB5">
        <w:rPr>
          <w:rFonts w:ascii="Segoe UI" w:eastAsia="Times New Roman" w:hAnsi="Segoe UI" w:cs="Segoe UI"/>
          <w:color w:val="000000"/>
          <w:sz w:val="18"/>
          <w:szCs w:val="18"/>
          <w:lang w:eastAsia="es-CO"/>
        </w:rPr>
        <w:t>UAE-DIAN</w:t>
      </w:r>
    </w:p>
    <w:p w14:paraId="5620221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B5"/>
    <w:rsid w:val="000F3837"/>
    <w:rsid w:val="001E311E"/>
    <w:rsid w:val="00434AE6"/>
    <w:rsid w:val="007F5CC8"/>
    <w:rsid w:val="008779BE"/>
    <w:rsid w:val="00B20AB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2F1B"/>
  <w15:chartTrackingRefBased/>
  <w15:docId w15:val="{BA78168A-EA6E-43BB-9E79-04D68D39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4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03" TargetMode="External"/><Relationship Id="rId13" Type="http://schemas.openxmlformats.org/officeDocument/2006/relationships/hyperlink" Target="https://www.ceta.org.co/html/vista_de_un_articulo.asp?Norma=5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61" TargetMode="External"/><Relationship Id="rId12" Type="http://schemas.openxmlformats.org/officeDocument/2006/relationships/hyperlink" Target="https://www.ceta.org.co/html/vista_de_un_articulo.asp?Norma=425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9" TargetMode="External"/><Relationship Id="rId11" Type="http://schemas.openxmlformats.org/officeDocument/2006/relationships/hyperlink" Target="https://www.ceta.org.co/html/vista_de_un_articulo.asp?Norma=759" TargetMode="External"/><Relationship Id="rId5" Type="http://schemas.openxmlformats.org/officeDocument/2006/relationships/hyperlink" Target="https://www.ceta.org.co/html/vista_de_un_articulo.asp?Norma=758" TargetMode="External"/><Relationship Id="rId15" Type="http://schemas.openxmlformats.org/officeDocument/2006/relationships/theme" Target="theme/theme1.xml"/><Relationship Id="rId10" Type="http://schemas.openxmlformats.org/officeDocument/2006/relationships/hyperlink" Target="https://www.ceta.org.co/html/vista_de_un_articulo.asp?Norma=758"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5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5920</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2020-08-21T20:04:00Z</dcterms:created>
  <dcterms:modified xsi:type="dcterms:W3CDTF">2020-08-21T20:05:00Z</dcterms:modified>
</cp:coreProperties>
</file>