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90AD" w14:textId="77777777" w:rsidR="00B27539" w:rsidRPr="00BC31E4" w:rsidRDefault="00B27539" w:rsidP="00A64D50">
      <w:pPr>
        <w:jc w:val="center"/>
        <w:rPr>
          <w:rFonts w:eastAsia="Times New Roman" w:cs="Times New Roman"/>
          <w:szCs w:val="24"/>
          <w:lang w:eastAsia="es-ES"/>
        </w:rPr>
      </w:pPr>
      <w:r w:rsidRPr="00BC31E4">
        <w:rPr>
          <w:rFonts w:eastAsia="Times New Roman" w:cs="Times New Roman"/>
          <w:b/>
          <w:bCs/>
          <w:szCs w:val="24"/>
          <w:lang w:val="es-CO" w:eastAsia="es-ES"/>
        </w:rPr>
        <w:t xml:space="preserve">OFICIO </w:t>
      </w:r>
      <w:proofErr w:type="spellStart"/>
      <w:r w:rsidRPr="00BC31E4">
        <w:rPr>
          <w:rFonts w:eastAsia="Times New Roman" w:cs="Times New Roman"/>
          <w:b/>
          <w:bCs/>
          <w:szCs w:val="24"/>
          <w:lang w:val="es-CO" w:eastAsia="es-ES"/>
        </w:rPr>
        <w:t>Nº</w:t>
      </w:r>
      <w:proofErr w:type="spellEnd"/>
      <w:r w:rsidRPr="00BC31E4">
        <w:rPr>
          <w:rFonts w:eastAsia="Times New Roman" w:cs="Times New Roman"/>
          <w:b/>
          <w:bCs/>
          <w:szCs w:val="24"/>
          <w:lang w:val="es-CO" w:eastAsia="es-ES"/>
        </w:rPr>
        <w:t xml:space="preserve"> 2793 [030285]</w:t>
      </w:r>
    </w:p>
    <w:p w14:paraId="1D030DFF" w14:textId="77777777" w:rsidR="00B27539" w:rsidRPr="00BC31E4" w:rsidRDefault="00B27539" w:rsidP="00A64D50">
      <w:pPr>
        <w:jc w:val="center"/>
        <w:rPr>
          <w:rFonts w:eastAsia="Times New Roman" w:cs="Times New Roman"/>
          <w:szCs w:val="24"/>
          <w:lang w:eastAsia="es-ES"/>
        </w:rPr>
      </w:pPr>
      <w:r w:rsidRPr="00BC31E4">
        <w:rPr>
          <w:rFonts w:eastAsia="Times New Roman" w:cs="Times New Roman"/>
          <w:b/>
          <w:bCs/>
          <w:szCs w:val="24"/>
          <w:lang w:val="es-CO" w:eastAsia="es-ES"/>
        </w:rPr>
        <w:t>10-12-2019</w:t>
      </w:r>
    </w:p>
    <w:p w14:paraId="193CBE9D" w14:textId="77777777" w:rsidR="00B27539" w:rsidRPr="00BC31E4" w:rsidRDefault="00B27539" w:rsidP="00A64D50">
      <w:pPr>
        <w:jc w:val="center"/>
        <w:rPr>
          <w:rFonts w:eastAsia="Times New Roman" w:cs="Times New Roman"/>
          <w:szCs w:val="24"/>
          <w:lang w:eastAsia="es-ES"/>
        </w:rPr>
      </w:pPr>
      <w:r w:rsidRPr="00BC31E4">
        <w:rPr>
          <w:rFonts w:eastAsia="Times New Roman" w:cs="Times New Roman"/>
          <w:b/>
          <w:bCs/>
          <w:szCs w:val="24"/>
          <w:lang w:val="es-CO" w:eastAsia="es-ES"/>
        </w:rPr>
        <w:t>DIAN</w:t>
      </w:r>
    </w:p>
    <w:p w14:paraId="4A6951BE" w14:textId="5BF5C7D3" w:rsidR="00B27539" w:rsidRPr="00BC31E4" w:rsidRDefault="00B27539" w:rsidP="00A64D50">
      <w:pPr>
        <w:jc w:val="center"/>
        <w:rPr>
          <w:rFonts w:eastAsia="Times New Roman" w:cs="Times New Roman"/>
          <w:szCs w:val="24"/>
          <w:lang w:eastAsia="es-ES"/>
        </w:rPr>
      </w:pPr>
    </w:p>
    <w:p w14:paraId="4571D58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3B190D95"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Subdirección de Gestión Normativa y Doctrina</w:t>
      </w:r>
    </w:p>
    <w:p w14:paraId="4B2AE4C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100208221-002793</w:t>
      </w:r>
    </w:p>
    <w:p w14:paraId="47982D8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Bogotá, D.C.</w:t>
      </w:r>
    </w:p>
    <w:p w14:paraId="3416FEC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71386890" w14:textId="77777777" w:rsidR="00B27539" w:rsidRPr="00BC31E4" w:rsidRDefault="00B27539" w:rsidP="00A64D50">
      <w:pPr>
        <w:jc w:val="both"/>
        <w:rPr>
          <w:rFonts w:eastAsia="Times New Roman" w:cs="Times New Roman"/>
          <w:szCs w:val="24"/>
          <w:lang w:eastAsia="es-ES"/>
        </w:rPr>
      </w:pPr>
      <w:proofErr w:type="spellStart"/>
      <w:r w:rsidRPr="00BC31E4">
        <w:rPr>
          <w:rFonts w:eastAsia="Times New Roman" w:cs="Times New Roman"/>
          <w:b/>
          <w:bCs/>
          <w:szCs w:val="24"/>
          <w:lang w:val="es-CO" w:eastAsia="es-ES"/>
        </w:rPr>
        <w:t>Ref</w:t>
      </w:r>
      <w:proofErr w:type="spellEnd"/>
      <w:r w:rsidRPr="00BC31E4">
        <w:rPr>
          <w:rFonts w:eastAsia="Times New Roman" w:cs="Times New Roman"/>
          <w:b/>
          <w:bCs/>
          <w:szCs w:val="24"/>
          <w:lang w:val="es-CO" w:eastAsia="es-ES"/>
        </w:rPr>
        <w:t>:</w:t>
      </w:r>
      <w:r w:rsidRPr="00BC31E4">
        <w:rPr>
          <w:rFonts w:eastAsia="Times New Roman" w:cs="Times New Roman"/>
          <w:szCs w:val="24"/>
          <w:lang w:val="es-CO" w:eastAsia="es-ES"/>
        </w:rPr>
        <w:t> Radicado 100093614 del 04/11/2019</w:t>
      </w:r>
    </w:p>
    <w:tbl>
      <w:tblPr>
        <w:tblW w:w="0" w:type="auto"/>
        <w:tblCellMar>
          <w:left w:w="0" w:type="dxa"/>
          <w:right w:w="0" w:type="dxa"/>
        </w:tblCellMar>
        <w:tblLook w:val="04A0" w:firstRow="1" w:lastRow="0" w:firstColumn="1" w:lastColumn="0" w:noHBand="0" w:noVBand="1"/>
      </w:tblPr>
      <w:tblGrid>
        <w:gridCol w:w="1969"/>
        <w:gridCol w:w="222"/>
        <w:gridCol w:w="222"/>
        <w:gridCol w:w="4489"/>
      </w:tblGrid>
      <w:tr w:rsidR="00F22E0C" w:rsidRPr="00BC31E4" w14:paraId="7F31DEA8" w14:textId="77777777" w:rsidTr="00B27539">
        <w:tc>
          <w:tcPr>
            <w:tcW w:w="0" w:type="auto"/>
            <w:tcBorders>
              <w:top w:val="nil"/>
              <w:left w:val="nil"/>
              <w:bottom w:val="nil"/>
              <w:right w:val="nil"/>
            </w:tcBorders>
            <w:shd w:val="clear" w:color="auto" w:fill="auto"/>
            <w:tcMar>
              <w:top w:w="0" w:type="dxa"/>
              <w:left w:w="108" w:type="dxa"/>
              <w:bottom w:w="0" w:type="dxa"/>
              <w:right w:w="108" w:type="dxa"/>
            </w:tcMar>
            <w:hideMark/>
          </w:tcPr>
          <w:p w14:paraId="1C104178"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AC5476"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3111BB"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81E4C3"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Impuesto sobre la Renta y Complementarios</w:t>
            </w:r>
          </w:p>
        </w:tc>
      </w:tr>
      <w:tr w:rsidR="00F22E0C" w:rsidRPr="00BC31E4" w14:paraId="150749DD" w14:textId="77777777" w:rsidTr="00B27539">
        <w:tc>
          <w:tcPr>
            <w:tcW w:w="0" w:type="auto"/>
            <w:tcBorders>
              <w:top w:val="nil"/>
              <w:left w:val="nil"/>
              <w:bottom w:val="nil"/>
              <w:right w:val="nil"/>
            </w:tcBorders>
            <w:shd w:val="clear" w:color="auto" w:fill="auto"/>
            <w:tcMar>
              <w:top w:w="0" w:type="dxa"/>
              <w:left w:w="108" w:type="dxa"/>
              <w:bottom w:w="0" w:type="dxa"/>
              <w:right w:w="108" w:type="dxa"/>
            </w:tcMar>
            <w:hideMark/>
          </w:tcPr>
          <w:p w14:paraId="3737E0B9"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B4DF43"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E6072D"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AE0A50"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Deducciones</w:t>
            </w:r>
          </w:p>
          <w:p w14:paraId="7CCE650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Deducciones - Documento Soporte</w:t>
            </w:r>
          </w:p>
        </w:tc>
      </w:tr>
      <w:tr w:rsidR="00F22E0C" w:rsidRPr="00BC31E4" w14:paraId="55DBA3B7" w14:textId="77777777" w:rsidTr="00B27539">
        <w:tc>
          <w:tcPr>
            <w:tcW w:w="0" w:type="auto"/>
            <w:tcBorders>
              <w:top w:val="nil"/>
              <w:left w:val="nil"/>
              <w:bottom w:val="nil"/>
              <w:right w:val="nil"/>
            </w:tcBorders>
            <w:shd w:val="clear" w:color="auto" w:fill="auto"/>
            <w:tcMar>
              <w:top w:w="0" w:type="dxa"/>
              <w:left w:w="108" w:type="dxa"/>
              <w:bottom w:w="0" w:type="dxa"/>
              <w:right w:w="108" w:type="dxa"/>
            </w:tcMar>
            <w:hideMark/>
          </w:tcPr>
          <w:p w14:paraId="53A9684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12EA40"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B16D65" w14:textId="77777777" w:rsidR="00B27539" w:rsidRPr="00BC31E4" w:rsidRDefault="00B27539" w:rsidP="00A64D50">
            <w:pPr>
              <w:jc w:val="both"/>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BE94DB" w14:textId="77777777" w:rsidR="00B27539" w:rsidRPr="00BC31E4" w:rsidRDefault="00675E66" w:rsidP="00A64D50">
            <w:pPr>
              <w:jc w:val="both"/>
              <w:rPr>
                <w:rFonts w:eastAsia="Times New Roman" w:cs="Times New Roman"/>
                <w:szCs w:val="24"/>
                <w:lang w:eastAsia="es-ES"/>
              </w:rPr>
            </w:pPr>
            <w:hyperlink r:id="rId4" w:tooltip="Estatuto Tributario CETA" w:history="1">
              <w:r w:rsidR="00B27539" w:rsidRPr="00BC31E4">
                <w:rPr>
                  <w:rFonts w:eastAsia="Times New Roman" w:cs="Times New Roman"/>
                  <w:szCs w:val="24"/>
                  <w:lang w:val="es-CO" w:eastAsia="es-ES"/>
                </w:rPr>
                <w:t>Artículo 771-5</w:t>
              </w:r>
            </w:hyperlink>
            <w:r w:rsidR="00B27539" w:rsidRPr="00BC31E4">
              <w:rPr>
                <w:rFonts w:eastAsia="Times New Roman" w:cs="Times New Roman"/>
                <w:szCs w:val="24"/>
                <w:lang w:val="es-CO" w:eastAsia="es-ES"/>
              </w:rPr>
              <w:t> del Estatuto Tributario.</w:t>
            </w:r>
          </w:p>
          <w:p w14:paraId="2061753F" w14:textId="77777777" w:rsidR="00B27539" w:rsidRPr="00BC31E4" w:rsidRDefault="00675E66" w:rsidP="00A64D50">
            <w:pPr>
              <w:jc w:val="both"/>
              <w:rPr>
                <w:rFonts w:eastAsia="Times New Roman" w:cs="Times New Roman"/>
                <w:szCs w:val="24"/>
                <w:lang w:eastAsia="es-ES"/>
              </w:rPr>
            </w:pPr>
            <w:hyperlink r:id="rId5" w:tooltip="Estatuto Tributario CETA" w:history="1">
              <w:r w:rsidR="00B27539" w:rsidRPr="00BC31E4">
                <w:rPr>
                  <w:rFonts w:eastAsia="Times New Roman" w:cs="Times New Roman"/>
                  <w:szCs w:val="24"/>
                  <w:lang w:val="es-CO" w:eastAsia="es-ES"/>
                </w:rPr>
                <w:t>Artículo 771-2</w:t>
              </w:r>
            </w:hyperlink>
            <w:r w:rsidR="00B27539" w:rsidRPr="00BC31E4">
              <w:rPr>
                <w:rFonts w:eastAsia="Times New Roman" w:cs="Times New Roman"/>
                <w:szCs w:val="24"/>
                <w:lang w:val="es-CO" w:eastAsia="es-ES"/>
              </w:rPr>
              <w:t> del Estatuto Tributario.</w:t>
            </w:r>
          </w:p>
        </w:tc>
      </w:tr>
    </w:tbl>
    <w:p w14:paraId="6624754D"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FB4F24D"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Cordial saludo, señor Salinas.</w:t>
      </w:r>
    </w:p>
    <w:p w14:paraId="7BC039F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87C3882"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De conformidad con el artículo 20 del Decreto 4048 de 2008 este Despacho está facultado para absolver las consultas escritas que se formulen sobre la interpretación y en lo de competencia de la Dirección de Impuestos y Aduanas Nacionales.</w:t>
      </w:r>
    </w:p>
    <w:p w14:paraId="7090983C"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762D1ACC"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En atención al radicado de la referencia, la peticionaria consulta lo siguiente:</w:t>
      </w:r>
    </w:p>
    <w:p w14:paraId="3B69FE9E"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6C59CCA3"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“Cuatro Sociedades son de los socios de cada una son los mismos para todas, con gerencias en cada una por los mismos Socios, y objeto social similar, tienen tesorerías donde comparten la misma administración y criterios, sin ser matriz ni subsidiarias, ni ser grupo empresarial. De acuerdo con el </w:t>
      </w:r>
      <w:hyperlink r:id="rId6" w:tooltip="Estatuto Tributario CETA" w:history="1">
        <w:r w:rsidRPr="00BC31E4">
          <w:rPr>
            <w:rFonts w:eastAsia="Times New Roman" w:cs="Times New Roman"/>
            <w:i/>
            <w:iCs/>
            <w:szCs w:val="24"/>
            <w:lang w:val="es-CO" w:eastAsia="es-ES"/>
          </w:rPr>
          <w:t>artículo 771-5</w:t>
        </w:r>
      </w:hyperlink>
      <w:r w:rsidRPr="00BC31E4">
        <w:rPr>
          <w:rFonts w:eastAsia="Times New Roman" w:cs="Times New Roman"/>
          <w:i/>
          <w:iCs/>
          <w:szCs w:val="24"/>
          <w:lang w:val="es-CO" w:eastAsia="es-ES"/>
        </w:rPr>
        <w:t> del Estatuto Tributario se presentan las siguientes dudas:</w:t>
      </w:r>
    </w:p>
    <w:p w14:paraId="4C0C6FDE"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142C6BCC"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1. ¿</w:t>
      </w:r>
      <w:proofErr w:type="gramStart"/>
      <w:r w:rsidRPr="00BC31E4">
        <w:rPr>
          <w:rFonts w:eastAsia="Times New Roman" w:cs="Times New Roman"/>
          <w:i/>
          <w:iCs/>
          <w:szCs w:val="24"/>
          <w:lang w:val="es-CO" w:eastAsia="es-ES"/>
        </w:rPr>
        <w:t>Cuando</w:t>
      </w:r>
      <w:proofErr w:type="gramEnd"/>
      <w:r w:rsidRPr="00BC31E4">
        <w:rPr>
          <w:rFonts w:eastAsia="Times New Roman" w:cs="Times New Roman"/>
          <w:i/>
          <w:iCs/>
          <w:szCs w:val="24"/>
          <w:lang w:val="es-CO" w:eastAsia="es-ES"/>
        </w:rPr>
        <w:t xml:space="preserve"> una sociedad cualquier de ella hace pagos bancarizados, por cuenta de otra u otras Sociedades, estos pagos se consideran válidos en cuanto al artículo del ET en mención?</w:t>
      </w:r>
    </w:p>
    <w:p w14:paraId="073023EA" w14:textId="77777777" w:rsidR="00B27539" w:rsidRPr="00BC31E4" w:rsidRDefault="00B27539" w:rsidP="00A64D50">
      <w:pPr>
        <w:ind w:left="284"/>
        <w:jc w:val="both"/>
        <w:rPr>
          <w:rFonts w:eastAsia="Times New Roman" w:cs="Times New Roman"/>
          <w:i/>
          <w:iCs/>
          <w:szCs w:val="24"/>
          <w:lang w:val="es-CO" w:eastAsia="es-ES"/>
        </w:rPr>
      </w:pPr>
    </w:p>
    <w:p w14:paraId="5CDE8154"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2. ¿Los cruces de cuentas deudoras y acreedoras entre dichas Sociedades, elaboradas con notas contables y aprobadas por las respectivas gerencias, son válidas y aceptadas como costos, gastos o pasivos?</w:t>
      </w:r>
    </w:p>
    <w:p w14:paraId="5F144BA1" w14:textId="77777777" w:rsidR="00B27539" w:rsidRPr="00BC31E4" w:rsidRDefault="00B27539" w:rsidP="00A64D50">
      <w:pPr>
        <w:ind w:left="284"/>
        <w:jc w:val="both"/>
        <w:rPr>
          <w:rFonts w:eastAsia="Times New Roman" w:cs="Times New Roman"/>
          <w:i/>
          <w:iCs/>
          <w:szCs w:val="24"/>
          <w:lang w:val="es-CO" w:eastAsia="es-ES"/>
        </w:rPr>
      </w:pPr>
    </w:p>
    <w:p w14:paraId="28A650B5"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 xml:space="preserve">3. Al adquirir bienes y servicios se hace con los documentos adecuados facturas o documentos equivalentes y se abona al beneficiario que se soporta en dichos documentos. Sin embargo, al efectuar el pago por un medio bancario, ¿Con autorización del beneficiario se puede hacer a otra persona o beneficiario? Por ejemplo, en los fallos de los Jueces cuando hay embargos, en los mandatos cuando se paga de acuerdo con el mandato, en el contrato de </w:t>
      </w:r>
      <w:proofErr w:type="spellStart"/>
      <w:r w:rsidRPr="00BC31E4">
        <w:rPr>
          <w:rFonts w:eastAsia="Times New Roman" w:cs="Times New Roman"/>
          <w:i/>
          <w:iCs/>
          <w:szCs w:val="24"/>
          <w:lang w:val="es-CO" w:eastAsia="es-ES"/>
        </w:rPr>
        <w:t>factoring</w:t>
      </w:r>
      <w:proofErr w:type="spellEnd"/>
      <w:r w:rsidRPr="00BC31E4">
        <w:rPr>
          <w:rFonts w:eastAsia="Times New Roman" w:cs="Times New Roman"/>
          <w:i/>
          <w:iCs/>
          <w:szCs w:val="24"/>
          <w:lang w:val="es-CO" w:eastAsia="es-ES"/>
        </w:rPr>
        <w:t>, corretaje, etc. Para estos casos se giraría a otro beneficiario diferente a los documentos soportes inicialmente soportados en la contabilidad”.</w:t>
      </w:r>
    </w:p>
    <w:p w14:paraId="0F72F4D7"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4827A1B7"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Al tenor de lo anterior, se precisa que este Despacho está facultado para resolver de forma general las consultas escritas que se formulen sobre la interpretación y aplicación de las normas tributarias, aduaneras y cambiarias, en lo que atañe a la competencia de la Dirección de Impuestos y Aduanas Nacionales, en consecuencia, se analizarán las preguntas señaladas sin reparo de las especificidades propuestas por el peticionario.</w:t>
      </w:r>
    </w:p>
    <w:p w14:paraId="3373B981"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79A06366"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val="es-CO" w:eastAsia="es-ES"/>
        </w:rPr>
        <w:t>1. </w:t>
      </w:r>
      <w:r w:rsidRPr="00BC31E4">
        <w:rPr>
          <w:rFonts w:eastAsia="Times New Roman" w:cs="Times New Roman"/>
          <w:b/>
          <w:bCs/>
          <w:szCs w:val="24"/>
          <w:lang w:val="es-CO" w:eastAsia="es-ES"/>
        </w:rPr>
        <w:t>Primera consulta:</w:t>
      </w:r>
      <w:r w:rsidRPr="00BC31E4">
        <w:rPr>
          <w:rFonts w:eastAsia="Times New Roman" w:cs="Times New Roman"/>
          <w:i/>
          <w:iCs/>
          <w:szCs w:val="24"/>
          <w:lang w:val="es-CO" w:eastAsia="es-ES"/>
        </w:rPr>
        <w:t> “¿</w:t>
      </w:r>
      <w:proofErr w:type="gramStart"/>
      <w:r w:rsidRPr="00BC31E4">
        <w:rPr>
          <w:rFonts w:eastAsia="Times New Roman" w:cs="Times New Roman"/>
          <w:i/>
          <w:iCs/>
          <w:szCs w:val="24"/>
          <w:lang w:val="es-CO" w:eastAsia="es-ES"/>
        </w:rPr>
        <w:t>Cuando</w:t>
      </w:r>
      <w:proofErr w:type="gramEnd"/>
      <w:r w:rsidRPr="00BC31E4">
        <w:rPr>
          <w:rFonts w:eastAsia="Times New Roman" w:cs="Times New Roman"/>
          <w:i/>
          <w:iCs/>
          <w:szCs w:val="24"/>
          <w:lang w:val="es-CO" w:eastAsia="es-ES"/>
        </w:rPr>
        <w:t xml:space="preserve"> una sociedad cualquier de ella hace pagos bancarizados, por cuenta de otra u otras Sociedades, estos pagos se consideran válidos en cuanto al artículo del ET en mención?”.</w:t>
      </w:r>
    </w:p>
    <w:p w14:paraId="19124295"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6C9111C9"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Este Despacho resalta que el </w:t>
      </w:r>
      <w:hyperlink r:id="rId7" w:tooltip="Estatuto Tributario CETA" w:history="1">
        <w:r w:rsidRPr="00BC31E4">
          <w:rPr>
            <w:rFonts w:eastAsia="Times New Roman" w:cs="Times New Roman"/>
            <w:szCs w:val="24"/>
            <w:lang w:val="es-CO" w:eastAsia="es-ES"/>
          </w:rPr>
          <w:t>artículo 771-5</w:t>
        </w:r>
      </w:hyperlink>
      <w:r w:rsidRPr="00BC31E4">
        <w:rPr>
          <w:rFonts w:eastAsia="Times New Roman" w:cs="Times New Roman"/>
          <w:szCs w:val="24"/>
          <w:lang w:val="es-CO" w:eastAsia="es-ES"/>
        </w:rPr>
        <w:t> del Estatuto Tributario no condiciona la deducibilidad de gastos y la procedencia de costos a los presupuestos descritos por el peticionario, puesto que dicha norma establece los medios de pago pertinentes para efectos de la aceptación de costos, deducciones, pasivos e impuestos descontables.</w:t>
      </w:r>
    </w:p>
    <w:p w14:paraId="14644D0D"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66EC971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lastRenderedPageBreak/>
        <w:t>Ahora bien, los pagos realizados por cuenta y orden de terceros son deducibles para efectos del impuesto sobre la renta en favor de la sociedad deudora de la obligación jurídica, siempre que se cumplan con los presupuestos señalados en los artículos </w:t>
      </w:r>
      <w:hyperlink r:id="rId8" w:tooltip="Estatuto Tributario CETA" w:history="1">
        <w:r w:rsidRPr="00BC31E4">
          <w:rPr>
            <w:rFonts w:eastAsia="Times New Roman" w:cs="Times New Roman"/>
            <w:szCs w:val="24"/>
            <w:lang w:val="es-CO" w:eastAsia="es-ES"/>
          </w:rPr>
          <w:t>107</w:t>
        </w:r>
      </w:hyperlink>
      <w:r w:rsidRPr="00BC31E4">
        <w:rPr>
          <w:rFonts w:eastAsia="Times New Roman" w:cs="Times New Roman"/>
          <w:szCs w:val="24"/>
          <w:lang w:val="es-CO" w:eastAsia="es-ES"/>
        </w:rPr>
        <w:t>, </w:t>
      </w:r>
      <w:hyperlink r:id="rId9" w:tooltip="Estatuto Tributario CETA" w:history="1">
        <w:r w:rsidRPr="00BC31E4">
          <w:rPr>
            <w:rFonts w:eastAsia="Times New Roman" w:cs="Times New Roman"/>
            <w:szCs w:val="24"/>
            <w:lang w:val="es-CO" w:eastAsia="es-ES"/>
          </w:rPr>
          <w:t>771-2</w:t>
        </w:r>
      </w:hyperlink>
      <w:r w:rsidRPr="00BC31E4">
        <w:rPr>
          <w:rFonts w:eastAsia="Times New Roman" w:cs="Times New Roman"/>
          <w:szCs w:val="24"/>
          <w:lang w:val="es-CO" w:eastAsia="es-ES"/>
        </w:rPr>
        <w:t> y </w:t>
      </w:r>
      <w:hyperlink r:id="rId10" w:tooltip="Estatuto Tributario CETA" w:history="1">
        <w:r w:rsidRPr="00BC31E4">
          <w:rPr>
            <w:rFonts w:eastAsia="Times New Roman" w:cs="Times New Roman"/>
            <w:szCs w:val="24"/>
            <w:lang w:val="es-CO" w:eastAsia="es-ES"/>
          </w:rPr>
          <w:t>771-5</w:t>
        </w:r>
      </w:hyperlink>
      <w:r w:rsidRPr="00BC31E4">
        <w:rPr>
          <w:rFonts w:eastAsia="Times New Roman" w:cs="Times New Roman"/>
          <w:szCs w:val="24"/>
          <w:lang w:val="es-CO" w:eastAsia="es-ES"/>
        </w:rPr>
        <w:t> del Estatuto Tributario, y las demás particularidades que prevea la Ley.</w:t>
      </w:r>
    </w:p>
    <w:p w14:paraId="1D6DC72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77E86B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Por su parte, la sociedad pagadora incurrirá en una erogación debido al pago efectuado, y correlativamente deberá percibir el reembolso de dichos gastos, en virtud de la configuración de una cuenta por cobrar generada en cabeza de la sociedad deudora.</w:t>
      </w:r>
    </w:p>
    <w:p w14:paraId="6C0359B2"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5794F07B"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val="es-CO" w:eastAsia="es-ES"/>
        </w:rPr>
        <w:t>2. </w:t>
      </w:r>
      <w:r w:rsidRPr="00BC31E4">
        <w:rPr>
          <w:rFonts w:eastAsia="Times New Roman" w:cs="Times New Roman"/>
          <w:b/>
          <w:bCs/>
          <w:szCs w:val="24"/>
          <w:lang w:val="es-CO" w:eastAsia="es-ES"/>
        </w:rPr>
        <w:t>Segunda consulta:</w:t>
      </w:r>
      <w:r w:rsidRPr="00BC31E4">
        <w:rPr>
          <w:rFonts w:eastAsia="Times New Roman" w:cs="Times New Roman"/>
          <w:szCs w:val="24"/>
          <w:lang w:val="es-CO" w:eastAsia="es-ES"/>
        </w:rPr>
        <w:t> </w:t>
      </w:r>
      <w:r w:rsidRPr="00BC31E4">
        <w:rPr>
          <w:rFonts w:eastAsia="Times New Roman" w:cs="Times New Roman"/>
          <w:i/>
          <w:iCs/>
          <w:szCs w:val="24"/>
          <w:lang w:val="es-CO" w:eastAsia="es-ES"/>
        </w:rPr>
        <w:t>“¿Los cruces de cuentas deudoras y acreedoras entre dichas Sociedades, elaboradas con notas contables y aprobadas por las respectivas gerencias, son válidas y aceptadas como costos, gastos o pasivos?”.</w:t>
      </w:r>
    </w:p>
    <w:p w14:paraId="07DA9167"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6708D36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Frente a este interrogante, es nuestro entendimiento que su consulta versa sobre el tipo de soporte pertinente para efectos de acreditar una erogación efectuada por cuenta de un tercero.</w:t>
      </w:r>
    </w:p>
    <w:p w14:paraId="58A36FC9"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104498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Al tenor de lo anterior, esta Subdirección considera pertinente citar el </w:t>
      </w:r>
      <w:hyperlink r:id="rId11" w:tooltip="Estatuto Tributario CETA" w:history="1">
        <w:r w:rsidRPr="00BC31E4">
          <w:rPr>
            <w:rFonts w:eastAsia="Times New Roman" w:cs="Times New Roman"/>
            <w:szCs w:val="24"/>
            <w:lang w:val="es-CO" w:eastAsia="es-ES"/>
          </w:rPr>
          <w:t>artículo 771-2</w:t>
        </w:r>
      </w:hyperlink>
      <w:r w:rsidRPr="00BC31E4">
        <w:rPr>
          <w:rFonts w:eastAsia="Times New Roman" w:cs="Times New Roman"/>
          <w:szCs w:val="24"/>
          <w:lang w:val="es-CO" w:eastAsia="es-ES"/>
        </w:rPr>
        <w:t> del Estatuto Tributario, el cual contempla qué documentos son pertinentes para efectos de comprobar la realización de un gasto y costo.</w:t>
      </w:r>
    </w:p>
    <w:p w14:paraId="6C85EC9A"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68D2B5FF"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w:t>
      </w:r>
      <w:hyperlink r:id="rId12" w:tooltip="Estatuto Tributario CETA" w:history="1">
        <w:r w:rsidRPr="00BC31E4">
          <w:rPr>
            <w:rFonts w:eastAsia="Times New Roman" w:cs="Times New Roman"/>
            <w:b/>
            <w:bCs/>
            <w:i/>
            <w:iCs/>
            <w:szCs w:val="24"/>
            <w:lang w:val="es-CO" w:eastAsia="es-ES"/>
          </w:rPr>
          <w:t>ARTÍCULO 771-2</w:t>
        </w:r>
      </w:hyperlink>
      <w:r w:rsidRPr="00BC31E4">
        <w:rPr>
          <w:rFonts w:eastAsia="Times New Roman" w:cs="Times New Roman"/>
          <w:b/>
          <w:bCs/>
          <w:i/>
          <w:iCs/>
          <w:szCs w:val="24"/>
          <w:lang w:val="es-CO" w:eastAsia="es-ES"/>
        </w:rPr>
        <w:t> . PROCEDENCIA DE COSTOS, DEDUCCIONES E IMPUESTOS DESCONTABLES.</w:t>
      </w:r>
      <w:r w:rsidRPr="00BC31E4">
        <w:rPr>
          <w:rFonts w:eastAsia="Times New Roman" w:cs="Times New Roman"/>
          <w:i/>
          <w:iCs/>
          <w:szCs w:val="24"/>
          <w:lang w:val="es-CO" w:eastAsia="es-ES"/>
        </w:rPr>
        <w:t> Para la procedencia de costos y deducciones en el impuesto sobre la renta, así como de los impuestos descontables en el impuesto sobre las ventas, se requerirá de facturas con el cumplimiento de los requisitos establecidos en los literales b), c), d), e), f) y g) de los artículos </w:t>
      </w:r>
      <w:hyperlink r:id="rId13" w:tooltip="Estatuto Tributario CETA" w:history="1">
        <w:r w:rsidRPr="00BC31E4">
          <w:rPr>
            <w:rFonts w:eastAsia="Times New Roman" w:cs="Times New Roman"/>
            <w:i/>
            <w:iCs/>
            <w:szCs w:val="24"/>
            <w:lang w:val="es-CO" w:eastAsia="es-ES"/>
          </w:rPr>
          <w:t>617</w:t>
        </w:r>
      </w:hyperlink>
      <w:r w:rsidRPr="00BC31E4">
        <w:rPr>
          <w:rFonts w:eastAsia="Times New Roman" w:cs="Times New Roman"/>
          <w:i/>
          <w:iCs/>
          <w:szCs w:val="24"/>
          <w:lang w:val="es-CO" w:eastAsia="es-ES"/>
        </w:rPr>
        <w:t> y </w:t>
      </w:r>
      <w:hyperlink r:id="rId14" w:tooltip="Estatuto Tributario CETA" w:history="1">
        <w:r w:rsidRPr="00BC31E4">
          <w:rPr>
            <w:rFonts w:eastAsia="Times New Roman" w:cs="Times New Roman"/>
            <w:i/>
            <w:iCs/>
            <w:szCs w:val="24"/>
            <w:lang w:val="es-CO" w:eastAsia="es-ES"/>
          </w:rPr>
          <w:t>618</w:t>
        </w:r>
      </w:hyperlink>
      <w:r w:rsidRPr="00BC31E4">
        <w:rPr>
          <w:rFonts w:eastAsia="Times New Roman" w:cs="Times New Roman"/>
          <w:i/>
          <w:iCs/>
          <w:szCs w:val="24"/>
          <w:lang w:val="es-CO" w:eastAsia="es-ES"/>
        </w:rPr>
        <w:t> del Estatuto Tributario.</w:t>
      </w:r>
    </w:p>
    <w:p w14:paraId="769CE0C2"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7B676C9B"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Tratándose de documentos equivalentes se deberán cumplir los requisitos contenidos en los literales b), d), e) y g) del </w:t>
      </w:r>
      <w:hyperlink r:id="rId15" w:tooltip="Estatuto Tributario CETA" w:history="1">
        <w:r w:rsidRPr="00BC31E4">
          <w:rPr>
            <w:rFonts w:eastAsia="Times New Roman" w:cs="Times New Roman"/>
            <w:i/>
            <w:iCs/>
            <w:szCs w:val="24"/>
            <w:lang w:val="es-CO" w:eastAsia="es-ES"/>
          </w:rPr>
          <w:t>artículo 617</w:t>
        </w:r>
      </w:hyperlink>
      <w:r w:rsidRPr="00BC31E4">
        <w:rPr>
          <w:rFonts w:eastAsia="Times New Roman" w:cs="Times New Roman"/>
          <w:i/>
          <w:iCs/>
          <w:szCs w:val="24"/>
          <w:lang w:val="es-CO" w:eastAsia="es-ES"/>
        </w:rPr>
        <w:t> del Estatuto Tributario.</w:t>
      </w:r>
    </w:p>
    <w:p w14:paraId="49BE7982"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2B484C2A"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i/>
          <w:iCs/>
          <w:szCs w:val="24"/>
          <w:lang w:val="es-CO" w:eastAsia="es-ES"/>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0F9EBC3B"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57A7D629"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b/>
          <w:bCs/>
          <w:i/>
          <w:iCs/>
          <w:szCs w:val="24"/>
          <w:lang w:val="es-CO" w:eastAsia="es-ES"/>
        </w:rPr>
        <w:t>PARÁGRAFO.</w:t>
      </w:r>
      <w:r w:rsidRPr="00BC31E4">
        <w:rPr>
          <w:rFonts w:eastAsia="Times New Roman" w:cs="Times New Roman"/>
          <w:i/>
          <w:iCs/>
          <w:szCs w:val="24"/>
          <w:lang w:val="es-CO" w:eastAsia="es-ES"/>
        </w:rPr>
        <w:t> En lo referente al cumplimiento del requisito establecido en el literal d) del </w:t>
      </w:r>
      <w:hyperlink r:id="rId16" w:tooltip="Estatuto Tributario CETA" w:history="1">
        <w:r w:rsidRPr="00BC31E4">
          <w:rPr>
            <w:rFonts w:eastAsia="Times New Roman" w:cs="Times New Roman"/>
            <w:i/>
            <w:iCs/>
            <w:szCs w:val="24"/>
            <w:lang w:val="es-CO" w:eastAsia="es-ES"/>
          </w:rPr>
          <w:t>artículo 617</w:t>
        </w:r>
      </w:hyperlink>
      <w:r w:rsidRPr="00BC31E4">
        <w:rPr>
          <w:rFonts w:eastAsia="Times New Roman" w:cs="Times New Roman"/>
          <w:i/>
          <w:iCs/>
          <w:szCs w:val="24"/>
          <w:lang w:val="es-CO" w:eastAsia="es-ES"/>
        </w:rPr>
        <w:t> del Estatuto Tributario para la procedencia de costos, deducciones y de impuestos descontables, bastará que la factura o documento equivalente contenga la correspondiente numeración.</w:t>
      </w:r>
    </w:p>
    <w:p w14:paraId="5CCFBB9C"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285D2BE9"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b/>
          <w:bCs/>
          <w:i/>
          <w:iCs/>
          <w:szCs w:val="24"/>
          <w:lang w:val="es-CO" w:eastAsia="es-ES"/>
        </w:rPr>
        <w:t>PARÁGRAFO 2o</w:t>
      </w:r>
      <w:r w:rsidRPr="00BC31E4">
        <w:rPr>
          <w:rFonts w:eastAsia="Times New Roman" w:cs="Times New Roman"/>
          <w:i/>
          <w:iCs/>
          <w:szCs w:val="24"/>
          <w:lang w:val="es-CO" w:eastAsia="es-ES"/>
        </w:rPr>
        <w:t>. Sin perjuicio de lo establecido en este artículo, los costos y deducciones efectivamente realizados durante el año o período gravable serán aceptados fiscalmente, así la factura de venta o documento equivalente tenga fecha del año o período siguiente, siempre y cuando se acredite la prestación del servicio o venta del bien en el año o período gravable”.</w:t>
      </w:r>
    </w:p>
    <w:p w14:paraId="196A5420"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F2A183C"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De acuerdo con la norma citada, existen tres documentos que permiten acreditar la procedencia de costos y deducciones en el impuesto sobre la renta, así como de los impuestos descontables en el impuesto sobre las ventas: facturas, documentos equivalentes y documentos soportes. Cada uno de los conceptos enunciados deberá cumplir con los requisitos y circunstancias previstas en la norma.</w:t>
      </w:r>
    </w:p>
    <w:p w14:paraId="2CF069A6"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1E11D375"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Ahora bien, tratándose de una operación celebrada entre dos sociedades obligadas a facturar, el documento idóneo que permita acreditar la realización de una erogación es una factura.</w:t>
      </w:r>
    </w:p>
    <w:p w14:paraId="2CE9F44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264D8AFC"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Finalmente, en lo que atañe a la expedición de notas de contabilidad, es importante señalar que dichos documentos podrán fungir como soportes para efectos de la deducibilidad de gastos y la procedencia de costos, siempre que cumplan con los requisitos estipulados en el </w:t>
      </w:r>
      <w:hyperlink r:id="rId17" w:tooltip="Estatuto Tributario CETA" w:history="1">
        <w:r w:rsidRPr="00BC31E4">
          <w:rPr>
            <w:rFonts w:eastAsia="Times New Roman" w:cs="Times New Roman"/>
            <w:szCs w:val="24"/>
            <w:lang w:val="es-CO" w:eastAsia="es-ES"/>
          </w:rPr>
          <w:t>artículo 771-2</w:t>
        </w:r>
      </w:hyperlink>
      <w:r w:rsidRPr="00BC31E4">
        <w:rPr>
          <w:rFonts w:eastAsia="Times New Roman" w:cs="Times New Roman"/>
          <w:szCs w:val="24"/>
          <w:lang w:val="es-CO" w:eastAsia="es-ES"/>
        </w:rPr>
        <w:t> del Estatuto Tributario, y cuando su expedición sea necesaria ante la ausencia de una factura que compruebe la operación efectuada.</w:t>
      </w:r>
    </w:p>
    <w:p w14:paraId="07D99FB2"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eastAsia="es-ES"/>
        </w:rPr>
        <w:t> </w:t>
      </w:r>
    </w:p>
    <w:p w14:paraId="42D02157" w14:textId="77777777" w:rsidR="00B27539" w:rsidRPr="00BC31E4" w:rsidRDefault="00B27539" w:rsidP="00A64D50">
      <w:pPr>
        <w:ind w:left="284"/>
        <w:jc w:val="both"/>
        <w:rPr>
          <w:rFonts w:eastAsia="Times New Roman" w:cs="Times New Roman"/>
          <w:szCs w:val="24"/>
          <w:lang w:eastAsia="es-ES"/>
        </w:rPr>
      </w:pPr>
      <w:r w:rsidRPr="00BC31E4">
        <w:rPr>
          <w:rFonts w:eastAsia="Times New Roman" w:cs="Times New Roman"/>
          <w:szCs w:val="24"/>
          <w:lang w:val="es-CO" w:eastAsia="es-ES"/>
        </w:rPr>
        <w:lastRenderedPageBreak/>
        <w:t>3. </w:t>
      </w:r>
      <w:r w:rsidRPr="00BC31E4">
        <w:rPr>
          <w:rFonts w:eastAsia="Times New Roman" w:cs="Times New Roman"/>
          <w:b/>
          <w:bCs/>
          <w:szCs w:val="24"/>
          <w:lang w:val="es-CO" w:eastAsia="es-ES"/>
        </w:rPr>
        <w:t>Tercera consulta:</w:t>
      </w:r>
      <w:r w:rsidRPr="00BC31E4">
        <w:rPr>
          <w:rFonts w:eastAsia="Times New Roman" w:cs="Times New Roman"/>
          <w:i/>
          <w:iCs/>
          <w:szCs w:val="24"/>
          <w:lang w:val="es-CO" w:eastAsia="es-ES"/>
        </w:rPr>
        <w:t xml:space="preserve"> “AI adquirir bienes y servicios se hace con los documentos adecuados facturas o documentos equivalentes y se abona al beneficiario que se soporta en dichos documentos. Sin embargo, al efectuar el pago por un medio bancario, ¿Con autorización del beneficiario se puede hacer a otra persona o beneficiario? Por ejemplo, en los fallos de los Jueces cuando hay embargos, en los mandatos cuando se paga de acuerdo con el mandato, en el contrato de </w:t>
      </w:r>
      <w:proofErr w:type="spellStart"/>
      <w:r w:rsidRPr="00BC31E4">
        <w:rPr>
          <w:rFonts w:eastAsia="Times New Roman" w:cs="Times New Roman"/>
          <w:i/>
          <w:iCs/>
          <w:szCs w:val="24"/>
          <w:lang w:val="es-CO" w:eastAsia="es-ES"/>
        </w:rPr>
        <w:t>factoring</w:t>
      </w:r>
      <w:proofErr w:type="spellEnd"/>
      <w:r w:rsidRPr="00BC31E4">
        <w:rPr>
          <w:rFonts w:eastAsia="Times New Roman" w:cs="Times New Roman"/>
          <w:i/>
          <w:iCs/>
          <w:szCs w:val="24"/>
          <w:lang w:val="es-CO" w:eastAsia="es-ES"/>
        </w:rPr>
        <w:t>, corretaje, etc. Para estos casos se giraría a otro beneficiario diferente a los documentos soportes inicialmente soportados en la contabilidad”.</w:t>
      </w:r>
    </w:p>
    <w:p w14:paraId="459BF0DB"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0A73CAC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Es nuestro entendimiento que la consulta planteada cuestiona si, conforme con lo dispuesto en el </w:t>
      </w:r>
      <w:hyperlink r:id="rId18" w:tooltip="Estatuto Tributario CETA" w:history="1">
        <w:r w:rsidRPr="00BC31E4">
          <w:rPr>
            <w:rFonts w:eastAsia="Times New Roman" w:cs="Times New Roman"/>
            <w:szCs w:val="24"/>
            <w:lang w:val="es-CO" w:eastAsia="es-ES"/>
          </w:rPr>
          <w:t>artículo 771-5</w:t>
        </w:r>
      </w:hyperlink>
      <w:r w:rsidRPr="00BC31E4">
        <w:rPr>
          <w:rFonts w:eastAsia="Times New Roman" w:cs="Times New Roman"/>
          <w:szCs w:val="24"/>
          <w:lang w:val="es-CO" w:eastAsia="es-ES"/>
        </w:rPr>
        <w:t> del Estatuto Tributario, son deducibles para efectos</w:t>
      </w:r>
      <w:r w:rsidRPr="00BC31E4">
        <w:rPr>
          <w:rFonts w:eastAsia="Times New Roman" w:cs="Times New Roman"/>
          <w:szCs w:val="24"/>
          <w:lang w:eastAsia="es-ES"/>
        </w:rPr>
        <w:t xml:space="preserve"> </w:t>
      </w:r>
      <w:r w:rsidRPr="00BC31E4">
        <w:rPr>
          <w:rFonts w:eastAsia="Times New Roman" w:cs="Times New Roman"/>
          <w:szCs w:val="24"/>
          <w:lang w:val="es-CO" w:eastAsia="es-ES"/>
        </w:rPr>
        <w:t>del impuesto sobre la renta, los pagos realizados por una sociedad, en virtud de un tercero, consignados en favor de otra persona distinta al deudor de la obligación pendiente, en tanto medie autorización de este último.</w:t>
      </w:r>
    </w:p>
    <w:p w14:paraId="17368671"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21D04A3C"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Al respecto, este Despacho considera precisa que el </w:t>
      </w:r>
      <w:hyperlink r:id="rId19" w:tooltip="Estatuto Tributario CETA" w:history="1">
        <w:r w:rsidRPr="00BC31E4">
          <w:rPr>
            <w:rFonts w:eastAsia="Times New Roman" w:cs="Times New Roman"/>
            <w:szCs w:val="24"/>
            <w:lang w:val="es-CO" w:eastAsia="es-ES"/>
          </w:rPr>
          <w:t>artículo 771-5</w:t>
        </w:r>
      </w:hyperlink>
      <w:r w:rsidRPr="00BC31E4">
        <w:rPr>
          <w:rFonts w:eastAsia="Times New Roman" w:cs="Times New Roman"/>
          <w:szCs w:val="24"/>
          <w:lang w:val="es-CO" w:eastAsia="es-ES"/>
        </w:rPr>
        <w:t> del Estatuto Tributario no condiciona la deducibilidad de los gastos y la procedencia de costos para efectos del impuesto sobre la renta a la calidad del sujeto beneficiario del pago, ni somete dicha deducibilidad a acuerdos que, voluntariamente, celebren las partes para entender la extinción de una obligación jurídica.</w:t>
      </w:r>
    </w:p>
    <w:p w14:paraId="4EBCA79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3675B30E"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Empero, la deducibilidad de los pagos realizados, dependerá del cumplimiento de los presupuestos del </w:t>
      </w:r>
      <w:hyperlink r:id="rId20" w:tooltip="Estatuto Tributario CETA" w:history="1">
        <w:r w:rsidRPr="00BC31E4">
          <w:rPr>
            <w:rFonts w:eastAsia="Times New Roman" w:cs="Times New Roman"/>
            <w:szCs w:val="24"/>
            <w:lang w:val="es-CO" w:eastAsia="es-ES"/>
          </w:rPr>
          <w:t>artículo 107</w:t>
        </w:r>
      </w:hyperlink>
      <w:r w:rsidRPr="00BC31E4">
        <w:rPr>
          <w:rFonts w:eastAsia="Times New Roman" w:cs="Times New Roman"/>
          <w:szCs w:val="24"/>
          <w:lang w:val="es-CO" w:eastAsia="es-ES"/>
        </w:rPr>
        <w:t> del Estatuto Tributario, su comprobación conforme con el </w:t>
      </w:r>
      <w:hyperlink r:id="rId21" w:tooltip="Estatuto Tributario CETA" w:history="1">
        <w:r w:rsidRPr="00BC31E4">
          <w:rPr>
            <w:rFonts w:eastAsia="Times New Roman" w:cs="Times New Roman"/>
            <w:szCs w:val="24"/>
            <w:lang w:val="es-CO" w:eastAsia="es-ES"/>
          </w:rPr>
          <w:t>artículo 771-2</w:t>
        </w:r>
      </w:hyperlink>
      <w:r w:rsidRPr="00BC31E4">
        <w:rPr>
          <w:rFonts w:eastAsia="Times New Roman" w:cs="Times New Roman"/>
          <w:szCs w:val="24"/>
          <w:lang w:val="es-CO" w:eastAsia="es-ES"/>
        </w:rPr>
        <w:t> del Estatuto Tributario, y los demás requisitos que prevea la Ley en consideración de las particularidades contractuales fijadas por las partes.</w:t>
      </w:r>
    </w:p>
    <w:p w14:paraId="5C62F53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5B65B2E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En consecuencia, este Despacho no tiene competencia para determinar si, en virtud de la celebración de un acuerdo de carácter particular, un gasto puede ser objeto de deducción en los términos del </w:t>
      </w:r>
      <w:hyperlink r:id="rId22" w:tooltip="Estatuto Tributario CETA" w:history="1">
        <w:r w:rsidRPr="00BC31E4">
          <w:rPr>
            <w:rFonts w:eastAsia="Times New Roman" w:cs="Times New Roman"/>
            <w:szCs w:val="24"/>
            <w:lang w:val="es-CO" w:eastAsia="es-ES"/>
          </w:rPr>
          <w:t>artículo 771-5</w:t>
        </w:r>
      </w:hyperlink>
      <w:r w:rsidRPr="00BC31E4">
        <w:rPr>
          <w:rFonts w:eastAsia="Times New Roman" w:cs="Times New Roman"/>
          <w:szCs w:val="24"/>
          <w:lang w:val="es-CO" w:eastAsia="es-ES"/>
        </w:rPr>
        <w:t> del Estatuto Tributario.</w:t>
      </w:r>
    </w:p>
    <w:p w14:paraId="678DB1D8"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41EC8874"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2A3BB3F1"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Atentamente,</w:t>
      </w:r>
    </w:p>
    <w:p w14:paraId="4F72EA4F"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0693B6AA"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eastAsia="es-ES"/>
        </w:rPr>
        <w:t> </w:t>
      </w:r>
    </w:p>
    <w:p w14:paraId="6BD342B0"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b/>
          <w:bCs/>
          <w:szCs w:val="24"/>
          <w:lang w:val="es-CO" w:eastAsia="es-ES"/>
        </w:rPr>
        <w:t>LORENZO CASTILLO BARVO</w:t>
      </w:r>
    </w:p>
    <w:p w14:paraId="22B25D37"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Subdirector de Gestión Normativa y Doctrina (E)</w:t>
      </w:r>
    </w:p>
    <w:p w14:paraId="2FAEC373"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Dirección de Gestión Jurídica</w:t>
      </w:r>
    </w:p>
    <w:p w14:paraId="5E8CDCA8" w14:textId="77777777" w:rsidR="00B27539" w:rsidRPr="00BC31E4" w:rsidRDefault="00B27539" w:rsidP="00A64D50">
      <w:pPr>
        <w:jc w:val="both"/>
        <w:rPr>
          <w:rFonts w:eastAsia="Times New Roman" w:cs="Times New Roman"/>
          <w:szCs w:val="24"/>
          <w:lang w:eastAsia="es-ES"/>
        </w:rPr>
      </w:pPr>
      <w:r w:rsidRPr="00BC31E4">
        <w:rPr>
          <w:rFonts w:eastAsia="Times New Roman" w:cs="Times New Roman"/>
          <w:szCs w:val="24"/>
          <w:lang w:val="es-CO" w:eastAsia="es-ES"/>
        </w:rPr>
        <w:t>UAE-DIAN</w:t>
      </w:r>
    </w:p>
    <w:p w14:paraId="4C372F1E" w14:textId="35CF63A7" w:rsidR="00A64D50" w:rsidRPr="00BC31E4" w:rsidRDefault="00A64D50" w:rsidP="00602135">
      <w:pPr>
        <w:spacing w:after="285"/>
        <w:jc w:val="both"/>
        <w:rPr>
          <w:rFonts w:eastAsia="Times New Roman" w:cs="Times New Roman"/>
          <w:szCs w:val="24"/>
          <w:lang w:eastAsia="es-ES"/>
        </w:rPr>
      </w:pPr>
      <w:r w:rsidRPr="00BC31E4">
        <w:rPr>
          <w:rFonts w:eastAsia="Times New Roman" w:cs="Times New Roman"/>
          <w:szCs w:val="24"/>
          <w:lang w:eastAsia="es-ES"/>
        </w:rPr>
        <w:t>____________________________________________________________________________</w:t>
      </w:r>
    </w:p>
    <w:p w14:paraId="7C177600" w14:textId="77777777" w:rsidR="00A64D50" w:rsidRPr="00BC31E4" w:rsidRDefault="00A64D50" w:rsidP="00A64D50">
      <w:pPr>
        <w:spacing w:before="100" w:beforeAutospacing="1" w:after="100" w:afterAutospacing="1"/>
        <w:jc w:val="both"/>
        <w:rPr>
          <w:rFonts w:eastAsia="Times New Roman" w:cs="Times New Roman"/>
          <w:b/>
          <w:bCs/>
          <w:color w:val="000000"/>
          <w:szCs w:val="24"/>
          <w:lang w:eastAsia="es-CO"/>
        </w:rPr>
      </w:pPr>
    </w:p>
    <w:p w14:paraId="2B16D19E" w14:textId="77777777" w:rsidR="00A64D50" w:rsidRPr="00BC31E4" w:rsidRDefault="00A64D50" w:rsidP="00A64D50">
      <w:pPr>
        <w:spacing w:before="100" w:beforeAutospacing="1" w:after="100" w:afterAutospacing="1"/>
        <w:jc w:val="center"/>
        <w:rPr>
          <w:rFonts w:eastAsia="Times New Roman" w:cs="Times New Roman"/>
          <w:b/>
          <w:bCs/>
          <w:color w:val="000000"/>
          <w:szCs w:val="24"/>
          <w:lang w:eastAsia="es-CO"/>
        </w:rPr>
      </w:pPr>
      <w:r w:rsidRPr="00BC31E4">
        <w:rPr>
          <w:rFonts w:eastAsia="Times New Roman" w:cs="Times New Roman"/>
          <w:b/>
          <w:bCs/>
          <w:color w:val="000000"/>
          <w:szCs w:val="24"/>
          <w:lang w:eastAsia="es-CO"/>
        </w:rPr>
        <w:t>CONCEPTO 8179 DE 2019</w:t>
      </w:r>
    </w:p>
    <w:p w14:paraId="2574585E" w14:textId="77777777" w:rsidR="00A64D50" w:rsidRPr="00BC31E4" w:rsidRDefault="00A64D50" w:rsidP="00A64D50">
      <w:pPr>
        <w:spacing w:before="100" w:beforeAutospacing="1" w:after="100" w:afterAutospacing="1"/>
        <w:jc w:val="center"/>
        <w:rPr>
          <w:rFonts w:eastAsia="Times New Roman" w:cs="Times New Roman"/>
          <w:b/>
          <w:bCs/>
          <w:color w:val="000000"/>
          <w:szCs w:val="24"/>
          <w:lang w:eastAsia="es-CO"/>
        </w:rPr>
      </w:pPr>
      <w:r w:rsidRPr="00BC31E4">
        <w:rPr>
          <w:rFonts w:eastAsia="Times New Roman" w:cs="Times New Roman"/>
          <w:b/>
          <w:bCs/>
          <w:color w:val="000000"/>
          <w:szCs w:val="24"/>
          <w:lang w:eastAsia="es-CO"/>
        </w:rPr>
        <w:t>Abril 5 de 2019</w:t>
      </w:r>
    </w:p>
    <w:p w14:paraId="7B6EC9F0" w14:textId="77777777" w:rsidR="00A64D50" w:rsidRPr="00BC31E4" w:rsidRDefault="00A64D50" w:rsidP="00A64D50">
      <w:pPr>
        <w:spacing w:before="100" w:beforeAutospacing="1" w:after="100" w:afterAutospacing="1"/>
        <w:jc w:val="both"/>
        <w:rPr>
          <w:rFonts w:eastAsia="Times New Roman" w:cs="Times New Roman"/>
          <w:b/>
          <w:bCs/>
          <w:color w:val="000000"/>
          <w:szCs w:val="24"/>
          <w:lang w:eastAsia="es-CO"/>
        </w:rPr>
      </w:pPr>
    </w:p>
    <w:p w14:paraId="6445FA71" w14:textId="77777777" w:rsidR="00A64D50" w:rsidRPr="00BC31E4" w:rsidRDefault="00A64D50" w:rsidP="00A64D50">
      <w:pPr>
        <w:spacing w:before="100" w:beforeAutospacing="1" w:after="100" w:afterAutospacing="1"/>
        <w:jc w:val="both"/>
        <w:rPr>
          <w:rFonts w:eastAsia="Times New Roman" w:cs="Times New Roman"/>
          <w:b/>
          <w:bCs/>
          <w:color w:val="000000"/>
          <w:szCs w:val="24"/>
          <w:lang w:eastAsia="es-CO"/>
        </w:rPr>
      </w:pPr>
      <w:r w:rsidRPr="00BC31E4">
        <w:rPr>
          <w:rFonts w:eastAsia="Times New Roman" w:cs="Times New Roman"/>
          <w:b/>
          <w:bCs/>
          <w:color w:val="000000"/>
          <w:szCs w:val="24"/>
          <w:lang w:eastAsia="es-CO"/>
        </w:rPr>
        <w:t>Tema:                               Procedimiento Tributario</w:t>
      </w:r>
    </w:p>
    <w:p w14:paraId="6BA59D6F" w14:textId="77777777" w:rsidR="00A64D50" w:rsidRPr="00BC31E4" w:rsidRDefault="00A64D50" w:rsidP="00A64D50">
      <w:pPr>
        <w:spacing w:before="100" w:beforeAutospacing="1" w:after="100" w:afterAutospacing="1"/>
        <w:jc w:val="both"/>
        <w:rPr>
          <w:rFonts w:eastAsia="Times New Roman" w:cs="Times New Roman"/>
          <w:b/>
          <w:bCs/>
          <w:color w:val="000000"/>
          <w:szCs w:val="24"/>
          <w:lang w:eastAsia="es-CO"/>
        </w:rPr>
      </w:pPr>
      <w:r w:rsidRPr="00BC31E4">
        <w:rPr>
          <w:rFonts w:eastAsia="Times New Roman" w:cs="Times New Roman"/>
          <w:b/>
          <w:bCs/>
          <w:color w:val="000000"/>
          <w:szCs w:val="24"/>
          <w:lang w:eastAsia="es-CO"/>
        </w:rPr>
        <w:t>Descriptores:                    Medios de Pago para la Aceptación de Costos, Deducciones, Pasivos e Impuestos Descontables</w:t>
      </w:r>
    </w:p>
    <w:p w14:paraId="4B95AA1A"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b/>
          <w:bCs/>
          <w:color w:val="000000"/>
          <w:szCs w:val="24"/>
          <w:lang w:eastAsia="es-CO"/>
        </w:rPr>
        <w:t>Fuentes formales: </w:t>
      </w:r>
      <w:r w:rsidRPr="00BC31E4">
        <w:rPr>
          <w:rFonts w:eastAsia="Times New Roman" w:cs="Times New Roman"/>
          <w:color w:val="000000"/>
          <w:szCs w:val="24"/>
          <w:lang w:eastAsia="es-CO"/>
        </w:rPr>
        <w:t>             Estatuto Tributario – Artículo 771-5 Estatuto Tributario – Artículo 107 Código Civil – Artículo 1625 Código Civil – Artículo 1630 </w:t>
      </w:r>
    </w:p>
    <w:p w14:paraId="47AB8E2C"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color w:val="000000"/>
          <w:szCs w:val="24"/>
          <w:lang w:eastAsia="es-CO"/>
        </w:rPr>
        <w:t> 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 </w:t>
      </w:r>
    </w:p>
    <w:p w14:paraId="1B7A08F3"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color w:val="000000"/>
          <w:szCs w:val="24"/>
          <w:lang w:eastAsia="es-CO"/>
        </w:rPr>
        <w:lastRenderedPageBreak/>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 </w:t>
      </w:r>
    </w:p>
    <w:p w14:paraId="33B61963"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w:t>
      </w:r>
      <w:r w:rsidRPr="00BC31E4">
        <w:rPr>
          <w:rFonts w:eastAsia="Times New Roman" w:cs="Times New Roman"/>
          <w:i/>
          <w:iCs/>
          <w:color w:val="000000"/>
          <w:szCs w:val="24"/>
          <w:lang w:eastAsia="es-CO"/>
        </w:rPr>
        <w:t>y/o </w:t>
      </w:r>
      <w:r w:rsidRPr="00BC31E4">
        <w:rPr>
          <w:rFonts w:eastAsia="Times New Roman" w:cs="Times New Roman"/>
          <w:color w:val="000000"/>
          <w:szCs w:val="24"/>
          <w:lang w:eastAsia="es-CO"/>
        </w:rPr>
        <w:t>privadas en el desarrollo de sus actividades, funciones </w:t>
      </w:r>
      <w:r w:rsidRPr="00BC31E4">
        <w:rPr>
          <w:rFonts w:eastAsia="Times New Roman" w:cs="Times New Roman"/>
          <w:i/>
          <w:iCs/>
          <w:color w:val="000000"/>
          <w:szCs w:val="24"/>
          <w:lang w:eastAsia="es-CO"/>
        </w:rPr>
        <w:t>y </w:t>
      </w:r>
      <w:r w:rsidRPr="00BC31E4">
        <w:rPr>
          <w:rFonts w:eastAsia="Times New Roman" w:cs="Times New Roman"/>
          <w:color w:val="000000"/>
          <w:szCs w:val="24"/>
          <w:lang w:eastAsia="es-CO"/>
        </w:rPr>
        <w:t>competencias. </w:t>
      </w:r>
    </w:p>
    <w:p w14:paraId="6BF8ACE6"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color w:val="000000"/>
          <w:szCs w:val="24"/>
          <w:lang w:eastAsia="es-CO"/>
        </w:rPr>
        <w:t>Mediante escrito radicado 100012519 del 23 de febrero de 2019 esta Subdirección recibió una consulta por medio de la cual se solicita resolver la siguiente inquietud, en concordancia con el artículo 771–5 del Estatuto Tributario: </w:t>
      </w:r>
    </w:p>
    <w:p w14:paraId="3E0DEDC3" w14:textId="77777777" w:rsidR="00A64D50" w:rsidRPr="00BC31E4" w:rsidRDefault="00A64D50" w:rsidP="00A64D50">
      <w:pPr>
        <w:spacing w:before="100" w:beforeAutospacing="1" w:after="100" w:afterAutospacing="1"/>
        <w:jc w:val="both"/>
        <w:rPr>
          <w:rFonts w:eastAsia="Times New Roman" w:cs="Times New Roman"/>
          <w:color w:val="000000"/>
          <w:sz w:val="28"/>
          <w:szCs w:val="28"/>
          <w:lang w:eastAsia="es-CO"/>
        </w:rPr>
      </w:pPr>
      <w:r w:rsidRPr="00BC31E4">
        <w:rPr>
          <w:rFonts w:eastAsia="Times New Roman" w:cs="Times New Roman"/>
          <w:b/>
          <w:bCs/>
          <w:color w:val="000000"/>
          <w:sz w:val="28"/>
          <w:szCs w:val="28"/>
          <w:lang w:eastAsia="es-CO"/>
        </w:rPr>
        <w:t>1.</w:t>
      </w:r>
      <w:r w:rsidRPr="00BC31E4">
        <w:rPr>
          <w:rFonts w:eastAsia="Times New Roman" w:cs="Times New Roman"/>
          <w:i/>
          <w:iCs/>
          <w:color w:val="000000"/>
          <w:sz w:val="28"/>
          <w:szCs w:val="28"/>
          <w:lang w:eastAsia="es-CO"/>
        </w:rPr>
        <w:t xml:space="preserve"> ¿Son viables para efectos del reconocimiento fiscal de costos, deducciones, pasivos o impuestos descontables, aquellos pagos que se realizan a un tercero con autorización del primer beneficiario? ¡En atención a la consulta, se procede a analizar las! siguientes consideraciones tributarias: </w:t>
      </w:r>
    </w:p>
    <w:p w14:paraId="37673592"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b/>
          <w:bCs/>
          <w:color w:val="000000"/>
          <w:szCs w:val="24"/>
          <w:lang w:eastAsia="es-CO"/>
        </w:rPr>
        <w:t>1. Aceptación de costos, deducciones, pasivos e impuestos descontables cuando el pago se realiza a un tercero con autorización del primer beneficiario: </w:t>
      </w:r>
    </w:p>
    <w:p w14:paraId="0D7EF2D1" w14:textId="77777777" w:rsidR="00A64D50" w:rsidRPr="00BC31E4" w:rsidRDefault="00A64D50" w:rsidP="00A64D50">
      <w:pPr>
        <w:spacing w:before="100" w:beforeAutospacing="1" w:after="100" w:afterAutospacing="1"/>
        <w:jc w:val="both"/>
        <w:rPr>
          <w:rFonts w:eastAsia="Times New Roman" w:cs="Times New Roman"/>
          <w:color w:val="000000"/>
          <w:sz w:val="28"/>
          <w:szCs w:val="28"/>
          <w:u w:val="single"/>
          <w:lang w:eastAsia="es-CO"/>
        </w:rPr>
      </w:pPr>
      <w:r w:rsidRPr="00675E66">
        <w:rPr>
          <w:rFonts w:eastAsia="Times New Roman" w:cs="Times New Roman"/>
          <w:color w:val="000000"/>
          <w:sz w:val="28"/>
          <w:szCs w:val="28"/>
          <w:highlight w:val="green"/>
          <w:lang w:eastAsia="es-CO"/>
        </w:rPr>
        <w:t xml:space="preserve">1.1.1 </w:t>
      </w:r>
      <w:r w:rsidRPr="00675E66">
        <w:rPr>
          <w:rFonts w:eastAsia="Times New Roman" w:cs="Times New Roman"/>
          <w:color w:val="000000"/>
          <w:sz w:val="28"/>
          <w:szCs w:val="28"/>
          <w:highlight w:val="green"/>
          <w:u w:val="single"/>
          <w:lang w:eastAsia="es-CO"/>
        </w:rPr>
        <w:t>Sobre el particular, este despacho concluye que el pago a un tercero con autorización del primer beneficiario, podrá ser reconocido fiscalmente como costo, deducción, pasivo o impuesto descontable; en tanto se utilicen los canales bancarios mencionados en el artículo771del Estatuto Tributario («</w:t>
      </w:r>
      <w:proofErr w:type="gramStart"/>
      <w:r w:rsidRPr="00675E66">
        <w:rPr>
          <w:rFonts w:eastAsia="Times New Roman" w:cs="Times New Roman"/>
          <w:color w:val="000000"/>
          <w:sz w:val="28"/>
          <w:szCs w:val="28"/>
          <w:highlight w:val="green"/>
          <w:u w:val="single"/>
          <w:lang w:eastAsia="es-CO"/>
        </w:rPr>
        <w:t>E.T.«</w:t>
      </w:r>
      <w:proofErr w:type="gramEnd"/>
      <w:r w:rsidRPr="00675E66">
        <w:rPr>
          <w:rFonts w:eastAsia="Times New Roman" w:cs="Times New Roman"/>
          <w:color w:val="000000"/>
          <w:sz w:val="28"/>
          <w:szCs w:val="28"/>
          <w:highlight w:val="green"/>
          <w:u w:val="single"/>
          <w:lang w:eastAsia="es-CO"/>
        </w:rPr>
        <w:t>), y se cumplan los requisitos establecidos en el artículo 107 del E.T.</w:t>
      </w:r>
    </w:p>
    <w:p w14:paraId="5A35E80F"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b/>
          <w:bCs/>
          <w:color w:val="000000"/>
          <w:szCs w:val="24"/>
          <w:lang w:eastAsia="es-CO"/>
        </w:rPr>
        <w:t>1.1.2 </w:t>
      </w:r>
      <w:r w:rsidRPr="00BC31E4">
        <w:rPr>
          <w:rFonts w:eastAsia="Times New Roman" w:cs="Times New Roman"/>
          <w:color w:val="000000"/>
          <w:szCs w:val="24"/>
          <w:lang w:eastAsia="es-CO"/>
        </w:rPr>
        <w:t>Esto, atendiendo al siguiente análisis </w:t>
      </w:r>
    </w:p>
    <w:p w14:paraId="611460C3"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b/>
          <w:bCs/>
          <w:color w:val="000000"/>
          <w:szCs w:val="24"/>
          <w:lang w:eastAsia="es-CO"/>
        </w:rPr>
        <w:t>1.1.3 </w:t>
      </w:r>
      <w:r w:rsidRPr="00BC31E4">
        <w:rPr>
          <w:rFonts w:eastAsia="Times New Roman" w:cs="Times New Roman"/>
          <w:color w:val="000000"/>
          <w:szCs w:val="24"/>
          <w:lang w:eastAsia="es-CO"/>
        </w:rPr>
        <w:t>El</w:t>
      </w:r>
      <w:r w:rsidRPr="00BC31E4">
        <w:rPr>
          <w:rFonts w:eastAsia="Times New Roman" w:cs="Times New Roman"/>
          <w:b/>
          <w:bCs/>
          <w:color w:val="000000"/>
          <w:szCs w:val="24"/>
          <w:lang w:eastAsia="es-CO"/>
        </w:rPr>
        <w:t> </w:t>
      </w:r>
      <w:r w:rsidRPr="00BC31E4">
        <w:rPr>
          <w:rFonts w:eastAsia="Times New Roman" w:cs="Times New Roman"/>
          <w:color w:val="000000"/>
          <w:szCs w:val="24"/>
          <w:lang w:eastAsia="es-CO"/>
        </w:rPr>
        <w:t>artículo 771–5 del E.T. determina los medios de pago para efectos de la aceptación de costos, deducciones, pasivos e impuestos descontables. Al respecto, la Corte Constitucional, mediante sentencias C-249 del 24 de abril de 2013, C-264 del 8 de mayo de 2013 y más recientemente este despacho, a través del Concepto 024531 del 15 de abril de 2014, concluyen que el propósito plasmado por el legislador en este artículo es:</w:t>
      </w:r>
    </w:p>
    <w:p w14:paraId="65D10675"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i/>
          <w:iCs/>
          <w:color w:val="000000"/>
          <w:szCs w:val="24"/>
          <w:lang w:eastAsia="es-CO"/>
        </w:rPr>
        <w:t>«(…) Generar mecanismos de control efectivos a través de la utilización de canales bancarios con el fin de asegurar mayor transparencia en las transacciones, evitar la evasión y el fraude, mejorar la recaudación y promover la eficiencia del sistema tributario… </w:t>
      </w:r>
    </w:p>
    <w:p w14:paraId="1EF1ACBE"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b/>
          <w:bCs/>
          <w:color w:val="000000"/>
          <w:szCs w:val="24"/>
          <w:lang w:eastAsia="es-CO"/>
        </w:rPr>
        <w:t>1.1.3 </w:t>
      </w:r>
      <w:r w:rsidRPr="00BC31E4">
        <w:rPr>
          <w:rFonts w:eastAsia="Times New Roman" w:cs="Times New Roman"/>
          <w:color w:val="000000"/>
          <w:szCs w:val="24"/>
          <w:lang w:eastAsia="es-CO"/>
        </w:rPr>
        <w:t>En estos términos, el pago a través de canales bancarios que realiza un tercero, resulta viable para efectos del artículo en mención; especialmente, cuando de este se infiere que dicho pago extingue la obligación a cargo del contribuyente del impuesto sobre la renta, es decir, el primer beneficiario, al señalar que: </w:t>
      </w:r>
    </w:p>
    <w:p w14:paraId="387CC0A0"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i/>
          <w:iCs/>
          <w:color w:val="000000"/>
          <w:szCs w:val="24"/>
          <w:lang w:eastAsia="es-CO"/>
        </w:rPr>
        <w:t>«Para efectos de su reconocimiento fiscal como </w:t>
      </w:r>
      <w:r w:rsidRPr="00BC31E4">
        <w:rPr>
          <w:rFonts w:eastAsia="Times New Roman" w:cs="Times New Roman"/>
          <w:color w:val="000000"/>
          <w:szCs w:val="24"/>
          <w:lang w:eastAsia="es-CO"/>
        </w:rPr>
        <w:t>c</w:t>
      </w:r>
      <w:r w:rsidRPr="00BC31E4">
        <w:rPr>
          <w:rFonts w:eastAsia="Times New Roman" w:cs="Times New Roman"/>
          <w:i/>
          <w:iCs/>
          <w:color w:val="000000"/>
          <w:szCs w:val="24"/>
          <w:lang w:eastAsia="es-CO"/>
        </w:rPr>
        <w:t>ostos, deduccione</w:t>
      </w:r>
      <w:r w:rsidRPr="00BC31E4">
        <w:rPr>
          <w:rFonts w:eastAsia="Times New Roman" w:cs="Times New Roman"/>
          <w:color w:val="000000"/>
          <w:szCs w:val="24"/>
          <w:lang w:eastAsia="es-CO"/>
        </w:rPr>
        <w:t>s, </w:t>
      </w:r>
      <w:r w:rsidRPr="00BC31E4">
        <w:rPr>
          <w:rFonts w:eastAsia="Times New Roman" w:cs="Times New Roman"/>
          <w:i/>
          <w:iCs/>
          <w:color w:val="000000"/>
          <w:szCs w:val="24"/>
          <w:lang w:eastAsia="es-CO"/>
        </w:rPr>
        <w:t>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w:t>
      </w:r>
      <w:r w:rsidRPr="00BC31E4">
        <w:rPr>
          <w:rFonts w:eastAsia="Times New Roman" w:cs="Times New Roman"/>
          <w:color w:val="000000"/>
          <w:szCs w:val="24"/>
          <w:lang w:eastAsia="es-CO"/>
        </w:rPr>
        <w:t>y </w:t>
      </w:r>
      <w:r w:rsidRPr="00BC31E4">
        <w:rPr>
          <w:rFonts w:eastAsia="Times New Roman" w:cs="Times New Roman"/>
          <w:i/>
          <w:iCs/>
          <w:color w:val="000000"/>
          <w:szCs w:val="24"/>
          <w:lang w:eastAsia="es-CO"/>
        </w:rPr>
        <w:t>condiciones que autorice el Gobierno Nacional.</w:t>
      </w:r>
      <w:r w:rsidRPr="00BC31E4">
        <w:rPr>
          <w:rFonts w:eastAsia="Times New Roman" w:cs="Times New Roman"/>
          <w:color w:val="000000"/>
          <w:szCs w:val="24"/>
          <w:lang w:eastAsia="es-CO"/>
        </w:rPr>
        <w:t> </w:t>
      </w:r>
    </w:p>
    <w:p w14:paraId="24F69E88" w14:textId="77777777" w:rsidR="00A64D50" w:rsidRPr="00BC31E4"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i/>
          <w:iCs/>
          <w:color w:val="000000"/>
          <w:szCs w:val="24"/>
          <w:lang w:eastAsia="es-CO"/>
        </w:rPr>
        <w:t>Lo dispuesto en el pre</w:t>
      </w:r>
      <w:r w:rsidRPr="00BC31E4">
        <w:rPr>
          <w:rFonts w:eastAsia="Times New Roman" w:cs="Times New Roman"/>
          <w:color w:val="000000"/>
          <w:szCs w:val="24"/>
          <w:lang w:eastAsia="es-CO"/>
        </w:rPr>
        <w:t>s</w:t>
      </w:r>
      <w:r w:rsidRPr="00BC31E4">
        <w:rPr>
          <w:rFonts w:eastAsia="Times New Roman" w:cs="Times New Roman"/>
          <w:i/>
          <w:iCs/>
          <w:color w:val="000000"/>
          <w:szCs w:val="24"/>
          <w:lang w:eastAsia="es-CO"/>
        </w:rPr>
        <w:t>ente artículo no impide el reconocimiento fiscal de los pa</w:t>
      </w:r>
      <w:r w:rsidRPr="00BC31E4">
        <w:rPr>
          <w:rFonts w:eastAsia="Times New Roman" w:cs="Times New Roman"/>
          <w:color w:val="000000"/>
          <w:szCs w:val="24"/>
          <w:lang w:eastAsia="es-CO"/>
        </w:rPr>
        <w:t>g</w:t>
      </w:r>
      <w:r w:rsidRPr="00BC31E4">
        <w:rPr>
          <w:rFonts w:eastAsia="Times New Roman" w:cs="Times New Roman"/>
          <w:i/>
          <w:iCs/>
          <w:color w:val="000000"/>
          <w:szCs w:val="24"/>
          <w:lang w:eastAsia="es-CO"/>
        </w:rPr>
        <w:t>os en especie ni la utilización de losdemás modos de extinción de las obligaciones distintos al pago, previstos en el artículo 16</w:t>
      </w:r>
      <w:r w:rsidRPr="00BC31E4">
        <w:rPr>
          <w:rFonts w:eastAsia="Times New Roman" w:cs="Times New Roman"/>
          <w:color w:val="000000"/>
          <w:szCs w:val="24"/>
          <w:lang w:eastAsia="es-CO"/>
        </w:rPr>
        <w:t>2</w:t>
      </w:r>
      <w:r w:rsidRPr="00BC31E4">
        <w:rPr>
          <w:rFonts w:eastAsia="Times New Roman" w:cs="Times New Roman"/>
          <w:i/>
          <w:iCs/>
          <w:color w:val="000000"/>
          <w:szCs w:val="24"/>
          <w:lang w:eastAsia="es-CO"/>
        </w:rPr>
        <w:t>5 del Código Civil y demás normas concordantes.</w:t>
      </w:r>
    </w:p>
    <w:p w14:paraId="242C8A2B" w14:textId="77777777" w:rsidR="00A64D50" w:rsidRPr="00BC31E4" w:rsidRDefault="00A64D50" w:rsidP="00A64D50">
      <w:pPr>
        <w:spacing w:before="100" w:beforeAutospacing="1" w:after="100" w:afterAutospacing="1"/>
        <w:jc w:val="both"/>
        <w:rPr>
          <w:rFonts w:eastAsia="Times New Roman" w:cs="Times New Roman"/>
          <w:color w:val="000000"/>
          <w:sz w:val="32"/>
          <w:szCs w:val="32"/>
          <w:lang w:eastAsia="es-CO"/>
        </w:rPr>
      </w:pPr>
      <w:r w:rsidRPr="00675E66">
        <w:rPr>
          <w:rFonts w:eastAsia="Times New Roman" w:cs="Times New Roman"/>
          <w:b/>
          <w:bCs/>
          <w:color w:val="000000"/>
          <w:sz w:val="32"/>
          <w:szCs w:val="32"/>
          <w:highlight w:val="green"/>
          <w:lang w:eastAsia="es-CO"/>
        </w:rPr>
        <w:lastRenderedPageBreak/>
        <w:t>1.1.5</w:t>
      </w:r>
      <w:r w:rsidRPr="00675E66">
        <w:rPr>
          <w:rFonts w:eastAsia="Times New Roman" w:cs="Times New Roman"/>
          <w:b/>
          <w:bCs/>
          <w:color w:val="000000"/>
          <w:sz w:val="32"/>
          <w:szCs w:val="32"/>
          <w:highlight w:val="green"/>
          <w:u w:val="single"/>
          <w:lang w:eastAsia="es-CO"/>
        </w:rPr>
        <w:t>.</w:t>
      </w:r>
      <w:r w:rsidRPr="00675E66">
        <w:rPr>
          <w:rFonts w:eastAsia="Times New Roman" w:cs="Times New Roman"/>
          <w:color w:val="000000"/>
          <w:sz w:val="32"/>
          <w:szCs w:val="32"/>
          <w:highlight w:val="green"/>
          <w:u w:val="single"/>
          <w:lang w:eastAsia="es-CO"/>
        </w:rPr>
        <w:t> Así mismo, esta figura se encuentra dentro de los postulados del artículo 1630 del Código Civil, sobre pagos por terceros.</w:t>
      </w:r>
      <w:r w:rsidRPr="00675E66">
        <w:rPr>
          <w:rFonts w:eastAsia="Times New Roman" w:cs="Times New Roman"/>
          <w:color w:val="000000"/>
          <w:sz w:val="32"/>
          <w:szCs w:val="32"/>
          <w:highlight w:val="green"/>
          <w:lang w:eastAsia="es-CO"/>
        </w:rPr>
        <w:t xml:space="preserve"> En consecuencia, cumple con el objetivo perseguido por el espíritu de la norma y adicionalmente, no impide la aceptación de costos, deducciones, pasivos e impuestos que, sin perjuicio de lo señalado, estará sujeta al cumplimiento de los requisitos consignados en el artículo 107 del E.T.</w:t>
      </w:r>
      <w:bookmarkStart w:id="0" w:name="_GoBack"/>
      <w:bookmarkEnd w:id="0"/>
    </w:p>
    <w:p w14:paraId="5BBD6764" w14:textId="7DB60C88" w:rsidR="00A64D50" w:rsidRPr="00BC31E4" w:rsidRDefault="00A64D50" w:rsidP="00A64D50">
      <w:pPr>
        <w:spacing w:before="100" w:beforeAutospacing="1" w:after="100" w:afterAutospacing="1"/>
        <w:jc w:val="both"/>
        <w:rPr>
          <w:rFonts w:eastAsia="Times New Roman" w:cs="Times New Roman"/>
          <w:color w:val="000000"/>
          <w:sz w:val="28"/>
          <w:szCs w:val="28"/>
          <w:lang w:eastAsia="es-CO"/>
        </w:rPr>
      </w:pPr>
      <w:r w:rsidRPr="00BC31E4">
        <w:rPr>
          <w:rFonts w:eastAsia="Times New Roman" w:cs="Times New Roman"/>
          <w:b/>
          <w:bCs/>
          <w:color w:val="000000"/>
          <w:sz w:val="28"/>
          <w:szCs w:val="28"/>
          <w:lang w:eastAsia="es-CO"/>
        </w:rPr>
        <w:t>1.1.6.</w:t>
      </w:r>
      <w:r w:rsidRPr="00BC31E4">
        <w:rPr>
          <w:rFonts w:eastAsia="Times New Roman" w:cs="Times New Roman"/>
          <w:color w:val="000000"/>
          <w:sz w:val="28"/>
          <w:szCs w:val="28"/>
          <w:lang w:eastAsia="es-CO"/>
        </w:rPr>
        <w:t> De igual manera, se confirma las consideraciones de este despacho en casos semejantes, como el planteado en la consulta analizada mediante el Concepto 066917 de diciembre 19 de 2014.</w:t>
      </w:r>
    </w:p>
    <w:p w14:paraId="6B68F5D2" w14:textId="77777777" w:rsidR="00BE1077" w:rsidRPr="00BC31E4" w:rsidRDefault="00BE1077" w:rsidP="00BE1077">
      <w:r w:rsidRPr="00BC31E4">
        <w:t xml:space="preserve">Atentamente, </w:t>
      </w:r>
    </w:p>
    <w:p w14:paraId="34AB796B" w14:textId="77777777" w:rsidR="00BE1077" w:rsidRPr="00BC31E4" w:rsidRDefault="00BE1077" w:rsidP="00BE1077">
      <w:r w:rsidRPr="00BC31E4">
        <w:t xml:space="preserve">LORENZO CASTILLO BARVO </w:t>
      </w:r>
    </w:p>
    <w:p w14:paraId="315DC8BA" w14:textId="77777777" w:rsidR="00BE1077" w:rsidRPr="00BC31E4" w:rsidRDefault="00BE1077" w:rsidP="00BE1077">
      <w:r w:rsidRPr="00BC31E4">
        <w:t>Subdirector de Gestión Normativa y Doctrina (E) Dirección de Gestión Jurídica</w:t>
      </w:r>
    </w:p>
    <w:p w14:paraId="75EA4CA7" w14:textId="77777777" w:rsidR="00BE1077" w:rsidRPr="00BC31E4" w:rsidRDefault="00BE1077" w:rsidP="00BE1077">
      <w:r w:rsidRPr="00BC31E4">
        <w:t>UAE- Dirección de Impuestos y Aduanas Nacionales.</w:t>
      </w:r>
    </w:p>
    <w:p w14:paraId="388B8EA4" w14:textId="77777777" w:rsidR="00BE1077" w:rsidRPr="00BC31E4" w:rsidRDefault="00BE1077" w:rsidP="00BE1077">
      <w:pPr>
        <w:rPr>
          <w:rFonts w:eastAsia="Times New Roman" w:cs="Times New Roman"/>
          <w:color w:val="000000"/>
          <w:sz w:val="28"/>
          <w:szCs w:val="28"/>
          <w:lang w:eastAsia="es-CO"/>
        </w:rPr>
      </w:pPr>
      <w:r w:rsidRPr="00BC31E4">
        <w:t xml:space="preserve"> </w:t>
      </w:r>
      <w:proofErr w:type="spellStart"/>
      <w:r w:rsidRPr="00BC31E4">
        <w:t>Cra</w:t>
      </w:r>
      <w:proofErr w:type="spellEnd"/>
      <w:r w:rsidRPr="00BC31E4">
        <w:t>. 8 No. 6c-38. Piso 4. Edificio San Agustín. Bogotá D.C.</w:t>
      </w:r>
    </w:p>
    <w:p w14:paraId="4C221B61" w14:textId="77777777" w:rsidR="00A64D50" w:rsidRPr="00EB7E90" w:rsidRDefault="00A64D50" w:rsidP="00A64D50">
      <w:pPr>
        <w:spacing w:before="100" w:beforeAutospacing="1" w:after="100" w:afterAutospacing="1"/>
        <w:jc w:val="both"/>
        <w:rPr>
          <w:rFonts w:eastAsia="Times New Roman" w:cs="Times New Roman"/>
          <w:color w:val="000000"/>
          <w:szCs w:val="24"/>
          <w:lang w:eastAsia="es-CO"/>
        </w:rPr>
      </w:pPr>
      <w:r w:rsidRPr="00BC31E4">
        <w:rPr>
          <w:rFonts w:eastAsia="Times New Roman" w:cs="Times New Roman"/>
          <w:color w:val="000000"/>
          <w:szCs w:val="24"/>
          <w:lang w:eastAsia="es-CO"/>
        </w:rPr>
        <w:t>________________________________________________________________________</w:t>
      </w:r>
    </w:p>
    <w:p w14:paraId="53812E7B" w14:textId="77777777" w:rsidR="00A64D50" w:rsidRPr="00EB7E90" w:rsidRDefault="00A64D50" w:rsidP="00A64D50">
      <w:pPr>
        <w:spacing w:before="100" w:beforeAutospacing="1" w:after="100" w:afterAutospacing="1"/>
        <w:jc w:val="both"/>
        <w:rPr>
          <w:rFonts w:eastAsia="Times New Roman" w:cs="Times New Roman"/>
          <w:color w:val="000000"/>
          <w:szCs w:val="24"/>
          <w:lang w:eastAsia="es-CO"/>
        </w:rPr>
      </w:pPr>
      <w:r w:rsidRPr="00EB7E90">
        <w:rPr>
          <w:rFonts w:eastAsia="Times New Roman" w:cs="Times New Roman"/>
          <w:color w:val="000000"/>
          <w:szCs w:val="24"/>
          <w:lang w:eastAsia="es-CO"/>
        </w:rPr>
        <w:t> </w:t>
      </w:r>
    </w:p>
    <w:p w14:paraId="1DE10126" w14:textId="77777777" w:rsidR="00A64D50" w:rsidRPr="00EB7E90" w:rsidRDefault="00A64D50" w:rsidP="00A64D50">
      <w:pPr>
        <w:jc w:val="both"/>
        <w:rPr>
          <w:rFonts w:cs="Times New Roman"/>
          <w:szCs w:val="24"/>
        </w:rPr>
      </w:pPr>
    </w:p>
    <w:p w14:paraId="483CD020" w14:textId="77777777" w:rsidR="00A64D50" w:rsidRPr="00F22E0C" w:rsidRDefault="00A64D50" w:rsidP="00A64D50">
      <w:pPr>
        <w:spacing w:after="285"/>
        <w:jc w:val="both"/>
        <w:rPr>
          <w:rFonts w:eastAsia="Times New Roman" w:cs="Times New Roman"/>
          <w:szCs w:val="24"/>
          <w:lang w:eastAsia="es-ES"/>
        </w:rPr>
      </w:pPr>
    </w:p>
    <w:sectPr w:rsidR="00A64D50" w:rsidRPr="00F22E0C"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9"/>
    <w:rsid w:val="001E311E"/>
    <w:rsid w:val="00434AE6"/>
    <w:rsid w:val="00602135"/>
    <w:rsid w:val="00675E66"/>
    <w:rsid w:val="007F5CC8"/>
    <w:rsid w:val="008779BE"/>
    <w:rsid w:val="00A64D50"/>
    <w:rsid w:val="00B27539"/>
    <w:rsid w:val="00BC31E4"/>
    <w:rsid w:val="00BE1077"/>
    <w:rsid w:val="00F22E0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8F7E"/>
  <w15:chartTrackingRefBased/>
  <w15:docId w15:val="{39F514D2-810E-4414-8F9D-5CD4BB9F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26863"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20" Type="http://schemas.openxmlformats.org/officeDocument/2006/relationships/hyperlink" Target="https://www.ceta.org.co/html/vista_de_un_articulo.asp?Norma=155" TargetMode="Externa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11" Type="http://schemas.openxmlformats.org/officeDocument/2006/relationships/hyperlink" Target="https://www.ceta.org.co/html/vista_de_un_articulo.asp?Norma=957" TargetMode="External"/><Relationship Id="rId24" Type="http://schemas.openxmlformats.org/officeDocument/2006/relationships/theme" Target="theme/theme1.xml"/><Relationship Id="rId5" Type="http://schemas.openxmlformats.org/officeDocument/2006/relationships/hyperlink" Target="https://www.ceta.org.co/html/vista_de_un_articulo.asp?Norma=957" TargetMode="External"/><Relationship Id="rId15" Type="http://schemas.openxmlformats.org/officeDocument/2006/relationships/hyperlink" Target="https://www.ceta.org.co/html/vista_de_un_articulo.asp?Norma=761"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26863" TargetMode="External"/><Relationship Id="rId19"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26863"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762" TargetMode="External"/><Relationship Id="rId22" Type="http://schemas.openxmlformats.org/officeDocument/2006/relationships/hyperlink" Target="https://www.ceta.org.co/html/vista_de_un_articulo.asp?Norma=26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2499</Words>
  <Characters>13750</Characters>
  <Application>Microsoft Office Word</Application>
  <DocSecurity>0</DocSecurity>
  <Lines>114</Lines>
  <Paragraphs>32</Paragraphs>
  <ScaleCrop>false</ScaleCrop>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7</cp:revision>
  <dcterms:created xsi:type="dcterms:W3CDTF">2020-02-14T13:01:00Z</dcterms:created>
  <dcterms:modified xsi:type="dcterms:W3CDTF">2020-03-04T16:40:00Z</dcterms:modified>
</cp:coreProperties>
</file>