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27CA" w14:textId="77777777" w:rsidR="00A33976" w:rsidRPr="00A33976" w:rsidRDefault="00A33976" w:rsidP="00A33976">
      <w:pPr>
        <w:jc w:val="center"/>
        <w:rPr>
          <w:rFonts w:eastAsia="Times New Roman" w:cs="Times New Roman"/>
          <w:szCs w:val="24"/>
          <w:lang w:eastAsia="es-ES"/>
        </w:rPr>
      </w:pPr>
      <w:r w:rsidRPr="00A33976">
        <w:rPr>
          <w:rFonts w:eastAsia="Times New Roman" w:cs="Times New Roman"/>
          <w:b/>
          <w:bCs/>
          <w:szCs w:val="24"/>
          <w:lang w:val="es-CO" w:eastAsia="es-ES"/>
        </w:rPr>
        <w:t xml:space="preserve">OFICIO </w:t>
      </w:r>
      <w:proofErr w:type="spellStart"/>
      <w:r w:rsidRPr="00A33976">
        <w:rPr>
          <w:rFonts w:eastAsia="Times New Roman" w:cs="Times New Roman"/>
          <w:b/>
          <w:bCs/>
          <w:szCs w:val="24"/>
          <w:lang w:val="es-CO" w:eastAsia="es-ES"/>
        </w:rPr>
        <w:t>Nº</w:t>
      </w:r>
      <w:proofErr w:type="spellEnd"/>
      <w:r w:rsidRPr="00A33976">
        <w:rPr>
          <w:rFonts w:eastAsia="Times New Roman" w:cs="Times New Roman"/>
          <w:b/>
          <w:bCs/>
          <w:szCs w:val="24"/>
          <w:lang w:val="es-CO" w:eastAsia="es-ES"/>
        </w:rPr>
        <w:t xml:space="preserve"> 2782 [902680]</w:t>
      </w:r>
    </w:p>
    <w:p w14:paraId="0CA54C2C" w14:textId="77777777" w:rsidR="00A33976" w:rsidRPr="00A33976" w:rsidRDefault="00A33976" w:rsidP="00A33976">
      <w:pPr>
        <w:jc w:val="center"/>
        <w:rPr>
          <w:rFonts w:eastAsia="Times New Roman" w:cs="Times New Roman"/>
          <w:szCs w:val="24"/>
          <w:lang w:eastAsia="es-ES"/>
        </w:rPr>
      </w:pPr>
      <w:r w:rsidRPr="00A33976">
        <w:rPr>
          <w:rFonts w:eastAsia="Times New Roman" w:cs="Times New Roman"/>
          <w:b/>
          <w:bCs/>
          <w:szCs w:val="24"/>
          <w:lang w:val="es-CO" w:eastAsia="es-ES"/>
        </w:rPr>
        <w:t>04-12-2019</w:t>
      </w:r>
    </w:p>
    <w:p w14:paraId="3C67FB04" w14:textId="77777777" w:rsidR="00A33976" w:rsidRPr="00A33976" w:rsidRDefault="00A33976" w:rsidP="00A33976">
      <w:pPr>
        <w:jc w:val="center"/>
        <w:rPr>
          <w:rFonts w:eastAsia="Times New Roman" w:cs="Times New Roman"/>
          <w:szCs w:val="24"/>
          <w:lang w:eastAsia="es-ES"/>
        </w:rPr>
      </w:pPr>
      <w:r w:rsidRPr="00A33976">
        <w:rPr>
          <w:rFonts w:eastAsia="Times New Roman" w:cs="Times New Roman"/>
          <w:b/>
          <w:bCs/>
          <w:szCs w:val="24"/>
          <w:lang w:val="es-CO" w:eastAsia="es-ES"/>
        </w:rPr>
        <w:t>DIAN</w:t>
      </w:r>
    </w:p>
    <w:p w14:paraId="7C15A9C8"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61F5BFC"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5C18B5FA"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Subdirección de Gestión Normativa y Doctrina</w:t>
      </w:r>
    </w:p>
    <w:p w14:paraId="3B0A1315"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Bogotá, D.C.</w:t>
      </w:r>
    </w:p>
    <w:p w14:paraId="0C8AEF9D"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100208221-002782</w:t>
      </w:r>
    </w:p>
    <w:p w14:paraId="49170B7D"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14208FC2" w14:textId="77777777" w:rsidR="00A33976" w:rsidRPr="00A33976" w:rsidRDefault="00A33976" w:rsidP="00A33976">
      <w:pPr>
        <w:jc w:val="both"/>
        <w:rPr>
          <w:rFonts w:eastAsia="Times New Roman" w:cs="Times New Roman"/>
          <w:szCs w:val="24"/>
          <w:lang w:eastAsia="es-ES"/>
        </w:rPr>
      </w:pPr>
      <w:proofErr w:type="spellStart"/>
      <w:r w:rsidRPr="00A33976">
        <w:rPr>
          <w:rFonts w:eastAsia="Times New Roman" w:cs="Times New Roman"/>
          <w:b/>
          <w:bCs/>
          <w:szCs w:val="24"/>
          <w:lang w:val="es-CO" w:eastAsia="es-ES"/>
        </w:rPr>
        <w:t>Ref</w:t>
      </w:r>
      <w:proofErr w:type="spellEnd"/>
      <w:r w:rsidRPr="00A33976">
        <w:rPr>
          <w:rFonts w:eastAsia="Times New Roman" w:cs="Times New Roman"/>
          <w:b/>
          <w:bCs/>
          <w:szCs w:val="24"/>
          <w:lang w:val="es-CO" w:eastAsia="es-ES"/>
        </w:rPr>
        <w:t>:</w:t>
      </w:r>
      <w:r w:rsidRPr="00A33976">
        <w:rPr>
          <w:rFonts w:eastAsia="Times New Roman" w:cs="Times New Roman"/>
          <w:szCs w:val="24"/>
          <w:lang w:val="es-CO" w:eastAsia="es-ES"/>
        </w:rPr>
        <w:t> Radicado 100087874 del 15/10/2019</w:t>
      </w:r>
    </w:p>
    <w:tbl>
      <w:tblPr>
        <w:tblW w:w="0" w:type="auto"/>
        <w:tblCellMar>
          <w:left w:w="0" w:type="dxa"/>
          <w:right w:w="0" w:type="dxa"/>
        </w:tblCellMar>
        <w:tblLook w:val="04A0" w:firstRow="1" w:lastRow="0" w:firstColumn="1" w:lastColumn="0" w:noHBand="0" w:noVBand="1"/>
      </w:tblPr>
      <w:tblGrid>
        <w:gridCol w:w="1969"/>
        <w:gridCol w:w="222"/>
        <w:gridCol w:w="222"/>
        <w:gridCol w:w="4962"/>
      </w:tblGrid>
      <w:tr w:rsidR="00A33976" w:rsidRPr="00A33976" w14:paraId="47D8793A" w14:textId="77777777" w:rsidTr="00A33976">
        <w:tc>
          <w:tcPr>
            <w:tcW w:w="0" w:type="auto"/>
            <w:tcBorders>
              <w:top w:val="nil"/>
              <w:left w:val="nil"/>
              <w:bottom w:val="nil"/>
              <w:right w:val="nil"/>
            </w:tcBorders>
            <w:shd w:val="clear" w:color="auto" w:fill="auto"/>
            <w:tcMar>
              <w:top w:w="0" w:type="dxa"/>
              <w:left w:w="108" w:type="dxa"/>
              <w:bottom w:w="0" w:type="dxa"/>
              <w:right w:w="108" w:type="dxa"/>
            </w:tcMar>
            <w:hideMark/>
          </w:tcPr>
          <w:p w14:paraId="4037B4AF"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1B61AF"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7F54B0"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E09CCF"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Impuesto sobre la renta y complementarios</w:t>
            </w:r>
          </w:p>
          <w:p w14:paraId="77EC85DD"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Retención en la fuente</w:t>
            </w:r>
          </w:p>
        </w:tc>
      </w:tr>
      <w:tr w:rsidR="00A33976" w:rsidRPr="00A33976" w14:paraId="5B6C5270" w14:textId="77777777" w:rsidTr="00A33976">
        <w:tc>
          <w:tcPr>
            <w:tcW w:w="0" w:type="auto"/>
            <w:tcBorders>
              <w:top w:val="nil"/>
              <w:left w:val="nil"/>
              <w:bottom w:val="nil"/>
              <w:right w:val="nil"/>
            </w:tcBorders>
            <w:shd w:val="clear" w:color="auto" w:fill="auto"/>
            <w:tcMar>
              <w:top w:w="0" w:type="dxa"/>
              <w:left w:w="108" w:type="dxa"/>
              <w:bottom w:w="0" w:type="dxa"/>
              <w:right w:w="108" w:type="dxa"/>
            </w:tcMar>
            <w:hideMark/>
          </w:tcPr>
          <w:p w14:paraId="56AF8F58"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1B04AD"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8F354B"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FC4CEC"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Ingresos</w:t>
            </w:r>
          </w:p>
          <w:p w14:paraId="211FC8F0"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Retención en la Fuente por Pagos al Exterior</w:t>
            </w:r>
          </w:p>
        </w:tc>
      </w:tr>
      <w:tr w:rsidR="00A33976" w:rsidRPr="00A33976" w14:paraId="5CED7FF2" w14:textId="77777777" w:rsidTr="00A33976">
        <w:tc>
          <w:tcPr>
            <w:tcW w:w="0" w:type="auto"/>
            <w:tcBorders>
              <w:top w:val="nil"/>
              <w:left w:val="nil"/>
              <w:bottom w:val="nil"/>
              <w:right w:val="nil"/>
            </w:tcBorders>
            <w:shd w:val="clear" w:color="auto" w:fill="auto"/>
            <w:tcMar>
              <w:top w:w="0" w:type="dxa"/>
              <w:left w:w="108" w:type="dxa"/>
              <w:bottom w:w="0" w:type="dxa"/>
              <w:right w:w="108" w:type="dxa"/>
            </w:tcMar>
            <w:hideMark/>
          </w:tcPr>
          <w:p w14:paraId="65A375D1"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EBB8AE"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18B850" w14:textId="77777777" w:rsidR="00A33976" w:rsidRPr="00A33976" w:rsidRDefault="00A33976" w:rsidP="00A33976">
            <w:pPr>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63AB61"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Artículos </w:t>
            </w:r>
            <w:hyperlink r:id="rId4" w:tooltip="Estatuto Tributario CETA" w:history="1">
              <w:r w:rsidRPr="00A33976">
                <w:rPr>
                  <w:rFonts w:eastAsia="Times New Roman" w:cs="Times New Roman"/>
                  <w:szCs w:val="24"/>
                  <w:lang w:val="es-CO" w:eastAsia="es-ES"/>
                </w:rPr>
                <w:t>12</w:t>
              </w:r>
            </w:hyperlink>
            <w:r w:rsidRPr="00A33976">
              <w:rPr>
                <w:rFonts w:eastAsia="Times New Roman" w:cs="Times New Roman"/>
                <w:szCs w:val="24"/>
                <w:lang w:val="es-CO" w:eastAsia="es-ES"/>
              </w:rPr>
              <w:t>, </w:t>
            </w:r>
            <w:hyperlink r:id="rId5" w:tooltip="Estatuto Tributario CETA" w:history="1">
              <w:r w:rsidRPr="00A33976">
                <w:rPr>
                  <w:rFonts w:eastAsia="Times New Roman" w:cs="Times New Roman"/>
                  <w:szCs w:val="24"/>
                  <w:lang w:val="es-CO" w:eastAsia="es-ES"/>
                </w:rPr>
                <w:t>24</w:t>
              </w:r>
            </w:hyperlink>
            <w:r w:rsidRPr="00A33976">
              <w:rPr>
                <w:rFonts w:eastAsia="Times New Roman" w:cs="Times New Roman"/>
                <w:szCs w:val="24"/>
                <w:lang w:val="es-CO" w:eastAsia="es-ES"/>
              </w:rPr>
              <w:t>, </w:t>
            </w:r>
            <w:hyperlink r:id="rId6" w:tooltip="Estatuto Tributario CETA" w:history="1">
              <w:r w:rsidRPr="00A33976">
                <w:rPr>
                  <w:rFonts w:eastAsia="Times New Roman" w:cs="Times New Roman"/>
                  <w:szCs w:val="24"/>
                  <w:lang w:val="es-CO" w:eastAsia="es-ES"/>
                </w:rPr>
                <w:t>325</w:t>
              </w:r>
            </w:hyperlink>
            <w:r w:rsidRPr="00A33976">
              <w:rPr>
                <w:rFonts w:eastAsia="Times New Roman" w:cs="Times New Roman"/>
                <w:szCs w:val="24"/>
                <w:lang w:val="es-CO" w:eastAsia="es-ES"/>
              </w:rPr>
              <w:t>, </w:t>
            </w:r>
            <w:hyperlink r:id="rId7" w:tooltip="Estatuto Tributario CETA" w:history="1">
              <w:r w:rsidRPr="00A33976">
                <w:rPr>
                  <w:rFonts w:eastAsia="Times New Roman" w:cs="Times New Roman"/>
                  <w:szCs w:val="24"/>
                  <w:lang w:val="es-CO" w:eastAsia="es-ES"/>
                </w:rPr>
                <w:t>419</w:t>
              </w:r>
            </w:hyperlink>
            <w:r w:rsidRPr="00A33976">
              <w:rPr>
                <w:rFonts w:eastAsia="Times New Roman" w:cs="Times New Roman"/>
                <w:szCs w:val="24"/>
                <w:lang w:val="es-CO" w:eastAsia="es-ES"/>
              </w:rPr>
              <w:t> del Estatuto Tributario</w:t>
            </w:r>
          </w:p>
          <w:p w14:paraId="0DB28BAC"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Artículo 78 de la Ley 1111 de 2006</w:t>
            </w:r>
          </w:p>
          <w:p w14:paraId="15A4FA63"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Oficio 094485 del 17 de noviembre de 2009</w:t>
            </w:r>
          </w:p>
          <w:p w14:paraId="75266494"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Oficio 004989 del 28 de febrero de 2019</w:t>
            </w:r>
          </w:p>
        </w:tc>
      </w:tr>
    </w:tbl>
    <w:p w14:paraId="1E523C43"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53DE858B"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De conformidad con el artículo 20 del Decreto número 4048 de 2008 este despacho está facultado para absolver las consultas escritas que se formulen sobre la interpretación y en lo de competencia de la Dirección de Impuestos y Aduanas Nacionales.</w:t>
      </w:r>
    </w:p>
    <w:p w14:paraId="1AB60FF9"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558F7B34"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Mediante el radicado de la referencia el peticionario pregunta si se encuentra vigente el </w:t>
      </w:r>
      <w:hyperlink r:id="rId8" w:tooltip="Estatuto Tributario CETA" w:history="1">
        <w:r w:rsidRPr="00A33976">
          <w:rPr>
            <w:rFonts w:eastAsia="Times New Roman" w:cs="Times New Roman"/>
            <w:szCs w:val="24"/>
            <w:lang w:val="es-CO" w:eastAsia="es-ES"/>
          </w:rPr>
          <w:t>artículo 325</w:t>
        </w:r>
      </w:hyperlink>
      <w:r w:rsidRPr="00A33976">
        <w:rPr>
          <w:rFonts w:eastAsia="Times New Roman" w:cs="Times New Roman"/>
          <w:szCs w:val="24"/>
          <w:lang w:val="es-CO" w:eastAsia="es-ES"/>
        </w:rPr>
        <w:t> del Estatuto Tributario y debe exigirse esta certificación pese a la derogatoria de las normas que regulaban el impuesto de remesas. También pregunta si con el cumplimiento de lo preceptuado en el </w:t>
      </w:r>
      <w:hyperlink r:id="rId9" w:tooltip="Estatuto Tributario CETA" w:history="1">
        <w:r w:rsidRPr="00A33976">
          <w:rPr>
            <w:rFonts w:eastAsia="Times New Roman" w:cs="Times New Roman"/>
            <w:szCs w:val="24"/>
            <w:lang w:val="es-CO" w:eastAsia="es-ES"/>
          </w:rPr>
          <w:t>artículo 419</w:t>
        </w:r>
      </w:hyperlink>
      <w:r w:rsidRPr="00A33976">
        <w:rPr>
          <w:rFonts w:eastAsia="Times New Roman" w:cs="Times New Roman"/>
          <w:szCs w:val="24"/>
          <w:lang w:val="es-CO" w:eastAsia="es-ES"/>
        </w:rPr>
        <w:t> </w:t>
      </w:r>
      <w:proofErr w:type="spellStart"/>
      <w:r w:rsidRPr="00A33976">
        <w:rPr>
          <w:rFonts w:eastAsia="Times New Roman" w:cs="Times New Roman"/>
          <w:szCs w:val="24"/>
          <w:lang w:val="es-CO" w:eastAsia="es-ES"/>
        </w:rPr>
        <w:t>ibídem</w:t>
      </w:r>
      <w:proofErr w:type="spellEnd"/>
      <w:r w:rsidRPr="00A33976">
        <w:rPr>
          <w:rFonts w:eastAsia="Times New Roman" w:cs="Times New Roman"/>
          <w:szCs w:val="24"/>
          <w:lang w:val="es-CO" w:eastAsia="es-ES"/>
        </w:rPr>
        <w:t xml:space="preserve"> no se requiere esta certificación y en caso negativo qué debe contener esta certificación.</w:t>
      </w:r>
    </w:p>
    <w:p w14:paraId="7C76591F"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345F54B"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Sobre el particular se considera:</w:t>
      </w:r>
    </w:p>
    <w:p w14:paraId="0DE021FB"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A844497"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El </w:t>
      </w:r>
      <w:hyperlink r:id="rId10" w:tooltip="Estatuto Tributario CETA" w:history="1">
        <w:r w:rsidRPr="00A33976">
          <w:rPr>
            <w:rFonts w:eastAsia="Times New Roman" w:cs="Times New Roman"/>
            <w:szCs w:val="24"/>
            <w:lang w:val="es-CO" w:eastAsia="es-ES"/>
          </w:rPr>
          <w:t>artículo 325</w:t>
        </w:r>
      </w:hyperlink>
      <w:r w:rsidRPr="00A33976">
        <w:rPr>
          <w:rFonts w:eastAsia="Times New Roman" w:cs="Times New Roman"/>
          <w:szCs w:val="24"/>
          <w:lang w:val="es-CO" w:eastAsia="es-ES"/>
        </w:rPr>
        <w:t> del Estatuto Tributario establece:</w:t>
      </w:r>
    </w:p>
    <w:p w14:paraId="6F484DB6"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43DA3ECC" w14:textId="77777777" w:rsidR="00A33976" w:rsidRPr="00A33976" w:rsidRDefault="00A33976" w:rsidP="00A33976">
      <w:pPr>
        <w:ind w:left="284"/>
        <w:jc w:val="both"/>
        <w:rPr>
          <w:rFonts w:eastAsia="Times New Roman" w:cs="Times New Roman"/>
          <w:szCs w:val="24"/>
          <w:lang w:eastAsia="es-ES"/>
        </w:rPr>
      </w:pPr>
      <w:r w:rsidRPr="00AE53FC">
        <w:rPr>
          <w:rFonts w:eastAsia="Times New Roman" w:cs="Times New Roman"/>
          <w:i/>
          <w:iCs/>
          <w:szCs w:val="24"/>
          <w:highlight w:val="green"/>
          <w:lang w:val="es-CO" w:eastAsia="es-ES"/>
        </w:rPr>
        <w:t>“</w:t>
      </w:r>
      <w:hyperlink r:id="rId11" w:tooltip="Estatuto Tributario CETA" w:history="1">
        <w:r w:rsidRPr="00AE53FC">
          <w:rPr>
            <w:rFonts w:eastAsia="Times New Roman" w:cs="Times New Roman"/>
            <w:b/>
            <w:bCs/>
            <w:i/>
            <w:iCs/>
            <w:szCs w:val="24"/>
            <w:highlight w:val="green"/>
            <w:lang w:val="es-CO" w:eastAsia="es-ES"/>
          </w:rPr>
          <w:t>Artículo 325</w:t>
        </w:r>
      </w:hyperlink>
      <w:r w:rsidRPr="00AE53FC">
        <w:rPr>
          <w:rFonts w:eastAsia="Times New Roman" w:cs="Times New Roman"/>
          <w:b/>
          <w:bCs/>
          <w:i/>
          <w:iCs/>
          <w:szCs w:val="24"/>
          <w:highlight w:val="green"/>
          <w:lang w:val="es-CO" w:eastAsia="es-ES"/>
        </w:rPr>
        <w:t> </w:t>
      </w:r>
      <w:r w:rsidRPr="00AE53FC">
        <w:rPr>
          <w:rFonts w:eastAsia="Times New Roman" w:cs="Times New Roman"/>
          <w:i/>
          <w:iCs/>
          <w:szCs w:val="24"/>
          <w:highlight w:val="green"/>
          <w:lang w:val="es-CO" w:eastAsia="es-ES"/>
        </w:rPr>
        <w:t>. Requisitos para los giros al exterior. Las entidades encargadas de tramitar los giros o remesas al exterior de sumas </w:t>
      </w:r>
      <w:r w:rsidRPr="00AE53FC">
        <w:rPr>
          <w:rFonts w:eastAsia="Times New Roman" w:cs="Times New Roman"/>
          <w:i/>
          <w:iCs/>
          <w:szCs w:val="24"/>
          <w:highlight w:val="green"/>
          <w:u w:val="single"/>
          <w:lang w:val="es-CO" w:eastAsia="es-ES"/>
        </w:rPr>
        <w:t>que constituyan renta o ganancia ocasional, deberán exigir que la declaración de cambios vaya acompañada de una certificación de revisor fiscal o contador público, según el caso, en la cual conste el pago del impuesto de renta y de remesas,</w:t>
      </w:r>
      <w:r w:rsidRPr="00AE53FC">
        <w:rPr>
          <w:rFonts w:eastAsia="Times New Roman" w:cs="Times New Roman"/>
          <w:i/>
          <w:iCs/>
          <w:szCs w:val="24"/>
          <w:highlight w:val="green"/>
          <w:lang w:val="es-CO" w:eastAsia="es-ES"/>
        </w:rPr>
        <w:t> según corresponda, o de las razones por las cuales dicho pago no procede.”</w:t>
      </w:r>
    </w:p>
    <w:p w14:paraId="26A7DF5E"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1130E906"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val="es-CO" w:eastAsia="es-ES"/>
        </w:rPr>
        <w:t>(Subrayado fuera del texto)</w:t>
      </w:r>
    </w:p>
    <w:p w14:paraId="1C6856C9"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9D61B0F"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Nótese como la norma consagra como requisito para poder realizar la transferencia, que la declaración de cambios vaya acompañada de la certificación del pago del impuesto sobre la renta. Sobre este punto la doctrina vigente (oficio 094485 del 17 de noviembre de 2009) ha interpretado que en caso que el pago no proceda, se debe sustentar por qué dicho pago no procede:</w:t>
      </w:r>
    </w:p>
    <w:p w14:paraId="55D8F793"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7F9E962B"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i/>
          <w:iCs/>
          <w:szCs w:val="24"/>
          <w:lang w:val="es-CO" w:eastAsia="es-ES"/>
        </w:rPr>
        <w:t>“(...) no obstante de conformidad con el </w:t>
      </w:r>
      <w:hyperlink r:id="rId12" w:tooltip="Estatuto Tributario CETA" w:history="1">
        <w:r w:rsidRPr="00A33976">
          <w:rPr>
            <w:rFonts w:eastAsia="Times New Roman" w:cs="Times New Roman"/>
            <w:i/>
            <w:iCs/>
            <w:szCs w:val="24"/>
            <w:lang w:val="es-CO" w:eastAsia="es-ES"/>
          </w:rPr>
          <w:t>artículo 325</w:t>
        </w:r>
      </w:hyperlink>
      <w:r w:rsidRPr="00A33976">
        <w:rPr>
          <w:rFonts w:eastAsia="Times New Roman" w:cs="Times New Roman"/>
          <w:i/>
          <w:iCs/>
          <w:szCs w:val="24"/>
          <w:lang w:val="es-CO" w:eastAsia="es-ES"/>
        </w:rPr>
        <w:t> del Estatuto Tributario es requisito para poder realizar la transferencia que la declaración de cambios vaya acompañada de la certificación del pago del impuesto sobre la renta o de los motivos por los cuales dicho pago no procede, la constancia debe ser expedida por contador o revisor fiscal según el caso. </w:t>
      </w:r>
      <w:r w:rsidRPr="00AE53FC">
        <w:rPr>
          <w:rFonts w:eastAsia="Times New Roman" w:cs="Times New Roman"/>
          <w:b/>
          <w:bCs/>
          <w:i/>
          <w:iCs/>
          <w:szCs w:val="24"/>
          <w:highlight w:val="green"/>
          <w:lang w:val="es-CO" w:eastAsia="es-ES"/>
        </w:rPr>
        <w:t>Si la declaración de cambios no va acompañada de la constancia de pago o de los motivos por los cuales no procede el pago, no es posible efectuar la transferencia al exterior de las utilidades.”</w:t>
      </w:r>
    </w:p>
    <w:p w14:paraId="01F3F2AD"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06B17E7D"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val="es-CO" w:eastAsia="es-ES"/>
        </w:rPr>
        <w:t>(Negrilla fuera del texto)</w:t>
      </w:r>
    </w:p>
    <w:p w14:paraId="624E3842"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DD12B4F"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Así las cosas, en el caso de los giros o remesas al exterior el propósito del legislador es que se establezca si las sumas constituyen o no renta o ganancia ocasional.</w:t>
      </w:r>
    </w:p>
    <w:p w14:paraId="0C776379"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5B2FD07A"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lastRenderedPageBreak/>
        <w:t>En este punto vale la pena mencionar que el </w:t>
      </w:r>
      <w:hyperlink r:id="rId13" w:tooltip="Estatuto Tributario CETA" w:history="1">
        <w:r w:rsidRPr="00A33976">
          <w:rPr>
            <w:rFonts w:eastAsia="Times New Roman" w:cs="Times New Roman"/>
            <w:szCs w:val="24"/>
            <w:lang w:val="es-CO" w:eastAsia="es-ES"/>
          </w:rPr>
          <w:t>artículo 12</w:t>
        </w:r>
      </w:hyperlink>
      <w:r w:rsidRPr="00A33976">
        <w:rPr>
          <w:rFonts w:eastAsia="Times New Roman" w:cs="Times New Roman"/>
          <w:szCs w:val="24"/>
          <w:lang w:val="es-CO" w:eastAsia="es-ES"/>
        </w:rPr>
        <w:t> del Estatuto Tributario establece que las sociedades y entidades nacionales son gravadas, tanto sobre sus rentas y ganancias ocasionales de fuente nacional como sobre las que se originen de fuentes fuera de Colombia y las sociedades y entidades extranjeras son gravadas únicamente sobre sus rentas y ganancias ocasionales de fuente nacional.</w:t>
      </w:r>
    </w:p>
    <w:p w14:paraId="545DC903"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2CF55920" w14:textId="77777777" w:rsidR="00A33976" w:rsidRPr="00AE53FC" w:rsidRDefault="00A33976" w:rsidP="00A33976">
      <w:pPr>
        <w:jc w:val="both"/>
        <w:rPr>
          <w:rFonts w:eastAsia="Times New Roman" w:cs="Times New Roman"/>
          <w:szCs w:val="24"/>
          <w:highlight w:val="green"/>
          <w:lang w:eastAsia="es-ES"/>
        </w:rPr>
      </w:pPr>
      <w:r w:rsidRPr="00AE53FC">
        <w:rPr>
          <w:rFonts w:eastAsia="Times New Roman" w:cs="Times New Roman"/>
          <w:szCs w:val="24"/>
          <w:highlight w:val="green"/>
          <w:lang w:val="es-CO" w:eastAsia="es-ES"/>
        </w:rPr>
        <w:t>El </w:t>
      </w:r>
      <w:hyperlink r:id="rId14" w:tooltip="Estatuto Tributario CETA" w:history="1">
        <w:r w:rsidRPr="00AE53FC">
          <w:rPr>
            <w:rFonts w:eastAsia="Times New Roman" w:cs="Times New Roman"/>
            <w:szCs w:val="24"/>
            <w:highlight w:val="green"/>
            <w:lang w:val="es-CO" w:eastAsia="es-ES"/>
          </w:rPr>
          <w:t>artículo 24</w:t>
        </w:r>
      </w:hyperlink>
      <w:r w:rsidRPr="00AE53FC">
        <w:rPr>
          <w:rFonts w:eastAsia="Times New Roman" w:cs="Times New Roman"/>
          <w:szCs w:val="24"/>
          <w:highlight w:val="green"/>
          <w:lang w:val="es-CO" w:eastAsia="es-ES"/>
        </w:rPr>
        <w:t> de este estatuto además de enunciar unos conceptos como ingresos de fuente nacional, provee una regla general para establecer si se está frente a esta situación, la cual se relaciona con la explotación de bienes materiales e inmateriales dentro del país, la prestación de servicios dentro de su territorio, de manera permanente o transitoria, con o sin establecimiento propio, así como los ingresos obtenidos en la enajenación de bienes materiales e inmateriales, a cualquier título, que se encuentren dentro del país al momento de su enajenación.</w:t>
      </w:r>
    </w:p>
    <w:p w14:paraId="5B68DCB7" w14:textId="77777777" w:rsidR="00A33976" w:rsidRPr="00AE53FC" w:rsidRDefault="00A33976" w:rsidP="00A33976">
      <w:pPr>
        <w:jc w:val="both"/>
        <w:rPr>
          <w:rFonts w:eastAsia="Times New Roman" w:cs="Times New Roman"/>
          <w:szCs w:val="24"/>
          <w:highlight w:val="green"/>
          <w:lang w:eastAsia="es-ES"/>
        </w:rPr>
      </w:pPr>
      <w:r w:rsidRPr="00AE53FC">
        <w:rPr>
          <w:rFonts w:eastAsia="Times New Roman" w:cs="Times New Roman"/>
          <w:szCs w:val="24"/>
          <w:highlight w:val="green"/>
          <w:lang w:eastAsia="es-ES"/>
        </w:rPr>
        <w:t> </w:t>
      </w:r>
    </w:p>
    <w:p w14:paraId="60E84C3E" w14:textId="77777777" w:rsidR="00A33976" w:rsidRPr="00A33976" w:rsidRDefault="00A33976" w:rsidP="00A33976">
      <w:pPr>
        <w:jc w:val="both"/>
        <w:rPr>
          <w:rFonts w:eastAsia="Times New Roman" w:cs="Times New Roman"/>
          <w:szCs w:val="24"/>
          <w:lang w:eastAsia="es-ES"/>
        </w:rPr>
      </w:pPr>
      <w:r w:rsidRPr="00AE53FC">
        <w:rPr>
          <w:rFonts w:eastAsia="Times New Roman" w:cs="Times New Roman"/>
          <w:szCs w:val="24"/>
          <w:highlight w:val="green"/>
          <w:lang w:val="es-CO" w:eastAsia="es-ES"/>
        </w:rPr>
        <w:t>También indica esta norma que hay conceptos que independientemente de que se suministren desde el exterior, o en el país, se consideran ingresos de fuente nacional, entre los cuales se encuentran: los beneficios o regalías de cualquier naturaleza provenientes de la explotación de toda especie de propiedad industrial, o del “</w:t>
      </w:r>
      <w:proofErr w:type="spellStart"/>
      <w:r w:rsidRPr="00AE53FC">
        <w:rPr>
          <w:rFonts w:eastAsia="Times New Roman" w:cs="Times New Roman"/>
          <w:szCs w:val="24"/>
          <w:highlight w:val="green"/>
          <w:lang w:val="es-CO" w:eastAsia="es-ES"/>
        </w:rPr>
        <w:t>Know</w:t>
      </w:r>
      <w:proofErr w:type="spellEnd"/>
      <w:r w:rsidRPr="00AE53FC">
        <w:rPr>
          <w:rFonts w:eastAsia="Times New Roman" w:cs="Times New Roman"/>
          <w:szCs w:val="24"/>
          <w:highlight w:val="green"/>
          <w:lang w:val="es-CO" w:eastAsia="es-ES"/>
        </w:rPr>
        <w:t xml:space="preserve"> </w:t>
      </w:r>
      <w:proofErr w:type="spellStart"/>
      <w:r w:rsidRPr="00AE53FC">
        <w:rPr>
          <w:rFonts w:eastAsia="Times New Roman" w:cs="Times New Roman"/>
          <w:szCs w:val="24"/>
          <w:highlight w:val="green"/>
          <w:lang w:val="es-CO" w:eastAsia="es-ES"/>
        </w:rPr>
        <w:t>how</w:t>
      </w:r>
      <w:proofErr w:type="spellEnd"/>
      <w:r w:rsidRPr="00AE53FC">
        <w:rPr>
          <w:rFonts w:eastAsia="Times New Roman" w:cs="Times New Roman"/>
          <w:szCs w:val="24"/>
          <w:highlight w:val="green"/>
          <w:lang w:val="es-CO" w:eastAsia="es-ES"/>
        </w:rPr>
        <w:t>”, de la propiedad literaria, artística y científica explotada en el país, así como la prestación de servicios técnicos y asistencia técnica.</w:t>
      </w:r>
    </w:p>
    <w:p w14:paraId="4AC1D8B7"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09A3B76E"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 xml:space="preserve">De lo anteriormente expuesto, se puede colegir por parte de este despacho que el objetivo que </w:t>
      </w:r>
      <w:bookmarkStart w:id="0" w:name="_GoBack"/>
      <w:bookmarkEnd w:id="0"/>
      <w:r w:rsidRPr="00A33976">
        <w:rPr>
          <w:rFonts w:eastAsia="Times New Roman" w:cs="Times New Roman"/>
          <w:szCs w:val="24"/>
          <w:lang w:val="es-CO" w:eastAsia="es-ES"/>
        </w:rPr>
        <w:t>orienta el </w:t>
      </w:r>
      <w:hyperlink r:id="rId15" w:tooltip="Estatuto Tributario CETA" w:history="1">
        <w:r w:rsidRPr="00A33976">
          <w:rPr>
            <w:rFonts w:eastAsia="Times New Roman" w:cs="Times New Roman"/>
            <w:szCs w:val="24"/>
            <w:lang w:val="es-CO" w:eastAsia="es-ES"/>
          </w:rPr>
          <w:t>artículo 325</w:t>
        </w:r>
      </w:hyperlink>
      <w:r w:rsidRPr="00A33976">
        <w:rPr>
          <w:rFonts w:eastAsia="Times New Roman" w:cs="Times New Roman"/>
          <w:szCs w:val="24"/>
          <w:lang w:val="es-CO" w:eastAsia="es-ES"/>
        </w:rPr>
        <w:t> del Estatuto Tributario, se mantiene aun cuando se derogaron las disposiciones relacionadas con el entonces complementario de remesas y permiten llegar a una primera conclusión y es que la vigencia de esta norma se mantiene, porque dicha derogatoria no desvirtúa el propósito de la norma.</w:t>
      </w:r>
    </w:p>
    <w:p w14:paraId="68C0AD5B"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42C77751"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Esta conclusión además toma en consideración la forma como el legislador realiza la derogatoria de los artículos que regulaban este impuesto, sin hacerlo de forma expresa respecto del </w:t>
      </w:r>
      <w:hyperlink r:id="rId16" w:tooltip="Estatuto Tributario CETA" w:history="1">
        <w:r w:rsidRPr="00A33976">
          <w:rPr>
            <w:rFonts w:eastAsia="Times New Roman" w:cs="Times New Roman"/>
            <w:szCs w:val="24"/>
            <w:lang w:val="es-CO" w:eastAsia="es-ES"/>
          </w:rPr>
          <w:t>artículo 325</w:t>
        </w:r>
      </w:hyperlink>
      <w:r w:rsidRPr="00A33976">
        <w:rPr>
          <w:rFonts w:eastAsia="Times New Roman" w:cs="Times New Roman"/>
          <w:szCs w:val="24"/>
          <w:lang w:val="es-CO" w:eastAsia="es-ES"/>
        </w:rPr>
        <w:t> del Estatuto Tributario, pues esta norma no solo se refería al complementario de remesas sino también al impuesto de renta.</w:t>
      </w:r>
    </w:p>
    <w:p w14:paraId="7939308B"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220847B3"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En ese sentido cabe destacar lo dispuesto en el artículo 78 de la Ley 1111 de 2006, que dispuso: </w:t>
      </w:r>
      <w:r w:rsidRPr="00A33976">
        <w:rPr>
          <w:rFonts w:eastAsia="Times New Roman" w:cs="Times New Roman"/>
          <w:i/>
          <w:iCs/>
          <w:szCs w:val="24"/>
          <w:lang w:val="es-CO" w:eastAsia="es-ES"/>
        </w:rPr>
        <w:t>“Artículo 78. Vigencia y derogatorias. La presente Ley rige a partir de su promulgación y deroga las normas que le sean contrarias, en especial las siguientes: (…) los artículos </w:t>
      </w:r>
      <w:hyperlink r:id="rId17" w:tooltip="Estatuto Tributario CETA" w:history="1">
        <w:r w:rsidRPr="00A33976">
          <w:rPr>
            <w:rFonts w:eastAsia="Times New Roman" w:cs="Times New Roman"/>
            <w:b/>
            <w:bCs/>
            <w:i/>
            <w:iCs/>
            <w:szCs w:val="24"/>
            <w:lang w:val="es-CO" w:eastAsia="es-ES"/>
          </w:rPr>
          <w:t>318</w:t>
        </w:r>
      </w:hyperlink>
      <w:r w:rsidRPr="00A33976">
        <w:rPr>
          <w:rFonts w:eastAsia="Times New Roman" w:cs="Times New Roman"/>
          <w:i/>
          <w:iCs/>
          <w:szCs w:val="24"/>
          <w:lang w:val="es-CO" w:eastAsia="es-ES"/>
        </w:rPr>
        <w:t>, </w:t>
      </w:r>
      <w:hyperlink r:id="rId18" w:tooltip="Estatuto Tributario CETA" w:history="1">
        <w:r w:rsidRPr="00A33976">
          <w:rPr>
            <w:rFonts w:eastAsia="Times New Roman" w:cs="Times New Roman"/>
            <w:b/>
            <w:bCs/>
            <w:i/>
            <w:iCs/>
            <w:szCs w:val="24"/>
            <w:lang w:val="es-CO" w:eastAsia="es-ES"/>
          </w:rPr>
          <w:t>319</w:t>
        </w:r>
      </w:hyperlink>
      <w:r w:rsidRPr="00A33976">
        <w:rPr>
          <w:rFonts w:eastAsia="Times New Roman" w:cs="Times New Roman"/>
          <w:i/>
          <w:iCs/>
          <w:szCs w:val="24"/>
          <w:lang w:val="es-CO" w:eastAsia="es-ES"/>
        </w:rPr>
        <w:t>, </w:t>
      </w:r>
      <w:hyperlink r:id="rId19" w:tooltip="Estatuto Tributario CETA" w:history="1">
        <w:r w:rsidRPr="00A33976">
          <w:rPr>
            <w:rFonts w:eastAsia="Times New Roman" w:cs="Times New Roman"/>
            <w:b/>
            <w:bCs/>
            <w:i/>
            <w:iCs/>
            <w:szCs w:val="24"/>
            <w:lang w:val="es-CO" w:eastAsia="es-ES"/>
          </w:rPr>
          <w:t>320</w:t>
        </w:r>
      </w:hyperlink>
      <w:r w:rsidRPr="00A33976">
        <w:rPr>
          <w:rFonts w:eastAsia="Times New Roman" w:cs="Times New Roman"/>
          <w:i/>
          <w:iCs/>
          <w:szCs w:val="24"/>
          <w:lang w:val="es-CO" w:eastAsia="es-ES"/>
        </w:rPr>
        <w:t>, </w:t>
      </w:r>
      <w:hyperlink r:id="rId20" w:tooltip="Estatuto Tributario CETA" w:history="1">
        <w:r w:rsidRPr="00A33976">
          <w:rPr>
            <w:rFonts w:eastAsia="Times New Roman" w:cs="Times New Roman"/>
            <w:b/>
            <w:bCs/>
            <w:i/>
            <w:iCs/>
            <w:szCs w:val="24"/>
            <w:lang w:val="es-CO" w:eastAsia="es-ES"/>
          </w:rPr>
          <w:t>321</w:t>
        </w:r>
      </w:hyperlink>
      <w:r w:rsidRPr="00A33976">
        <w:rPr>
          <w:rFonts w:eastAsia="Times New Roman" w:cs="Times New Roman"/>
          <w:i/>
          <w:iCs/>
          <w:szCs w:val="24"/>
          <w:lang w:val="es-CO" w:eastAsia="es-ES"/>
        </w:rPr>
        <w:t>, </w:t>
      </w:r>
      <w:hyperlink r:id="rId21" w:tooltip="Estatuto Tributario CETA" w:history="1">
        <w:r w:rsidRPr="00A33976">
          <w:rPr>
            <w:rFonts w:eastAsia="Times New Roman" w:cs="Times New Roman"/>
            <w:b/>
            <w:bCs/>
            <w:i/>
            <w:iCs/>
            <w:szCs w:val="24"/>
            <w:lang w:val="es-CO" w:eastAsia="es-ES"/>
          </w:rPr>
          <w:t>321-1</w:t>
        </w:r>
      </w:hyperlink>
      <w:r w:rsidRPr="00A33976">
        <w:rPr>
          <w:rFonts w:eastAsia="Times New Roman" w:cs="Times New Roman"/>
          <w:i/>
          <w:iCs/>
          <w:szCs w:val="24"/>
          <w:lang w:val="es-CO" w:eastAsia="es-ES"/>
        </w:rPr>
        <w:t>, </w:t>
      </w:r>
      <w:hyperlink r:id="rId22" w:tooltip="Estatuto Tributario CETA" w:history="1">
        <w:r w:rsidRPr="00A33976">
          <w:rPr>
            <w:rFonts w:eastAsia="Times New Roman" w:cs="Times New Roman"/>
            <w:b/>
            <w:bCs/>
            <w:i/>
            <w:iCs/>
            <w:szCs w:val="24"/>
            <w:lang w:val="es-CO" w:eastAsia="es-ES"/>
          </w:rPr>
          <w:t>322</w:t>
        </w:r>
      </w:hyperlink>
      <w:r w:rsidRPr="00A33976">
        <w:rPr>
          <w:rFonts w:eastAsia="Times New Roman" w:cs="Times New Roman"/>
          <w:i/>
          <w:iCs/>
          <w:szCs w:val="24"/>
          <w:lang w:val="es-CO" w:eastAsia="es-ES"/>
        </w:rPr>
        <w:t>, </w:t>
      </w:r>
      <w:hyperlink r:id="rId23" w:tooltip="Estatuto Tributario CETA" w:history="1">
        <w:r w:rsidRPr="00A33976">
          <w:rPr>
            <w:rFonts w:eastAsia="Times New Roman" w:cs="Times New Roman"/>
            <w:b/>
            <w:bCs/>
            <w:i/>
            <w:iCs/>
            <w:szCs w:val="24"/>
            <w:lang w:val="es-CO" w:eastAsia="es-ES"/>
          </w:rPr>
          <w:t>328</w:t>
        </w:r>
      </w:hyperlink>
      <w:r w:rsidRPr="00A33976">
        <w:rPr>
          <w:rFonts w:eastAsia="Times New Roman" w:cs="Times New Roman"/>
          <w:i/>
          <w:iCs/>
          <w:szCs w:val="24"/>
          <w:lang w:val="es-CO" w:eastAsia="es-ES"/>
        </w:rPr>
        <w:t> (…) del Estatuto Tributario” </w:t>
      </w:r>
      <w:r w:rsidRPr="00A33976">
        <w:rPr>
          <w:rFonts w:eastAsia="Times New Roman" w:cs="Times New Roman"/>
          <w:szCs w:val="24"/>
          <w:lang w:val="es-CO" w:eastAsia="es-ES"/>
        </w:rPr>
        <w:t>(negrilla fuera del texto). Estas normas establecían el impuesto, su causación, el concepto de reinversión, cuándo se presume la transferencia, los conceptos, base gravable y tarifas y los casos en que no se aplica.</w:t>
      </w:r>
    </w:p>
    <w:p w14:paraId="32B3539A"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249B0FEA"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El peticionario pone de manifiesto el contenido del </w:t>
      </w:r>
      <w:hyperlink r:id="rId24" w:tooltip="Estatuto Tributario CETA" w:history="1">
        <w:r w:rsidRPr="00A33976">
          <w:rPr>
            <w:rFonts w:eastAsia="Times New Roman" w:cs="Times New Roman"/>
            <w:szCs w:val="24"/>
            <w:lang w:val="es-CO" w:eastAsia="es-ES"/>
          </w:rPr>
          <w:t>artículo 419</w:t>
        </w:r>
      </w:hyperlink>
      <w:r w:rsidRPr="00A33976">
        <w:rPr>
          <w:rFonts w:eastAsia="Times New Roman" w:cs="Times New Roman"/>
          <w:szCs w:val="24"/>
          <w:lang w:val="es-CO" w:eastAsia="es-ES"/>
        </w:rPr>
        <w:t> del Estatuto Tributario, relacionado con acreditación de la consignación de la retención en la fuente, para la aceptación de costos y deducciones por pagos al exterior:</w:t>
      </w:r>
    </w:p>
    <w:p w14:paraId="6BBE5D18"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010660CD"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i/>
          <w:iCs/>
          <w:szCs w:val="24"/>
          <w:lang w:val="es-CO" w:eastAsia="es-ES"/>
        </w:rPr>
        <w:t>“</w:t>
      </w:r>
      <w:hyperlink r:id="rId25" w:tooltip="Estatuto Tributario CETA" w:history="1">
        <w:r w:rsidRPr="00A33976">
          <w:rPr>
            <w:rFonts w:eastAsia="Times New Roman" w:cs="Times New Roman"/>
            <w:b/>
            <w:bCs/>
            <w:i/>
            <w:iCs/>
            <w:szCs w:val="24"/>
            <w:lang w:val="es-CO" w:eastAsia="es-ES"/>
          </w:rPr>
          <w:t>Artículo 419</w:t>
        </w:r>
      </w:hyperlink>
      <w:r w:rsidRPr="00A33976">
        <w:rPr>
          <w:rFonts w:eastAsia="Times New Roman" w:cs="Times New Roman"/>
          <w:b/>
          <w:bCs/>
          <w:i/>
          <w:iCs/>
          <w:szCs w:val="24"/>
          <w:lang w:val="es-CO" w:eastAsia="es-ES"/>
        </w:rPr>
        <w:t> .</w:t>
      </w:r>
      <w:r w:rsidRPr="00A33976">
        <w:rPr>
          <w:rFonts w:eastAsia="Times New Roman" w:cs="Times New Roman"/>
          <w:i/>
          <w:iCs/>
          <w:szCs w:val="24"/>
          <w:lang w:val="es-CO" w:eastAsia="es-ES"/>
        </w:rPr>
        <w:t> Para la aceptación de costos y deducciones por pagos al exterior se requiere acreditar la consignación del respectivo impuesto retenido en la fuente. Sin perjuicio de los requisitos previstos en las normas vigentes para la aceptación de gastos efectuados en el exterior que tengan relación de causalidad con rentas de fuente dentro del país, el contribuyente debe conservar el comprobante de consignación de lo retenido a título de impuesto sobre la renta, </w:t>
      </w:r>
      <w:r w:rsidRPr="00AE53FC">
        <w:rPr>
          <w:rFonts w:eastAsia="Times New Roman" w:cs="Times New Roman"/>
          <w:b/>
          <w:bCs/>
          <w:i/>
          <w:iCs/>
          <w:szCs w:val="24"/>
          <w:highlight w:val="green"/>
          <w:lang w:val="es-CO" w:eastAsia="es-ES"/>
        </w:rPr>
        <w:t>si lo pagado o abonado en cuenta constituye para su beneficiario ingreso gravable en Colombia y cumplir las regulaciones previstas en el régimen cambiario vigente en Colombia.”</w:t>
      </w:r>
    </w:p>
    <w:p w14:paraId="6CBC4E58"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0F1676D1"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val="es-CO" w:eastAsia="es-ES"/>
        </w:rPr>
        <w:t>(Negrilla fuera del texto)</w:t>
      </w:r>
    </w:p>
    <w:p w14:paraId="6BD8DDB4"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79BE41EA"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Para este despacho el objetivo que orienta esta norma es diferente al del </w:t>
      </w:r>
      <w:hyperlink r:id="rId26" w:tooltip="Estatuto Tributario CETA" w:history="1">
        <w:r w:rsidRPr="00A33976">
          <w:rPr>
            <w:rFonts w:eastAsia="Times New Roman" w:cs="Times New Roman"/>
            <w:szCs w:val="24"/>
            <w:lang w:val="es-CO" w:eastAsia="es-ES"/>
          </w:rPr>
          <w:t>artículo 325</w:t>
        </w:r>
      </w:hyperlink>
      <w:r w:rsidRPr="00A33976">
        <w:rPr>
          <w:rFonts w:eastAsia="Times New Roman" w:cs="Times New Roman"/>
          <w:szCs w:val="24"/>
          <w:lang w:val="es-CO" w:eastAsia="es-ES"/>
        </w:rPr>
        <w:t> del Estatuto Tributario, pues si bien también implica que se analice si el pago o abono en cuenta constituye para su beneficiario ingreso gravable en Colombia, en el caso del citado </w:t>
      </w:r>
      <w:hyperlink r:id="rId27" w:tooltip="Estatuto Tributario CETA" w:history="1">
        <w:r w:rsidRPr="00A33976">
          <w:rPr>
            <w:rFonts w:eastAsia="Times New Roman" w:cs="Times New Roman"/>
            <w:szCs w:val="24"/>
            <w:lang w:val="es-CO" w:eastAsia="es-ES"/>
          </w:rPr>
          <w:t>artículo 419</w:t>
        </w:r>
      </w:hyperlink>
      <w:r w:rsidRPr="00A33976">
        <w:rPr>
          <w:rFonts w:eastAsia="Times New Roman" w:cs="Times New Roman"/>
          <w:szCs w:val="24"/>
          <w:lang w:val="es-CO" w:eastAsia="es-ES"/>
        </w:rPr>
        <w:t xml:space="preserve"> es para efectos de la aceptación de los costos y deducciones por pagos al exterior, razón por la cual además se requiere acreditar la consignación del respectivo impuesto retenido en la fuente </w:t>
      </w:r>
      <w:r w:rsidRPr="00AE53FC">
        <w:rPr>
          <w:rFonts w:eastAsia="Times New Roman" w:cs="Times New Roman"/>
          <w:szCs w:val="24"/>
          <w:highlight w:val="green"/>
          <w:lang w:val="es-CO" w:eastAsia="es-ES"/>
        </w:rPr>
        <w:t>(esto si lo pagado o abonado en cuenta constituye para su beneficiario ingreso gravable en Colombia)</w:t>
      </w:r>
      <w:r w:rsidRPr="00A33976">
        <w:rPr>
          <w:rFonts w:eastAsia="Times New Roman" w:cs="Times New Roman"/>
          <w:szCs w:val="24"/>
          <w:lang w:val="es-CO" w:eastAsia="es-ES"/>
        </w:rPr>
        <w:t xml:space="preserve"> con el cumplimiento del régimen cambiario vigente en Colombia.</w:t>
      </w:r>
    </w:p>
    <w:p w14:paraId="12F3B435"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lastRenderedPageBreak/>
        <w:t> </w:t>
      </w:r>
    </w:p>
    <w:p w14:paraId="2A551505"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Respecto de esta norma la doctrina reciente (oficio 004989 del 28 de febrero de 2019 que cita lo contenido en el oficio 083060 de 25 de septiembre de 2006) ha señalado:</w:t>
      </w:r>
    </w:p>
    <w:p w14:paraId="1D142A66"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29AB4CC5"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i/>
          <w:iCs/>
          <w:szCs w:val="24"/>
          <w:lang w:val="es-CO" w:eastAsia="es-ES"/>
        </w:rPr>
        <w:t>“(...)</w:t>
      </w:r>
    </w:p>
    <w:p w14:paraId="2BACE082" w14:textId="77777777"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szCs w:val="24"/>
          <w:lang w:eastAsia="es-ES"/>
        </w:rPr>
        <w:t> </w:t>
      </w:r>
    </w:p>
    <w:p w14:paraId="222DA4E2" w14:textId="6B6A793F" w:rsidR="00A33976" w:rsidRPr="00A33976" w:rsidRDefault="00A33976" w:rsidP="00A33976">
      <w:pPr>
        <w:ind w:left="284"/>
        <w:jc w:val="both"/>
        <w:rPr>
          <w:rFonts w:eastAsia="Times New Roman" w:cs="Times New Roman"/>
          <w:szCs w:val="24"/>
          <w:lang w:eastAsia="es-ES"/>
        </w:rPr>
      </w:pPr>
      <w:r w:rsidRPr="00A33976">
        <w:rPr>
          <w:rFonts w:eastAsia="Times New Roman" w:cs="Times New Roman"/>
          <w:i/>
          <w:iCs/>
          <w:szCs w:val="24"/>
          <w:lang w:val="es-CO" w:eastAsia="es-ES"/>
        </w:rPr>
        <w:t>Si bien es cierto que un requisito sine</w:t>
      </w:r>
      <w:r w:rsidR="00AE53FC">
        <w:rPr>
          <w:rFonts w:eastAsia="Times New Roman" w:cs="Times New Roman"/>
          <w:i/>
          <w:iCs/>
          <w:szCs w:val="24"/>
          <w:lang w:val="es-CO" w:eastAsia="es-ES"/>
        </w:rPr>
        <w:t xml:space="preserve"> </w:t>
      </w:r>
      <w:r w:rsidRPr="00A33976">
        <w:rPr>
          <w:rFonts w:eastAsia="Times New Roman" w:cs="Times New Roman"/>
          <w:i/>
          <w:iCs/>
          <w:szCs w:val="24"/>
          <w:lang w:val="es-CO" w:eastAsia="es-ES"/>
        </w:rPr>
        <w:t>qua non para la aceptación de costos y deducciones por pagos al exterior es la consignación de la retención en la fuente, el hecho de que el contribuyente opte por no solicitar el costo o la deducción no lo exime de la obligación de practicar, declarar y consignar la retención en la fuente correspondiente, por cuanto se trata de una obligación autónoma e independiente en la que el agente retenedor pasa a ser su deudor ante la Administración de Impuestos. Así lo recordó este Despacho, en el Concepto No. 040330 del 17 de mayo de 2006: (...)”</w:t>
      </w:r>
    </w:p>
    <w:p w14:paraId="4C1B3AC8"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4BAAEBD6"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Así las cosas, también se deberá dar cumplimiento a lo dispuesto es este artículo.</w:t>
      </w:r>
    </w:p>
    <w:p w14:paraId="77266122"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5EEA9E06"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69BD4569"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Atentamente,</w:t>
      </w:r>
    </w:p>
    <w:p w14:paraId="1D1CC94E"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746367FC"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eastAsia="es-ES"/>
        </w:rPr>
        <w:t> </w:t>
      </w:r>
    </w:p>
    <w:p w14:paraId="249926A9"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b/>
          <w:bCs/>
          <w:szCs w:val="24"/>
          <w:lang w:val="es-CO" w:eastAsia="es-ES"/>
        </w:rPr>
        <w:t>LORENZO CASTILLO BARVO</w:t>
      </w:r>
    </w:p>
    <w:p w14:paraId="226CDB77"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Subdirector de Gestión Normativa y Doctrina (E)</w:t>
      </w:r>
    </w:p>
    <w:p w14:paraId="452C354E" w14:textId="77777777" w:rsidR="00A33976" w:rsidRPr="00A33976" w:rsidRDefault="00A33976" w:rsidP="00A33976">
      <w:pPr>
        <w:jc w:val="both"/>
        <w:rPr>
          <w:rFonts w:eastAsia="Times New Roman" w:cs="Times New Roman"/>
          <w:szCs w:val="24"/>
          <w:lang w:eastAsia="es-ES"/>
        </w:rPr>
      </w:pPr>
      <w:r w:rsidRPr="00A33976">
        <w:rPr>
          <w:rFonts w:eastAsia="Times New Roman" w:cs="Times New Roman"/>
          <w:szCs w:val="24"/>
          <w:lang w:val="es-CO" w:eastAsia="es-ES"/>
        </w:rPr>
        <w:t>Dirección de Gestión Jurídica</w:t>
      </w:r>
    </w:p>
    <w:p w14:paraId="4C05B957" w14:textId="64098AB7" w:rsidR="00A33976" w:rsidRDefault="00A33976" w:rsidP="00A33976">
      <w:pPr>
        <w:jc w:val="both"/>
        <w:rPr>
          <w:rFonts w:eastAsia="Times New Roman" w:cs="Times New Roman"/>
          <w:szCs w:val="24"/>
          <w:lang w:val="es-CO" w:eastAsia="es-ES"/>
        </w:rPr>
      </w:pPr>
      <w:r w:rsidRPr="00A33976">
        <w:rPr>
          <w:rFonts w:eastAsia="Times New Roman" w:cs="Times New Roman"/>
          <w:szCs w:val="24"/>
          <w:lang w:val="es-CO" w:eastAsia="es-ES"/>
        </w:rPr>
        <w:t>UAE-DIAN</w:t>
      </w:r>
      <w:r w:rsidR="00AE53FC">
        <w:rPr>
          <w:rFonts w:eastAsia="Times New Roman" w:cs="Times New Roman"/>
          <w:szCs w:val="24"/>
          <w:lang w:val="es-CO" w:eastAsia="es-ES"/>
        </w:rPr>
        <w:t>.</w:t>
      </w:r>
    </w:p>
    <w:p w14:paraId="5D1B87CA" w14:textId="480C489B" w:rsidR="00AE53FC" w:rsidRPr="00A33976" w:rsidRDefault="00AE53FC" w:rsidP="00A33976">
      <w:pPr>
        <w:jc w:val="both"/>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12A42DCD" w14:textId="77777777" w:rsidR="00A33976" w:rsidRPr="00A33976" w:rsidRDefault="00A33976" w:rsidP="00A33976">
      <w:pPr>
        <w:spacing w:after="285"/>
        <w:jc w:val="both"/>
        <w:rPr>
          <w:rFonts w:eastAsia="Times New Roman" w:cs="Times New Roman"/>
          <w:szCs w:val="24"/>
          <w:lang w:eastAsia="es-ES"/>
        </w:rPr>
      </w:pPr>
      <w:r w:rsidRPr="00A33976">
        <w:rPr>
          <w:rFonts w:eastAsia="Times New Roman" w:cs="Times New Roman"/>
          <w:szCs w:val="24"/>
          <w:lang w:eastAsia="es-ES"/>
        </w:rPr>
        <w:t> </w:t>
      </w:r>
    </w:p>
    <w:p w14:paraId="3F7DDA3A" w14:textId="77777777" w:rsidR="007F5CC8" w:rsidRPr="00A33976" w:rsidRDefault="007F5CC8">
      <w:pPr>
        <w:rPr>
          <w:rFonts w:cs="Times New Roman"/>
          <w:szCs w:val="24"/>
        </w:rPr>
      </w:pPr>
    </w:p>
    <w:sectPr w:rsidR="007F5CC8" w:rsidRPr="00A33976"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76"/>
    <w:rsid w:val="001E311E"/>
    <w:rsid w:val="00434AE6"/>
    <w:rsid w:val="007F5CC8"/>
    <w:rsid w:val="008779BE"/>
    <w:rsid w:val="00A33976"/>
    <w:rsid w:val="00AE53F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0F9E"/>
  <w15:chartTrackingRefBased/>
  <w15:docId w15:val="{A9C895E4-EBF8-4F75-82A6-C68CFA0D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4" TargetMode="External"/><Relationship Id="rId13" Type="http://schemas.openxmlformats.org/officeDocument/2006/relationships/hyperlink" Target="https://www.ceta.org.co/html/vista_de_un_articulo.asp?Norma=34" TargetMode="External"/><Relationship Id="rId18" Type="http://schemas.openxmlformats.org/officeDocument/2006/relationships/hyperlink" Target="https://www.ceta.org.co/html/vista_de_un_articulo.asp?Norma=397" TargetMode="External"/><Relationship Id="rId26" Type="http://schemas.openxmlformats.org/officeDocument/2006/relationships/hyperlink" Target="https://www.ceta.org.co/html/vista_de_un_articulo.asp?Norma=404"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00" TargetMode="External"/><Relationship Id="rId7" Type="http://schemas.openxmlformats.org/officeDocument/2006/relationships/hyperlink" Target="https://www.ceta.org.co/html/vista_de_un_articulo.asp?Norma=518" TargetMode="External"/><Relationship Id="rId12" Type="http://schemas.openxmlformats.org/officeDocument/2006/relationships/hyperlink" Target="https://www.ceta.org.co/html/vista_de_un_articulo.asp?Norma=404" TargetMode="External"/><Relationship Id="rId17" Type="http://schemas.openxmlformats.org/officeDocument/2006/relationships/hyperlink" Target="https://www.ceta.org.co/html/vista_de_un_articulo.asp?Norma=396" TargetMode="External"/><Relationship Id="rId25" Type="http://schemas.openxmlformats.org/officeDocument/2006/relationships/hyperlink" Target="https://www.ceta.org.co/html/vista_de_un_articulo.asp?Norma=518" TargetMode="External"/><Relationship Id="rId2" Type="http://schemas.openxmlformats.org/officeDocument/2006/relationships/settings" Target="settings.xml"/><Relationship Id="rId16" Type="http://schemas.openxmlformats.org/officeDocument/2006/relationships/hyperlink" Target="https://www.ceta.org.co/html/vista_de_un_articulo.asp?Norma=404" TargetMode="External"/><Relationship Id="rId20" Type="http://schemas.openxmlformats.org/officeDocument/2006/relationships/hyperlink" Target="https://www.ceta.org.co/html/vista_de_un_articulo.asp?Norma=39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04" TargetMode="External"/><Relationship Id="rId11" Type="http://schemas.openxmlformats.org/officeDocument/2006/relationships/hyperlink" Target="https://www.ceta.org.co/html/vista_de_un_articulo.asp?Norma=404" TargetMode="External"/><Relationship Id="rId24" Type="http://schemas.openxmlformats.org/officeDocument/2006/relationships/hyperlink" Target="https://www.ceta.org.co/html/vista_de_un_articulo.asp?Norma=518" TargetMode="External"/><Relationship Id="rId5" Type="http://schemas.openxmlformats.org/officeDocument/2006/relationships/hyperlink" Target="https://www.ceta.org.co/html/vista_de_un_articulo.asp?Norma=54" TargetMode="External"/><Relationship Id="rId15" Type="http://schemas.openxmlformats.org/officeDocument/2006/relationships/hyperlink" Target="https://www.ceta.org.co/html/vista_de_un_articulo.asp?Norma=404" TargetMode="External"/><Relationship Id="rId23" Type="http://schemas.openxmlformats.org/officeDocument/2006/relationships/hyperlink" Target="https://www.ceta.org.co/html/vista_de_un_articulo.asp?Norma=407"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404" TargetMode="External"/><Relationship Id="rId19" Type="http://schemas.openxmlformats.org/officeDocument/2006/relationships/hyperlink" Target="https://www.ceta.org.co/html/vista_de_un_articulo.asp?Norma=398" TargetMode="External"/><Relationship Id="rId4" Type="http://schemas.openxmlformats.org/officeDocument/2006/relationships/hyperlink" Target="https://www.ceta.org.co/html/vista_de_un_articulo.asp?Norma=34" TargetMode="External"/><Relationship Id="rId9" Type="http://schemas.openxmlformats.org/officeDocument/2006/relationships/hyperlink" Target="https://www.ceta.org.co/html/vista_de_un_articulo.asp?Norma=518" TargetMode="External"/><Relationship Id="rId14" Type="http://schemas.openxmlformats.org/officeDocument/2006/relationships/hyperlink" Target="https://www.ceta.org.co/html/vista_de_un_articulo.asp?Norma=54" TargetMode="External"/><Relationship Id="rId22" Type="http://schemas.openxmlformats.org/officeDocument/2006/relationships/hyperlink" Target="https://www.ceta.org.co/html/vista_de_un_articulo.asp?Norma=401" TargetMode="External"/><Relationship Id="rId27" Type="http://schemas.openxmlformats.org/officeDocument/2006/relationships/hyperlink" Target="https://www.ceta.org.co/html/vista_de_un_articulo.asp?Norma=5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1668</Words>
  <Characters>9177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2020-02-14T13:13:00Z</dcterms:created>
  <dcterms:modified xsi:type="dcterms:W3CDTF">2020-03-04T16:38:00Z</dcterms:modified>
</cp:coreProperties>
</file>