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A69" w:rsidRPr="00BE4A69" w:rsidRDefault="00BE4A69" w:rsidP="00BE4A69">
      <w:pPr>
        <w:spacing w:line="240" w:lineRule="auto"/>
        <w:jc w:val="center"/>
        <w:rPr>
          <w:rFonts w:ascii="Arial" w:eastAsia="Times New Roman" w:hAnsi="Arial" w:cs="Arial"/>
          <w:color w:val="000000"/>
          <w:sz w:val="18"/>
          <w:szCs w:val="18"/>
          <w:lang w:eastAsia="es-ES"/>
        </w:rPr>
      </w:pPr>
      <w:r w:rsidRPr="00BE4A69">
        <w:rPr>
          <w:rFonts w:ascii="Segoe UI" w:eastAsia="Times New Roman" w:hAnsi="Segoe UI" w:cs="Segoe UI"/>
          <w:b/>
          <w:bCs/>
          <w:color w:val="0000FF"/>
          <w:sz w:val="28"/>
          <w:szCs w:val="28"/>
          <w:lang w:val="es-CO" w:eastAsia="es-ES"/>
        </w:rPr>
        <w:t xml:space="preserve">OFICIO </w:t>
      </w:r>
      <w:proofErr w:type="spellStart"/>
      <w:r w:rsidRPr="00BE4A69">
        <w:rPr>
          <w:rFonts w:ascii="Segoe UI" w:eastAsia="Times New Roman" w:hAnsi="Segoe UI" w:cs="Segoe UI"/>
          <w:b/>
          <w:bCs/>
          <w:color w:val="0000FF"/>
          <w:sz w:val="28"/>
          <w:szCs w:val="28"/>
          <w:lang w:val="es-CO" w:eastAsia="es-ES"/>
        </w:rPr>
        <w:t>Nº</w:t>
      </w:r>
      <w:proofErr w:type="spellEnd"/>
      <w:r w:rsidRPr="00BE4A69">
        <w:rPr>
          <w:rFonts w:ascii="Segoe UI" w:eastAsia="Times New Roman" w:hAnsi="Segoe UI" w:cs="Segoe UI"/>
          <w:b/>
          <w:bCs/>
          <w:color w:val="0000FF"/>
          <w:sz w:val="28"/>
          <w:szCs w:val="28"/>
          <w:lang w:val="es-CO" w:eastAsia="es-ES"/>
        </w:rPr>
        <w:t xml:space="preserve"> 2778 [902660]</w:t>
      </w:r>
    </w:p>
    <w:p w:rsidR="00BE4A69" w:rsidRPr="00BE4A69" w:rsidRDefault="00BE4A69" w:rsidP="00BE4A69">
      <w:pPr>
        <w:spacing w:line="240" w:lineRule="auto"/>
        <w:jc w:val="center"/>
        <w:rPr>
          <w:rFonts w:ascii="Arial" w:eastAsia="Times New Roman" w:hAnsi="Arial" w:cs="Arial"/>
          <w:color w:val="000000"/>
          <w:sz w:val="18"/>
          <w:szCs w:val="18"/>
          <w:lang w:eastAsia="es-ES"/>
        </w:rPr>
      </w:pPr>
      <w:r w:rsidRPr="00BE4A69">
        <w:rPr>
          <w:rFonts w:ascii="Segoe UI" w:eastAsia="Times New Roman" w:hAnsi="Segoe UI" w:cs="Segoe UI"/>
          <w:b/>
          <w:bCs/>
          <w:color w:val="0000FF"/>
          <w:sz w:val="28"/>
          <w:szCs w:val="28"/>
          <w:lang w:val="es-CO" w:eastAsia="es-ES"/>
        </w:rPr>
        <w:t>09-12-2019</w:t>
      </w:r>
    </w:p>
    <w:p w:rsidR="00BE4A69" w:rsidRPr="00BE4A69" w:rsidRDefault="00BE4A69" w:rsidP="00BE4A69">
      <w:pPr>
        <w:spacing w:line="240" w:lineRule="auto"/>
        <w:jc w:val="center"/>
        <w:rPr>
          <w:rFonts w:ascii="Arial" w:eastAsia="Times New Roman" w:hAnsi="Arial" w:cs="Arial"/>
          <w:color w:val="000000"/>
          <w:sz w:val="18"/>
          <w:szCs w:val="18"/>
          <w:lang w:eastAsia="es-ES"/>
        </w:rPr>
      </w:pPr>
      <w:r w:rsidRPr="00BE4A69">
        <w:rPr>
          <w:rFonts w:ascii="Segoe UI" w:eastAsia="Times New Roman" w:hAnsi="Segoe UI" w:cs="Segoe UI"/>
          <w:b/>
          <w:bCs/>
          <w:color w:val="0000FF"/>
          <w:sz w:val="28"/>
          <w:szCs w:val="28"/>
          <w:lang w:val="es-CO" w:eastAsia="es-ES"/>
        </w:rPr>
        <w:t>DIAN</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Subdirección de Gestión Normativa y Doctrina</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100202208 002778</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Bogotá, D.C.</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proofErr w:type="spellStart"/>
      <w:r w:rsidRPr="00BE4A69">
        <w:rPr>
          <w:rFonts w:ascii="Segoe UI" w:eastAsia="Times New Roman" w:hAnsi="Segoe UI" w:cs="Segoe UI"/>
          <w:b/>
          <w:bCs/>
          <w:color w:val="000000"/>
          <w:sz w:val="18"/>
          <w:szCs w:val="18"/>
          <w:lang w:val="es-CO" w:eastAsia="es-ES"/>
        </w:rPr>
        <w:t>Ref</w:t>
      </w:r>
      <w:proofErr w:type="spellEnd"/>
      <w:r w:rsidRPr="00BE4A69">
        <w:rPr>
          <w:rFonts w:ascii="Segoe UI" w:eastAsia="Times New Roman" w:hAnsi="Segoe UI" w:cs="Segoe UI"/>
          <w:b/>
          <w:bCs/>
          <w:color w:val="000000"/>
          <w:sz w:val="18"/>
          <w:szCs w:val="18"/>
          <w:lang w:val="es-CO" w:eastAsia="es-ES"/>
        </w:rPr>
        <w:t>:</w:t>
      </w:r>
      <w:r w:rsidRPr="00BE4A69">
        <w:rPr>
          <w:rFonts w:ascii="Segoe UI" w:eastAsia="Times New Roman" w:hAnsi="Segoe UI" w:cs="Segoe UI"/>
          <w:color w:val="000000"/>
          <w:sz w:val="18"/>
          <w:szCs w:val="18"/>
          <w:lang w:val="es-CO" w:eastAsia="es-ES"/>
        </w:rPr>
        <w:t> Radicado 000552 del 09/10/2019</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b/>
          <w:bCs/>
          <w:color w:val="000000"/>
          <w:sz w:val="18"/>
          <w:szCs w:val="18"/>
          <w:lang w:val="es-CO" w:eastAsia="es-ES"/>
        </w:rPr>
        <w:t>Tema</w:t>
      </w:r>
      <w:r w:rsidRPr="00BE4A69">
        <w:rPr>
          <w:rFonts w:ascii="Segoe UI" w:eastAsia="Times New Roman" w:hAnsi="Segoe UI" w:cs="Segoe UI"/>
          <w:color w:val="000000"/>
          <w:sz w:val="18"/>
          <w:szCs w:val="18"/>
          <w:lang w:val="es-CO" w:eastAsia="es-ES"/>
        </w:rPr>
        <w:t> Procedimiento Tributario</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b/>
          <w:bCs/>
          <w:color w:val="000000"/>
          <w:sz w:val="18"/>
          <w:szCs w:val="18"/>
          <w:lang w:val="es-CO" w:eastAsia="es-ES"/>
        </w:rPr>
        <w:t>Descriptores</w:t>
      </w:r>
      <w:r w:rsidRPr="00BE4A69">
        <w:rPr>
          <w:rFonts w:ascii="Segoe UI" w:eastAsia="Times New Roman" w:hAnsi="Segoe UI" w:cs="Segoe UI"/>
          <w:color w:val="000000"/>
          <w:sz w:val="18"/>
          <w:szCs w:val="18"/>
          <w:lang w:val="es-CO" w:eastAsia="es-ES"/>
        </w:rPr>
        <w:t> Prejudicialidad</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b/>
          <w:bCs/>
          <w:color w:val="000000"/>
          <w:sz w:val="18"/>
          <w:szCs w:val="18"/>
          <w:lang w:val="es-CO" w:eastAsia="es-ES"/>
        </w:rPr>
        <w:t>Fuentes formales</w:t>
      </w:r>
      <w:r w:rsidRPr="00BE4A69">
        <w:rPr>
          <w:rFonts w:ascii="Segoe UI" w:eastAsia="Times New Roman" w:hAnsi="Segoe UI" w:cs="Segoe UI"/>
          <w:color w:val="000000"/>
          <w:sz w:val="18"/>
          <w:szCs w:val="18"/>
          <w:lang w:val="es-CO" w:eastAsia="es-ES"/>
        </w:rPr>
        <w:t> Artículo </w:t>
      </w:r>
      <w:hyperlink r:id="rId4" w:tooltip="Estatuto Tributario CETA" w:history="1">
        <w:r w:rsidRPr="00BE4A69">
          <w:rPr>
            <w:rFonts w:ascii="Segoe UI" w:eastAsia="Times New Roman" w:hAnsi="Segoe UI" w:cs="Segoe UI"/>
            <w:color w:val="0089E1"/>
            <w:sz w:val="18"/>
            <w:szCs w:val="18"/>
            <w:lang w:val="es-CO" w:eastAsia="es-ES"/>
          </w:rPr>
          <w:t>364-1</w:t>
        </w:r>
      </w:hyperlink>
      <w:r w:rsidRPr="00BE4A69">
        <w:rPr>
          <w:rFonts w:ascii="Segoe UI" w:eastAsia="Times New Roman" w:hAnsi="Segoe UI" w:cs="Segoe UI"/>
          <w:color w:val="000000"/>
          <w:sz w:val="18"/>
          <w:szCs w:val="18"/>
          <w:lang w:val="es-CO" w:eastAsia="es-ES"/>
        </w:rPr>
        <w:t> y </w:t>
      </w:r>
      <w:hyperlink r:id="rId5" w:tooltip="Estatuto Tributario CETA" w:history="1">
        <w:r w:rsidRPr="00BE4A69">
          <w:rPr>
            <w:rFonts w:ascii="Segoe UI" w:eastAsia="Times New Roman" w:hAnsi="Segoe UI" w:cs="Segoe UI"/>
            <w:color w:val="0089E1"/>
            <w:sz w:val="18"/>
            <w:szCs w:val="18"/>
            <w:lang w:val="es-CO" w:eastAsia="es-ES"/>
          </w:rPr>
          <w:t>839-2</w:t>
        </w:r>
      </w:hyperlink>
      <w:r w:rsidRPr="00BE4A69">
        <w:rPr>
          <w:rFonts w:ascii="Segoe UI" w:eastAsia="Times New Roman" w:hAnsi="Segoe UI" w:cs="Segoe UI"/>
          <w:color w:val="000000"/>
          <w:sz w:val="18"/>
          <w:szCs w:val="18"/>
          <w:lang w:val="es-CO" w:eastAsia="es-ES"/>
        </w:rPr>
        <w:t> del Estatuto Tributario</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Cordial saludo, señora Ortiz:</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De conformidad con el artículo 20 del Decreto 4048 de 2008, </w:t>
      </w:r>
      <w:r w:rsidRPr="00BE4A69">
        <w:rPr>
          <w:rFonts w:ascii="Segoe UI" w:eastAsia="Times New Roman" w:hAnsi="Segoe UI" w:cs="Segoe UI"/>
          <w:i/>
          <w:iCs/>
          <w:color w:val="000000"/>
          <w:sz w:val="18"/>
          <w:szCs w:val="18"/>
          <w:lang w:val="es-CO" w:eastAsia="es-ES"/>
        </w:rPr>
        <w:t>por el cual se modifica la estructura de la Unidad Administrativa Especial Dirección de Impuestos y Aduanas Nacionales </w:t>
      </w:r>
      <w:r w:rsidRPr="00BE4A69">
        <w:rPr>
          <w:rFonts w:ascii="Segoe UI" w:eastAsia="Times New Roman" w:hAnsi="Segoe UI" w:cs="Segoe UI"/>
          <w:color w:val="000000"/>
          <w:sz w:val="18"/>
          <w:szCs w:val="18"/>
          <w:lang w:val="es-CO" w:eastAsia="es-ES"/>
        </w:rPr>
        <w:t>es función de esta Subdirección absolver de modo general las consultas escritas que se formulen sobre interpretación y aplicación de las normas tributarias de carácter nacional, aduaneras y cambiarias.</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No es de nuestra competencia emitir conceptos sobre procedimientos específicos o actuaciones particulares concretas que deban adelantar los contribuyentes frente a obligaciones previstas en el Estatuto Tributario.</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A continuación, damos respuesta a la consulta sobre el </w:t>
      </w:r>
      <w:r w:rsidRPr="00BE4A69">
        <w:rPr>
          <w:rFonts w:ascii="Segoe UI" w:eastAsia="Times New Roman" w:hAnsi="Segoe UI" w:cs="Segoe UI"/>
          <w:i/>
          <w:iCs/>
          <w:color w:val="000000"/>
          <w:sz w:val="18"/>
          <w:szCs w:val="18"/>
          <w:lang w:val="es-CO" w:eastAsia="es-ES"/>
        </w:rPr>
        <w:t>manejo de la prejudicialidad de los expedientes de cobro.</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Antes de contestar se transcriben 2 definiciones del concepto de </w:t>
      </w:r>
      <w:r w:rsidRPr="00BE4A69">
        <w:rPr>
          <w:rFonts w:ascii="Segoe UI" w:eastAsia="Times New Roman" w:hAnsi="Segoe UI" w:cs="Segoe UI"/>
          <w:i/>
          <w:iCs/>
          <w:color w:val="000000"/>
          <w:sz w:val="18"/>
          <w:szCs w:val="18"/>
          <w:lang w:val="es-CO" w:eastAsia="es-ES"/>
        </w:rPr>
        <w:t>prejudicialidad</w:t>
      </w:r>
      <w:r w:rsidRPr="00BE4A69">
        <w:rPr>
          <w:rFonts w:ascii="Segoe UI" w:eastAsia="Times New Roman" w:hAnsi="Segoe UI" w:cs="Segoe UI"/>
          <w:color w:val="000000"/>
          <w:sz w:val="18"/>
          <w:szCs w:val="18"/>
          <w:lang w:val="es-CO" w:eastAsia="es-ES"/>
        </w:rPr>
        <w:t> tomadas de providencias de la Corte Constitucional:</w:t>
      </w:r>
    </w:p>
    <w:p w:rsidR="00BE4A69" w:rsidRPr="00BE4A69" w:rsidRDefault="00BE4A69" w:rsidP="00BE4A69">
      <w:pPr>
        <w:spacing w:line="240" w:lineRule="auto"/>
        <w:ind w:left="284"/>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ind w:left="284"/>
        <w:rPr>
          <w:rFonts w:ascii="Arial" w:eastAsia="Times New Roman" w:hAnsi="Arial" w:cs="Arial"/>
          <w:color w:val="000000"/>
          <w:sz w:val="18"/>
          <w:szCs w:val="18"/>
          <w:lang w:eastAsia="es-ES"/>
        </w:rPr>
      </w:pPr>
      <w:r w:rsidRPr="00BE4A69">
        <w:rPr>
          <w:rFonts w:ascii="Segoe UI" w:eastAsia="Times New Roman" w:hAnsi="Segoe UI" w:cs="Segoe UI"/>
          <w:i/>
          <w:iCs/>
          <w:color w:val="000000"/>
          <w:sz w:val="18"/>
          <w:szCs w:val="18"/>
          <w:lang w:val="es-CO" w:eastAsia="es-ES"/>
        </w:rPr>
        <w:t>“Por prejudicialidad ha de entenderse la presencia, en un asunto judicial en trámite, de cuestiones pendientes de resolver por vía principal por otra autoridad judicial. Aunque el vocablo prejudicial (</w:t>
      </w:r>
      <w:proofErr w:type="spellStart"/>
      <w:r w:rsidRPr="00BE4A69">
        <w:rPr>
          <w:rFonts w:ascii="Segoe UI" w:eastAsia="Times New Roman" w:hAnsi="Segoe UI" w:cs="Segoe UI"/>
          <w:i/>
          <w:iCs/>
          <w:color w:val="000000"/>
          <w:sz w:val="18"/>
          <w:szCs w:val="18"/>
          <w:lang w:val="es-CO" w:eastAsia="es-ES"/>
        </w:rPr>
        <w:t>praeiudicare</w:t>
      </w:r>
      <w:proofErr w:type="spellEnd"/>
      <w:r w:rsidRPr="00BE4A69">
        <w:rPr>
          <w:rFonts w:ascii="Segoe UI" w:eastAsia="Times New Roman" w:hAnsi="Segoe UI" w:cs="Segoe UI"/>
          <w:i/>
          <w:iCs/>
          <w:color w:val="000000"/>
          <w:sz w:val="18"/>
          <w:szCs w:val="18"/>
          <w:lang w:val="es-CO" w:eastAsia="es-ES"/>
        </w:rPr>
        <w:t xml:space="preserve"> y </w:t>
      </w:r>
      <w:proofErr w:type="spellStart"/>
      <w:r w:rsidRPr="00BE4A69">
        <w:rPr>
          <w:rFonts w:ascii="Segoe UI" w:eastAsia="Times New Roman" w:hAnsi="Segoe UI" w:cs="Segoe UI"/>
          <w:i/>
          <w:iCs/>
          <w:color w:val="000000"/>
          <w:sz w:val="18"/>
          <w:szCs w:val="18"/>
          <w:lang w:val="es-CO" w:eastAsia="es-ES"/>
        </w:rPr>
        <w:t>praeiudicium</w:t>
      </w:r>
      <w:proofErr w:type="spellEnd"/>
      <w:r w:rsidRPr="00BE4A69">
        <w:rPr>
          <w:rFonts w:ascii="Segoe UI" w:eastAsia="Times New Roman" w:hAnsi="Segoe UI" w:cs="Segoe UI"/>
          <w:i/>
          <w:iCs/>
          <w:color w:val="000000"/>
          <w:sz w:val="18"/>
          <w:szCs w:val="18"/>
          <w:lang w:val="es-CO" w:eastAsia="es-ES"/>
        </w:rPr>
        <w:t>), en un sentido amplio se emplea para referirse a toda cuestión que el juez de la causa u otra autoridad judicial deba resolver en el curso del proceso, antes de la sentencia, incluso las excepciones”. Corte Constitucional Sentencia C 816/2001. M.P. Álvaro Tafur.</w:t>
      </w:r>
    </w:p>
    <w:p w:rsidR="00BE4A69" w:rsidRPr="00BE4A69" w:rsidRDefault="00BE4A69" w:rsidP="00BE4A69">
      <w:pPr>
        <w:spacing w:line="240" w:lineRule="auto"/>
        <w:ind w:left="284"/>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ind w:left="284"/>
        <w:rPr>
          <w:rFonts w:ascii="Arial" w:eastAsia="Times New Roman" w:hAnsi="Arial" w:cs="Arial"/>
          <w:color w:val="000000"/>
          <w:sz w:val="18"/>
          <w:szCs w:val="18"/>
          <w:lang w:eastAsia="es-ES"/>
        </w:rPr>
      </w:pPr>
      <w:r w:rsidRPr="00BE4A69">
        <w:rPr>
          <w:rFonts w:ascii="Segoe UI" w:eastAsia="Times New Roman" w:hAnsi="Segoe UI" w:cs="Segoe UI"/>
          <w:i/>
          <w:iCs/>
          <w:color w:val="000000"/>
          <w:sz w:val="18"/>
          <w:szCs w:val="18"/>
          <w:lang w:val="es-CO" w:eastAsia="es-ES"/>
        </w:rPr>
        <w:t xml:space="preserve">"La prejudicialidad se presenta cuando se trata de una cuestión sustancial, diferente pero conexa, que sea indispensable resolver por sentencia en proceso separado, bien ante el mismo despacho judicial o en otro distinto, para que sea posible decidir sobre la que es materia del litigio o de la declaración voluntaria en el respectivo proceso, que debe ser suspendido hasta cuando aquella decisión se produzca. Auto 278 de 2009 de la Corte </w:t>
      </w:r>
      <w:proofErr w:type="gramStart"/>
      <w:r w:rsidRPr="00BE4A69">
        <w:rPr>
          <w:rFonts w:ascii="Segoe UI" w:eastAsia="Times New Roman" w:hAnsi="Segoe UI" w:cs="Segoe UI"/>
          <w:i/>
          <w:iCs/>
          <w:color w:val="000000"/>
          <w:sz w:val="18"/>
          <w:szCs w:val="18"/>
          <w:lang w:val="es-CO" w:eastAsia="es-ES"/>
        </w:rPr>
        <w:t>Constitucional.-</w:t>
      </w:r>
      <w:proofErr w:type="gramEnd"/>
      <w:r w:rsidRPr="00BE4A69">
        <w:rPr>
          <w:rFonts w:ascii="Segoe UI" w:eastAsia="Times New Roman" w:hAnsi="Segoe UI" w:cs="Segoe UI"/>
          <w:i/>
          <w:iCs/>
          <w:color w:val="000000"/>
          <w:sz w:val="18"/>
          <w:szCs w:val="18"/>
          <w:lang w:val="es-CO" w:eastAsia="es-ES"/>
        </w:rPr>
        <w:t xml:space="preserve"> Auto 278 de 2009 de la Corte Constitucional.- M.P. Humberto Sierra Porto.</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El Estatuto Tributario, en el inciso segundo del </w:t>
      </w:r>
      <w:hyperlink r:id="rId6" w:tooltip="Estatuto Tributario CETA" w:history="1">
        <w:r w:rsidRPr="00BE4A69">
          <w:rPr>
            <w:rFonts w:ascii="Segoe UI" w:eastAsia="Times New Roman" w:hAnsi="Segoe UI" w:cs="Segoe UI"/>
            <w:color w:val="0089E1"/>
            <w:sz w:val="18"/>
            <w:szCs w:val="18"/>
            <w:lang w:val="es-CO" w:eastAsia="es-ES"/>
          </w:rPr>
          <w:t>artículo 364-1</w:t>
        </w:r>
      </w:hyperlink>
      <w:r w:rsidRPr="00BE4A69">
        <w:rPr>
          <w:rFonts w:ascii="Segoe UI" w:eastAsia="Times New Roman" w:hAnsi="Segoe UI" w:cs="Segoe UI"/>
          <w:color w:val="000000"/>
          <w:sz w:val="18"/>
          <w:szCs w:val="18"/>
          <w:lang w:val="es-CO" w:eastAsia="es-ES"/>
        </w:rPr>
        <w:t> adicionado por el artículo 158 de la Ley 1819 de 2016 excluye la </w:t>
      </w:r>
      <w:r w:rsidRPr="00BE4A69">
        <w:rPr>
          <w:rFonts w:ascii="Segoe UI" w:eastAsia="Times New Roman" w:hAnsi="Segoe UI" w:cs="Segoe UI"/>
          <w:i/>
          <w:iCs/>
          <w:color w:val="000000"/>
          <w:sz w:val="18"/>
          <w:szCs w:val="18"/>
          <w:lang w:val="es-CO" w:eastAsia="es-ES"/>
        </w:rPr>
        <w:t>prejudicialidad</w:t>
      </w:r>
      <w:r w:rsidRPr="00BE4A69">
        <w:rPr>
          <w:rFonts w:ascii="Segoe UI" w:eastAsia="Times New Roman" w:hAnsi="Segoe UI" w:cs="Segoe UI"/>
          <w:color w:val="000000"/>
          <w:sz w:val="18"/>
          <w:szCs w:val="18"/>
          <w:lang w:val="es-CO" w:eastAsia="es-ES"/>
        </w:rPr>
        <w:t> , en los siguientes términos:</w:t>
      </w:r>
    </w:p>
    <w:p w:rsidR="00BE4A69" w:rsidRPr="00BE4A69" w:rsidRDefault="00BE4A69" w:rsidP="00BE4A69">
      <w:pPr>
        <w:spacing w:line="240" w:lineRule="auto"/>
        <w:ind w:left="284"/>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ind w:left="284"/>
        <w:rPr>
          <w:rFonts w:ascii="Arial" w:eastAsia="Times New Roman" w:hAnsi="Arial" w:cs="Arial"/>
          <w:color w:val="000000"/>
          <w:sz w:val="18"/>
          <w:szCs w:val="18"/>
          <w:lang w:eastAsia="es-ES"/>
        </w:rPr>
      </w:pPr>
      <w:hyperlink r:id="rId7" w:tooltip="Estatuto Tributario CETA" w:history="1">
        <w:r w:rsidRPr="00BE4A69">
          <w:rPr>
            <w:rFonts w:ascii="Segoe UI" w:eastAsia="Times New Roman" w:hAnsi="Segoe UI" w:cs="Segoe UI"/>
            <w:b/>
            <w:bCs/>
            <w:i/>
            <w:iCs/>
            <w:color w:val="0089E1"/>
            <w:sz w:val="18"/>
            <w:szCs w:val="18"/>
            <w:lang w:val="es-CO" w:eastAsia="es-ES"/>
          </w:rPr>
          <w:t>ARTÍCULO 364-1</w:t>
        </w:r>
      </w:hyperlink>
      <w:r w:rsidRPr="00BE4A69">
        <w:rPr>
          <w:rFonts w:ascii="Segoe UI" w:eastAsia="Times New Roman" w:hAnsi="Segoe UI" w:cs="Segoe UI"/>
          <w:b/>
          <w:bCs/>
          <w:i/>
          <w:iCs/>
          <w:color w:val="000000"/>
          <w:sz w:val="18"/>
          <w:szCs w:val="18"/>
          <w:lang w:val="es-CO" w:eastAsia="es-ES"/>
        </w:rPr>
        <w:t>. CLÁUSULA GENERAL PARA EVITAR LA ELUSIÓN FISCAL.</w:t>
      </w:r>
      <w:r w:rsidRPr="00BE4A69">
        <w:rPr>
          <w:rFonts w:ascii="Segoe UI" w:eastAsia="Times New Roman" w:hAnsi="Segoe UI" w:cs="Segoe UI"/>
          <w:i/>
          <w:iCs/>
          <w:color w:val="000000"/>
          <w:sz w:val="18"/>
          <w:szCs w:val="18"/>
          <w:lang w:val="es-CO" w:eastAsia="es-ES"/>
        </w:rPr>
        <w:t> En ningún caso se reconocerá la aplicación del Régimen Tributario Especial a aquellas entidades que abusando de las posibilidades de configuración jurídica defrauden la norma tributaria que sería aplicable, o que mediante pactos simulados encubran un negocio jurídico distinto a aquel que dicen realizar o la simple ausencia de negocio jurídico.</w:t>
      </w:r>
    </w:p>
    <w:p w:rsidR="00BE4A69" w:rsidRPr="00BE4A69" w:rsidRDefault="00BE4A69" w:rsidP="00BE4A69">
      <w:pPr>
        <w:spacing w:line="240" w:lineRule="auto"/>
        <w:ind w:left="284"/>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ind w:left="284"/>
        <w:rPr>
          <w:rFonts w:ascii="Arial" w:eastAsia="Times New Roman" w:hAnsi="Arial" w:cs="Arial"/>
          <w:color w:val="000000"/>
          <w:sz w:val="18"/>
          <w:szCs w:val="18"/>
          <w:lang w:eastAsia="es-ES"/>
        </w:rPr>
      </w:pPr>
      <w:r w:rsidRPr="00BE4A69">
        <w:rPr>
          <w:rFonts w:ascii="Segoe UI" w:eastAsia="Times New Roman" w:hAnsi="Segoe UI" w:cs="Segoe UI"/>
          <w:i/>
          <w:iCs/>
          <w:color w:val="000000"/>
          <w:sz w:val="18"/>
          <w:szCs w:val="18"/>
          <w:lang w:val="es-CO" w:eastAsia="es-ES"/>
        </w:rPr>
        <w:t>Le corresponde a la autoridad tributaria regularizar mediante liquidación oficial, siguiendo el procedimiento establecido en el Estatuto Tributario, los supuestos de abuso del derecho, fraude a la ley o simulación en los que incurran las entidades beneficiarias del Régimen Tributario Especial. La declaración de abuso, fraude o simulación proferida por la DIAN produce efectos exclusivamente tributarios y no está sometida a prejudicialidad alguna ni a procedimiento distinto al previsto para proferir la liquidación oficial de revisión en los artículos 702 a 714 del Estatuto Tributario.</w:t>
      </w:r>
    </w:p>
    <w:p w:rsidR="00BE4A69" w:rsidRPr="00BE4A69" w:rsidRDefault="00BE4A69" w:rsidP="00BE4A69">
      <w:pPr>
        <w:spacing w:line="240" w:lineRule="auto"/>
        <w:ind w:left="284"/>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ind w:left="284"/>
        <w:rPr>
          <w:rFonts w:ascii="Arial" w:eastAsia="Times New Roman" w:hAnsi="Arial" w:cs="Arial"/>
          <w:color w:val="000000"/>
          <w:sz w:val="18"/>
          <w:szCs w:val="18"/>
          <w:lang w:eastAsia="es-ES"/>
        </w:rPr>
      </w:pPr>
      <w:r w:rsidRPr="00BE4A69">
        <w:rPr>
          <w:rFonts w:ascii="Segoe UI" w:eastAsia="Times New Roman" w:hAnsi="Segoe UI" w:cs="Segoe UI"/>
          <w:i/>
          <w:iCs/>
          <w:color w:val="000000"/>
          <w:sz w:val="18"/>
          <w:szCs w:val="18"/>
          <w:lang w:val="es-CO" w:eastAsia="es-ES"/>
        </w:rPr>
        <w:t>En ese acto oficial, además del impuesto eludido, se exigirán los intereses moratorios y se impondrá la sanción por inexactitud.</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En virtud de dicha disposición se puede concluir que, la prejudicialidad no es aplicable, en el procedimiento descrito en los artículos 702 a 714 del estatuto tributario, cuando se trata de casos de abuso del derecho, fraude a la ley o simulación, en los que incurran entidades beneficiarias del Régimen Tributario Especial.</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En sentido contrario y debido a la interpretación restrictiva de las excepciones, cuando el procedimiento para modificar la liquidación privada se origine en una causa distinta al abuso, defraudación o simulación, y cuando no se trate de entidades beneficiarias del Régimen Tributario Especial, el contribuyente podrá solicitar la aplicación de la figura de la prejudicialidad.</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lastRenderedPageBreak/>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En tal caso, debido a que como se dijo anteriormente no existe regulación específica para el procedimiento de cobro coactivo tributario, se debe acudir a lo que dispone el </w:t>
      </w:r>
      <w:hyperlink r:id="rId8" w:tooltip="Estatuto Tributario CETA" w:history="1">
        <w:r w:rsidRPr="00BE4A69">
          <w:rPr>
            <w:rFonts w:ascii="Segoe UI" w:eastAsia="Times New Roman" w:hAnsi="Segoe UI" w:cs="Segoe UI"/>
            <w:color w:val="0089E1"/>
            <w:sz w:val="18"/>
            <w:szCs w:val="18"/>
            <w:lang w:val="es-CO" w:eastAsia="es-ES"/>
          </w:rPr>
          <w:t>artículo 839-2</w:t>
        </w:r>
      </w:hyperlink>
      <w:r w:rsidRPr="00BE4A69">
        <w:rPr>
          <w:rFonts w:ascii="Segoe UI" w:eastAsia="Times New Roman" w:hAnsi="Segoe UI" w:cs="Segoe UI"/>
          <w:color w:val="000000"/>
          <w:sz w:val="18"/>
          <w:szCs w:val="18"/>
          <w:lang w:val="es-CO" w:eastAsia="es-ES"/>
        </w:rPr>
        <w:t> del Estatuto Tributario, adicionado por el artículo 87 de la Ley 6 de 1992, el cual se transcribe:</w:t>
      </w:r>
    </w:p>
    <w:p w:rsidR="00BE4A69" w:rsidRPr="00BE4A69" w:rsidRDefault="00BE4A69" w:rsidP="00BE4A69">
      <w:pPr>
        <w:spacing w:line="240" w:lineRule="auto"/>
        <w:ind w:left="284"/>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ind w:left="284"/>
        <w:rPr>
          <w:rFonts w:ascii="Arial" w:eastAsia="Times New Roman" w:hAnsi="Arial" w:cs="Arial"/>
          <w:color w:val="000000"/>
          <w:sz w:val="18"/>
          <w:szCs w:val="18"/>
          <w:lang w:eastAsia="es-ES"/>
        </w:rPr>
      </w:pPr>
      <w:hyperlink r:id="rId9" w:tooltip="Estatuto Tributario CETA" w:history="1">
        <w:r w:rsidRPr="00BE4A69">
          <w:rPr>
            <w:rFonts w:ascii="Segoe UI" w:eastAsia="Times New Roman" w:hAnsi="Segoe UI" w:cs="Segoe UI"/>
            <w:b/>
            <w:bCs/>
            <w:i/>
            <w:iCs/>
            <w:color w:val="0089E1"/>
            <w:sz w:val="18"/>
            <w:szCs w:val="18"/>
            <w:lang w:val="es-CO" w:eastAsia="es-ES"/>
          </w:rPr>
          <w:t>ARTÍCULO 839-2</w:t>
        </w:r>
      </w:hyperlink>
      <w:r w:rsidRPr="00BE4A69">
        <w:rPr>
          <w:rFonts w:ascii="Segoe UI" w:eastAsia="Times New Roman" w:hAnsi="Segoe UI" w:cs="Segoe UI"/>
          <w:b/>
          <w:bCs/>
          <w:i/>
          <w:iCs/>
          <w:color w:val="000000"/>
          <w:sz w:val="18"/>
          <w:szCs w:val="18"/>
          <w:lang w:val="es-CO" w:eastAsia="es-ES"/>
        </w:rPr>
        <w:t>. EMBARGO, SECUESTRO Y REMATE DE BIENES</w:t>
      </w:r>
      <w:r w:rsidRPr="00BE4A69">
        <w:rPr>
          <w:rFonts w:ascii="Segoe UI" w:eastAsia="Times New Roman" w:hAnsi="Segoe UI" w:cs="Segoe UI"/>
          <w:i/>
          <w:iCs/>
          <w:color w:val="000000"/>
          <w:sz w:val="18"/>
          <w:szCs w:val="18"/>
          <w:lang w:val="es-CO" w:eastAsia="es-ES"/>
        </w:rPr>
        <w:t>. En los aspectos compatibles y no contemplados en este Estatuto, se observarán en el procedimiento administrativo de cobro las disposiciones del Código de Procedimiento Civil que regulan el embargo, secuestro y remate de bienes.</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En tal sentido, la prejudicialidad está regulada por el artículo 161 numeral 1º del Código General del Proceso en los siguientes términos:</w:t>
      </w:r>
    </w:p>
    <w:p w:rsidR="00BE4A69" w:rsidRPr="00BE4A69" w:rsidRDefault="00BE4A69" w:rsidP="00BE4A69">
      <w:pPr>
        <w:spacing w:line="240" w:lineRule="auto"/>
        <w:ind w:left="284"/>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ind w:left="284"/>
        <w:rPr>
          <w:rFonts w:ascii="Arial" w:eastAsia="Times New Roman" w:hAnsi="Arial" w:cs="Arial"/>
          <w:color w:val="000000"/>
          <w:sz w:val="18"/>
          <w:szCs w:val="18"/>
          <w:lang w:eastAsia="es-ES"/>
        </w:rPr>
      </w:pPr>
      <w:r w:rsidRPr="00BE4A69">
        <w:rPr>
          <w:rFonts w:ascii="Segoe UI" w:eastAsia="Times New Roman" w:hAnsi="Segoe UI" w:cs="Segoe UI"/>
          <w:b/>
          <w:bCs/>
          <w:i/>
          <w:iCs/>
          <w:color w:val="000000"/>
          <w:sz w:val="18"/>
          <w:szCs w:val="18"/>
          <w:lang w:val="es-CO" w:eastAsia="es-ES"/>
        </w:rPr>
        <w:t>ARTÍCULO 161. SUSPENSIÓN DEL PROCESO.</w:t>
      </w:r>
    </w:p>
    <w:p w:rsidR="00BE4A69" w:rsidRPr="00BE4A69" w:rsidRDefault="00BE4A69" w:rsidP="00BE4A69">
      <w:pPr>
        <w:spacing w:line="240" w:lineRule="auto"/>
        <w:ind w:left="284"/>
        <w:rPr>
          <w:rFonts w:ascii="Arial" w:eastAsia="Times New Roman" w:hAnsi="Arial" w:cs="Arial"/>
          <w:color w:val="000000"/>
          <w:sz w:val="18"/>
          <w:szCs w:val="18"/>
          <w:lang w:eastAsia="es-ES"/>
        </w:rPr>
      </w:pPr>
      <w:r w:rsidRPr="00BE4A69">
        <w:rPr>
          <w:rFonts w:ascii="Segoe UI" w:eastAsia="Times New Roman" w:hAnsi="Segoe UI" w:cs="Segoe UI"/>
          <w:i/>
          <w:iCs/>
          <w:color w:val="000000"/>
          <w:sz w:val="18"/>
          <w:szCs w:val="18"/>
          <w:lang w:val="es-CO" w:eastAsia="es-ES"/>
        </w:rPr>
        <w:t>El juez, a solicitud de parte, formulada antes de la sentencia, decretará la suspensión del proceso en los siguientes casos:</w:t>
      </w:r>
    </w:p>
    <w:p w:rsidR="00BE4A69" w:rsidRPr="00BE4A69" w:rsidRDefault="00BE4A69" w:rsidP="00BE4A69">
      <w:pPr>
        <w:spacing w:line="240" w:lineRule="auto"/>
        <w:ind w:left="284"/>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ind w:left="284"/>
        <w:rPr>
          <w:rFonts w:ascii="Arial" w:eastAsia="Times New Roman" w:hAnsi="Arial" w:cs="Arial"/>
          <w:color w:val="000000"/>
          <w:sz w:val="18"/>
          <w:szCs w:val="18"/>
          <w:lang w:eastAsia="es-ES"/>
        </w:rPr>
      </w:pPr>
      <w:r w:rsidRPr="00BE4A69">
        <w:rPr>
          <w:rFonts w:ascii="Segoe UI" w:eastAsia="Times New Roman" w:hAnsi="Segoe UI" w:cs="Segoe UI"/>
          <w:i/>
          <w:iCs/>
          <w:color w:val="000000"/>
          <w:sz w:val="18"/>
          <w:szCs w:val="18"/>
          <w:lang w:val="es-CO" w:eastAsia="es-ES"/>
        </w:rPr>
        <w:t>1. Cuando la sentencia que deba dictarse dependa necesariamente de lo que se decida en otro proceso judicial que verse sobre cuestión que sea imposible de ventilar en aquel como excepción o mediante demanda de reconvención. El proceso ejecutivo no se suspenderá porque exista un proceso declarativo iniciado antes o después de aquel, que verse sobre la validez o la autenticidad del título ejecutivo, si en este es procedente alegar los mismos hechos como excepción.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No debe perderse de vista que, de acuerdo a lo señalado por la jurisprudencia constitucional, </w:t>
      </w:r>
      <w:r w:rsidRPr="00BE4A69">
        <w:rPr>
          <w:rFonts w:ascii="Segoe UI" w:eastAsia="Times New Roman" w:hAnsi="Segoe UI" w:cs="Segoe UI"/>
          <w:i/>
          <w:iCs/>
          <w:color w:val="000000"/>
          <w:sz w:val="18"/>
          <w:szCs w:val="18"/>
          <w:lang w:val="es-CO" w:eastAsia="es-ES"/>
        </w:rPr>
        <w:t>los jueces deben ser rigurosos en la aplicación de la figura de suerte que no se constituya en una herramienta dilatoria de los procesos que atenten contra el derecho de administración de justicia y vaya en contravía de los principios de celeridad y economía procesal.</w:t>
      </w:r>
      <w:r w:rsidRPr="00BE4A69">
        <w:rPr>
          <w:rFonts w:ascii="Segoe UI" w:eastAsia="Times New Roman" w:hAnsi="Segoe UI" w:cs="Segoe UI"/>
          <w:color w:val="000000"/>
          <w:sz w:val="18"/>
          <w:szCs w:val="18"/>
          <w:lang w:val="es-CO" w:eastAsia="es-ES"/>
        </w:rPr>
        <w:t> (Auto 278 de 2009)</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En los anteriores términos resolvemos su consulta y cordialmente le informamos que tanto la normatividad en materia tributaria, aduanera y cambiaria, como los conceptos emitidos por la Dirección de Gestión Jurídica en estas materias pueden consultarse directamente en nuestras bases de datos jurídicas ingresando a la página electrónica de la DIAN: </w:t>
      </w:r>
      <w:hyperlink r:id="rId10" w:history="1">
        <w:r w:rsidRPr="00BE4A69">
          <w:rPr>
            <w:rFonts w:ascii="Segoe UI" w:eastAsia="Times New Roman" w:hAnsi="Segoe UI" w:cs="Segoe UI"/>
            <w:color w:val="0563C1"/>
            <w:sz w:val="18"/>
            <w:szCs w:val="18"/>
            <w:lang w:val="es-CO" w:eastAsia="es-ES"/>
          </w:rPr>
          <w:t>http://www.dian.gov.co</w:t>
        </w:r>
      </w:hyperlink>
      <w:r w:rsidRPr="00BE4A69">
        <w:rPr>
          <w:rFonts w:ascii="Segoe UI" w:eastAsia="Times New Roman" w:hAnsi="Segoe UI" w:cs="Segoe UI"/>
          <w:color w:val="000000"/>
          <w:sz w:val="18"/>
          <w:szCs w:val="18"/>
          <w:lang w:val="es-CO" w:eastAsia="es-ES"/>
        </w:rPr>
        <w:t> siguiendo el ícono de “Normatividad” – “técnica”, y seleccionando los vínculos “doctrina” y “Dirección de Gestión Jurídica”.</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Atentamente,</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b/>
          <w:bCs/>
          <w:color w:val="000000"/>
          <w:sz w:val="18"/>
          <w:szCs w:val="18"/>
          <w:lang w:val="es-CO" w:eastAsia="es-ES"/>
        </w:rPr>
        <w:t>LORENZO CASTILLO BARVO</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Subdirector de Gestión Normativa y Doctrina (E)</w:t>
      </w:r>
    </w:p>
    <w:p w:rsidR="00BE4A69" w:rsidRPr="00BE4A69" w:rsidRDefault="00BE4A69" w:rsidP="00BE4A69">
      <w:pPr>
        <w:spacing w:line="240" w:lineRule="auto"/>
        <w:rPr>
          <w:rFonts w:ascii="Arial" w:eastAsia="Times New Roman" w:hAnsi="Arial" w:cs="Arial"/>
          <w:color w:val="000000"/>
          <w:sz w:val="18"/>
          <w:szCs w:val="18"/>
          <w:lang w:eastAsia="es-ES"/>
        </w:rPr>
      </w:pPr>
      <w:r w:rsidRPr="00BE4A69">
        <w:rPr>
          <w:rFonts w:ascii="Segoe UI" w:eastAsia="Times New Roman" w:hAnsi="Segoe UI" w:cs="Segoe UI"/>
          <w:color w:val="000000"/>
          <w:sz w:val="18"/>
          <w:szCs w:val="18"/>
          <w:lang w:val="es-CO" w:eastAsia="es-ES"/>
        </w:rPr>
        <w:t>Dirección de Gestión Jurídica</w:t>
      </w:r>
    </w:p>
    <w:p w:rsidR="00BE4A69" w:rsidRPr="00BE4A69" w:rsidRDefault="00BE4A69" w:rsidP="00BE4A69">
      <w:pPr>
        <w:spacing w:after="285" w:line="240" w:lineRule="auto"/>
        <w:rPr>
          <w:rFonts w:ascii="Arial" w:eastAsia="Times New Roman" w:hAnsi="Arial" w:cs="Arial"/>
          <w:color w:val="000000"/>
          <w:sz w:val="18"/>
          <w:szCs w:val="18"/>
          <w:lang w:eastAsia="es-ES"/>
        </w:rPr>
      </w:pPr>
      <w:r w:rsidRPr="00BE4A69">
        <w:rPr>
          <w:rFonts w:ascii="Arial" w:eastAsia="Times New Roman" w:hAnsi="Arial" w:cs="Arial"/>
          <w:color w:val="000000"/>
          <w:sz w:val="18"/>
          <w:szCs w:val="18"/>
          <w:lang w:eastAsia="es-ES"/>
        </w:rPr>
        <w:t> </w:t>
      </w:r>
    </w:p>
    <w:p w:rsidR="007F5CC8" w:rsidRDefault="007F5CC8">
      <w:bookmarkStart w:id="0" w:name="_GoBack"/>
      <w:bookmarkEnd w:id="0"/>
    </w:p>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69"/>
    <w:rsid w:val="001E311E"/>
    <w:rsid w:val="00434AE6"/>
    <w:rsid w:val="007F5CC8"/>
    <w:rsid w:val="008779BE"/>
    <w:rsid w:val="00BE4A6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DA7F8-DA66-45D4-B628-4002080B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4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50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508" TargetMode="External"/><Relationship Id="rId11" Type="http://schemas.openxmlformats.org/officeDocument/2006/relationships/fontTable" Target="fontTable.xml"/><Relationship Id="rId5" Type="http://schemas.openxmlformats.org/officeDocument/2006/relationships/hyperlink" Target="https://www.ceta.org.co/html/vista_de_un_articulo.asp?Norma=1040" TargetMode="External"/><Relationship Id="rId10" Type="http://schemas.openxmlformats.org/officeDocument/2006/relationships/hyperlink" Target="http://www.dian.gov.co/" TargetMode="External"/><Relationship Id="rId4" Type="http://schemas.openxmlformats.org/officeDocument/2006/relationships/hyperlink" Target="https://www.ceta.org.co/html/vista_de_un_articulo.asp?Norma=42508" TargetMode="External"/><Relationship Id="rId9" Type="http://schemas.openxmlformats.org/officeDocument/2006/relationships/hyperlink" Target="https://www.ceta.org.co/html/vista_de_un_articulo.asp?Norma=10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1120</Words>
  <Characters>6163</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2020-02-19T23:16:00Z</dcterms:created>
  <dcterms:modified xsi:type="dcterms:W3CDTF">2020-02-19T23:18:00Z</dcterms:modified>
</cp:coreProperties>
</file>