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74F" w:rsidRPr="001E574F" w:rsidRDefault="001E574F" w:rsidP="001E574F">
      <w:pPr>
        <w:spacing w:line="240" w:lineRule="auto"/>
        <w:jc w:val="center"/>
        <w:rPr>
          <w:rFonts w:eastAsia="Times New Roman" w:cs="Times New Roman"/>
          <w:szCs w:val="24"/>
          <w:lang w:eastAsia="es-ES"/>
        </w:rPr>
      </w:pPr>
      <w:r w:rsidRPr="001E574F">
        <w:rPr>
          <w:rFonts w:eastAsia="Times New Roman" w:cs="Times New Roman"/>
          <w:b/>
          <w:bCs/>
          <w:szCs w:val="24"/>
          <w:lang w:val="es-CO" w:eastAsia="es-ES"/>
        </w:rPr>
        <w:t xml:space="preserve">OFICIO </w:t>
      </w:r>
      <w:proofErr w:type="spellStart"/>
      <w:r w:rsidRPr="001E574F">
        <w:rPr>
          <w:rFonts w:eastAsia="Times New Roman" w:cs="Times New Roman"/>
          <w:b/>
          <w:bCs/>
          <w:szCs w:val="24"/>
          <w:lang w:val="es-CO" w:eastAsia="es-ES"/>
        </w:rPr>
        <w:t>Nº</w:t>
      </w:r>
      <w:proofErr w:type="spellEnd"/>
      <w:r w:rsidRPr="001E574F">
        <w:rPr>
          <w:rFonts w:eastAsia="Times New Roman" w:cs="Times New Roman"/>
          <w:b/>
          <w:bCs/>
          <w:szCs w:val="24"/>
          <w:lang w:val="es-CO" w:eastAsia="es-ES"/>
        </w:rPr>
        <w:t xml:space="preserve"> 1434 [031646]</w:t>
      </w:r>
    </w:p>
    <w:p w:rsidR="001E574F" w:rsidRPr="001E574F" w:rsidRDefault="001E574F" w:rsidP="001E574F">
      <w:pPr>
        <w:spacing w:line="240" w:lineRule="auto"/>
        <w:jc w:val="center"/>
        <w:rPr>
          <w:rFonts w:eastAsia="Times New Roman" w:cs="Times New Roman"/>
          <w:szCs w:val="24"/>
          <w:lang w:eastAsia="es-ES"/>
        </w:rPr>
      </w:pPr>
      <w:r w:rsidRPr="001E574F">
        <w:rPr>
          <w:rFonts w:eastAsia="Times New Roman" w:cs="Times New Roman"/>
          <w:b/>
          <w:bCs/>
          <w:szCs w:val="24"/>
          <w:lang w:val="es-CO" w:eastAsia="es-ES"/>
        </w:rPr>
        <w:t>24-12-2019</w:t>
      </w:r>
    </w:p>
    <w:p w:rsidR="001E574F" w:rsidRPr="001E574F" w:rsidRDefault="001E574F" w:rsidP="001E574F">
      <w:pPr>
        <w:spacing w:line="240" w:lineRule="auto"/>
        <w:jc w:val="center"/>
        <w:rPr>
          <w:rFonts w:eastAsia="Times New Roman" w:cs="Times New Roman"/>
          <w:szCs w:val="24"/>
          <w:lang w:eastAsia="es-ES"/>
        </w:rPr>
      </w:pPr>
      <w:r w:rsidRPr="001E574F">
        <w:rPr>
          <w:rFonts w:eastAsia="Times New Roman" w:cs="Times New Roman"/>
          <w:b/>
          <w:bCs/>
          <w:szCs w:val="24"/>
          <w:lang w:val="es-CO" w:eastAsia="es-ES"/>
        </w:rPr>
        <w:t>DIAN</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Dirección de Gestión Jurídica</w:t>
      </w:r>
      <w:bookmarkStart w:id="0" w:name="_GoBack"/>
      <w:bookmarkEnd w:id="0"/>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100202208-1434</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Bogotá, D.C.</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proofErr w:type="spellStart"/>
      <w:r w:rsidRPr="001E574F">
        <w:rPr>
          <w:rFonts w:eastAsia="Times New Roman" w:cs="Times New Roman"/>
          <w:b/>
          <w:bCs/>
          <w:szCs w:val="24"/>
          <w:lang w:val="es-CO" w:eastAsia="es-ES"/>
        </w:rPr>
        <w:t>Ref</w:t>
      </w:r>
      <w:proofErr w:type="spellEnd"/>
      <w:r w:rsidRPr="001E574F">
        <w:rPr>
          <w:rFonts w:eastAsia="Times New Roman" w:cs="Times New Roman"/>
          <w:b/>
          <w:bCs/>
          <w:szCs w:val="24"/>
          <w:lang w:val="es-CO" w:eastAsia="es-ES"/>
        </w:rPr>
        <w:t>:</w:t>
      </w:r>
      <w:r w:rsidRPr="001E574F">
        <w:rPr>
          <w:rFonts w:eastAsia="Times New Roman" w:cs="Times New Roman"/>
          <w:szCs w:val="24"/>
          <w:lang w:val="es-CO" w:eastAsia="es-ES"/>
        </w:rPr>
        <w:t> Radicado 039038 del 14/11/2019</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tbl>
      <w:tblPr>
        <w:tblW w:w="0" w:type="auto"/>
        <w:tblCellMar>
          <w:left w:w="0" w:type="dxa"/>
          <w:right w:w="0" w:type="dxa"/>
        </w:tblCellMar>
        <w:tblLook w:val="04A0" w:firstRow="1" w:lastRow="0" w:firstColumn="1" w:lastColumn="0" w:noHBand="0" w:noVBand="1"/>
      </w:tblPr>
      <w:tblGrid>
        <w:gridCol w:w="1948"/>
        <w:gridCol w:w="236"/>
        <w:gridCol w:w="236"/>
        <w:gridCol w:w="6236"/>
      </w:tblGrid>
      <w:tr w:rsidR="001E574F" w:rsidRPr="001E574F" w:rsidTr="001E574F">
        <w:tc>
          <w:tcPr>
            <w:tcW w:w="1948"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b/>
                <w:bCs/>
                <w:szCs w:val="24"/>
                <w:lang w:val="es-CO" w:eastAsia="es-ES"/>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jc w:val="left"/>
              <w:rPr>
                <w:rFonts w:eastAsia="Times New Roman" w:cs="Times New Roman"/>
                <w:szCs w:val="24"/>
                <w:lang w:eastAsia="es-ES"/>
              </w:rPr>
            </w:pPr>
          </w:p>
        </w:tc>
        <w:tc>
          <w:tcPr>
            <w:tcW w:w="236"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jc w:val="left"/>
              <w:rPr>
                <w:rFonts w:eastAsia="Times New Roman" w:cs="Times New Roman"/>
                <w:szCs w:val="24"/>
                <w:lang w:eastAsia="es-ES"/>
              </w:rPr>
            </w:pPr>
          </w:p>
        </w:tc>
        <w:tc>
          <w:tcPr>
            <w:tcW w:w="6236"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Impuesto sobre la Renta y Complementarios</w:t>
            </w:r>
          </w:p>
        </w:tc>
      </w:tr>
      <w:tr w:rsidR="001E574F" w:rsidRPr="001E574F" w:rsidTr="001E574F">
        <w:tc>
          <w:tcPr>
            <w:tcW w:w="1948"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b/>
                <w:bCs/>
                <w:szCs w:val="24"/>
                <w:lang w:val="es-CO" w:eastAsia="es-ES"/>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jc w:val="left"/>
              <w:rPr>
                <w:rFonts w:eastAsia="Times New Roman" w:cs="Times New Roman"/>
                <w:szCs w:val="24"/>
                <w:lang w:eastAsia="es-ES"/>
              </w:rPr>
            </w:pPr>
          </w:p>
        </w:tc>
        <w:tc>
          <w:tcPr>
            <w:tcW w:w="236"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jc w:val="left"/>
              <w:rPr>
                <w:rFonts w:eastAsia="Times New Roman" w:cs="Times New Roman"/>
                <w:szCs w:val="24"/>
                <w:lang w:eastAsia="es-ES"/>
              </w:rPr>
            </w:pPr>
          </w:p>
        </w:tc>
        <w:tc>
          <w:tcPr>
            <w:tcW w:w="6236"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COMPENSACIÓN DE PÉRDIDAS FISCALES DE SOCIEDADES.</w:t>
            </w:r>
          </w:p>
        </w:tc>
      </w:tr>
      <w:tr w:rsidR="001E574F" w:rsidRPr="001E574F" w:rsidTr="001E574F">
        <w:tc>
          <w:tcPr>
            <w:tcW w:w="1948"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b/>
                <w:bCs/>
                <w:szCs w:val="24"/>
                <w:lang w:val="es-CO" w:eastAsia="es-ES"/>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jc w:val="left"/>
              <w:rPr>
                <w:rFonts w:eastAsia="Times New Roman" w:cs="Times New Roman"/>
                <w:szCs w:val="24"/>
                <w:lang w:eastAsia="es-ES"/>
              </w:rPr>
            </w:pPr>
          </w:p>
        </w:tc>
        <w:tc>
          <w:tcPr>
            <w:tcW w:w="236"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jc w:val="left"/>
              <w:rPr>
                <w:rFonts w:eastAsia="Times New Roman" w:cs="Times New Roman"/>
                <w:szCs w:val="24"/>
                <w:lang w:eastAsia="es-ES"/>
              </w:rPr>
            </w:pPr>
          </w:p>
        </w:tc>
        <w:tc>
          <w:tcPr>
            <w:tcW w:w="6236" w:type="dxa"/>
            <w:tcBorders>
              <w:top w:val="nil"/>
              <w:left w:val="nil"/>
              <w:bottom w:val="nil"/>
              <w:right w:val="nil"/>
            </w:tcBorders>
            <w:shd w:val="clear" w:color="auto" w:fill="auto"/>
            <w:tcMar>
              <w:top w:w="0" w:type="dxa"/>
              <w:left w:w="108" w:type="dxa"/>
              <w:bottom w:w="0" w:type="dxa"/>
              <w:right w:w="108" w:type="dxa"/>
            </w:tcMar>
            <w:hideMark/>
          </w:tcPr>
          <w:p w:rsidR="001E574F" w:rsidRPr="001E574F" w:rsidRDefault="001E574F" w:rsidP="001E574F">
            <w:pPr>
              <w:spacing w:line="240" w:lineRule="auto"/>
              <w:rPr>
                <w:rFonts w:eastAsia="Times New Roman" w:cs="Times New Roman"/>
                <w:szCs w:val="24"/>
                <w:lang w:eastAsia="es-ES"/>
              </w:rPr>
            </w:pPr>
            <w:hyperlink r:id="rId4" w:tooltip="Estatuto Tributario CETA" w:history="1">
              <w:r w:rsidRPr="001E574F">
                <w:rPr>
                  <w:rFonts w:eastAsia="Times New Roman" w:cs="Times New Roman"/>
                  <w:szCs w:val="24"/>
                  <w:lang w:val="es-CO" w:eastAsia="es-ES"/>
                </w:rPr>
                <w:t>Artículo 147</w:t>
              </w:r>
            </w:hyperlink>
            <w:r w:rsidRPr="001E574F">
              <w:rPr>
                <w:rFonts w:eastAsia="Times New Roman" w:cs="Times New Roman"/>
                <w:szCs w:val="24"/>
                <w:lang w:val="es-CO" w:eastAsia="es-ES"/>
              </w:rPr>
              <w:t> del E.T.</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Artículo 172 del Código de Comercio</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Oficio No. 220-056752 del 29 de marzo de 2016 de la Superintendencia de Sociedades</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P.L. 80 de 2002 - Cámara de Representantes, Gaceta 398-02-C</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Antecedentes legislativos de la Ley 788 de 2002</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Sentencia del 10 de mayo de 2012, dictada en el expediente 25000-23-27-000-2007-00256-01 (17450)</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Concepto No. 33741 del 1 de junio de 2004</w:t>
            </w:r>
          </w:p>
        </w:tc>
      </w:tr>
    </w:tbl>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Estimada señora Camila Andrea:</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Mediante escrito radicado No. 039038 del 12 de noviembre de dos mil diecinueve (2019), el cual fue recibido como consecuencia de la acción de tutela No. 2019-0207 presentada ante el Juzgado Cuarenta y Tres (43) Penal del Circuito de Bogotá, esta Subdirección recibió una consulta por medio de la cual se solicita la reconsideración del Oficio No. 022452 del 9 de septiembre de 2019, el cual dio respuesta al Radicado No. 000S2019022452.</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Lo anterior, teniendo en cuenta que el consultante señala, en términos generales, los siguientes argumentos:</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“1. En relación con la compensación de pérdidas fiscales en el contexto consultado, el </w:t>
      </w:r>
      <w:hyperlink r:id="rId5" w:tooltip="Estatuto Tributario CETA" w:history="1">
        <w:r w:rsidRPr="001E574F">
          <w:rPr>
            <w:rFonts w:eastAsia="Times New Roman" w:cs="Times New Roman"/>
            <w:i/>
            <w:iCs/>
            <w:szCs w:val="24"/>
            <w:lang w:val="es-CO" w:eastAsia="es-ES"/>
          </w:rPr>
          <w:t>artículo 147</w:t>
        </w:r>
      </w:hyperlink>
      <w:r w:rsidRPr="001E574F">
        <w:rPr>
          <w:rFonts w:eastAsia="Times New Roman" w:cs="Times New Roman"/>
          <w:i/>
          <w:iCs/>
          <w:szCs w:val="24"/>
          <w:lang w:val="es-CO" w:eastAsia="es-ES"/>
        </w:rPr>
        <w:t>, inciso 2, del Estatuto Tributario (E.T.) prevé lo siguiente: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w:t>
      </w:r>
      <w:r w:rsidRPr="001E574F">
        <w:rPr>
          <w:rFonts w:eastAsia="Times New Roman" w:cs="Times New Roman"/>
          <w:i/>
          <w:iCs/>
          <w:szCs w:val="24"/>
          <w:u w:val="single"/>
          <w:lang w:val="es-CO" w:eastAsia="es-ES"/>
        </w:rPr>
        <w:t>La sociedad absorbente</w:t>
      </w:r>
      <w:r w:rsidRPr="001E574F">
        <w:rPr>
          <w:rFonts w:eastAsia="Times New Roman" w:cs="Times New Roman"/>
          <w:i/>
          <w:iCs/>
          <w:szCs w:val="24"/>
          <w:lang w:val="es-CO" w:eastAsia="es-ES"/>
        </w:rPr>
        <w:t> o resultante de un proceso de fusión, </w:t>
      </w:r>
      <w:r w:rsidRPr="001E574F">
        <w:rPr>
          <w:rFonts w:eastAsia="Times New Roman" w:cs="Times New Roman"/>
          <w:i/>
          <w:iCs/>
          <w:szCs w:val="24"/>
          <w:u w:val="single"/>
          <w:lang w:val="es-CO" w:eastAsia="es-ES"/>
        </w:rPr>
        <w:t>puede compensar</w:t>
      </w:r>
      <w:r w:rsidRPr="001E574F">
        <w:rPr>
          <w:rFonts w:eastAsia="Times New Roman" w:cs="Times New Roman"/>
          <w:i/>
          <w:iCs/>
          <w:szCs w:val="24"/>
          <w:lang w:val="es-CO" w:eastAsia="es-ES"/>
        </w:rPr>
        <w:t> con las rentas líquidas ordinarias que obtuviere, </w:t>
      </w:r>
      <w:r w:rsidRPr="001E574F">
        <w:rPr>
          <w:rFonts w:eastAsia="Times New Roman" w:cs="Times New Roman"/>
          <w:i/>
          <w:iCs/>
          <w:szCs w:val="24"/>
          <w:u w:val="single"/>
          <w:lang w:val="es-CO" w:eastAsia="es-ES"/>
        </w:rPr>
        <w:t>las pérdidas fiscales sufridas por las sociedades fusionadas</w:t>
      </w:r>
      <w:r w:rsidRPr="001E574F">
        <w:rPr>
          <w:rFonts w:eastAsia="Times New Roman" w:cs="Times New Roman"/>
          <w:i/>
          <w:iCs/>
          <w:szCs w:val="24"/>
          <w:lang w:val="es-CO" w:eastAsia="es-ES"/>
        </w:rPr>
        <w:t>, hasta un límite equivalente al porcentaje de participación de los patrimonios de las sociedades fusionadas dentro del patrimonio de la </w:t>
      </w:r>
      <w:r w:rsidRPr="001E574F">
        <w:rPr>
          <w:rFonts w:eastAsia="Times New Roman" w:cs="Times New Roman"/>
          <w:i/>
          <w:iCs/>
          <w:szCs w:val="24"/>
          <w:u w:val="single"/>
          <w:lang w:val="es-CO" w:eastAsia="es-ES"/>
        </w:rPr>
        <w:t>sociedad absorbente</w:t>
      </w:r>
      <w:r w:rsidRPr="001E574F">
        <w:rPr>
          <w:rFonts w:eastAsia="Times New Roman" w:cs="Times New Roman"/>
          <w:i/>
          <w:iCs/>
          <w:szCs w:val="24"/>
          <w:lang w:val="es-CO" w:eastAsia="es-ES"/>
        </w:rPr>
        <w:t> o resultante.”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lastRenderedPageBreak/>
        <w:t>Desde ya debo anotar que el artículo 172 del Código de Comercio establece que sociedades fusionadas se refiere a sociedades absorbidas. Veamos:</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“Habrá fusión cuando una o más sociedades se disuelven, sin liquidarse, para ser absorbidas por otra o para crear una nueva.</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La absorbente o la nueva compañía adquirirá los derechos y obligaciones de la sociedad o sociedades disueltas al formalizar el acuerdo de fusión.”</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 xml:space="preserve">Así, es claro </w:t>
      </w:r>
      <w:proofErr w:type="gramStart"/>
      <w:r w:rsidRPr="001E574F">
        <w:rPr>
          <w:rFonts w:eastAsia="Times New Roman" w:cs="Times New Roman"/>
          <w:i/>
          <w:iCs/>
          <w:szCs w:val="24"/>
          <w:lang w:val="es-CO" w:eastAsia="es-ES"/>
        </w:rPr>
        <w:t>que</w:t>
      </w:r>
      <w:proofErr w:type="gramEnd"/>
      <w:r w:rsidRPr="001E574F">
        <w:rPr>
          <w:rFonts w:eastAsia="Times New Roman" w:cs="Times New Roman"/>
          <w:i/>
          <w:iCs/>
          <w:szCs w:val="24"/>
          <w:lang w:val="es-CO" w:eastAsia="es-ES"/>
        </w:rPr>
        <w:t xml:space="preserve"> desde un punto de vista comercial, sociedades fusionadas son aquellas que se disuelven sin liquidarse para ser incorporadas a una sociedad distinta que las absorbe.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2. En el acta de presentación del Proyecto de Ley (P.L. 80 de 2002 - Cámara de Representantes, Gaceta 398-02-C), antecedentes legislativos de la Ley 788 de 2002, que incorporó al E.T. el precitado </w:t>
      </w:r>
      <w:hyperlink r:id="rId6" w:tooltip="Estatuto Tributario CETA" w:history="1">
        <w:r w:rsidRPr="001E574F">
          <w:rPr>
            <w:rFonts w:eastAsia="Times New Roman" w:cs="Times New Roman"/>
            <w:i/>
            <w:iCs/>
            <w:szCs w:val="24"/>
            <w:lang w:val="es-CO" w:eastAsia="es-ES"/>
          </w:rPr>
          <w:t>artículo 147</w:t>
        </w:r>
      </w:hyperlink>
      <w:r w:rsidRPr="001E574F">
        <w:rPr>
          <w:rFonts w:eastAsia="Times New Roman" w:cs="Times New Roman"/>
          <w:i/>
          <w:iCs/>
          <w:szCs w:val="24"/>
          <w:lang w:val="es-CO" w:eastAsia="es-ES"/>
        </w:rPr>
        <w:t>, en lo relevante el Ministro de Hacienda de la época dijo lo siguiente: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“Complementariamente, </w:t>
      </w:r>
      <w:r w:rsidRPr="001E574F">
        <w:rPr>
          <w:rFonts w:eastAsia="Times New Roman" w:cs="Times New Roman"/>
          <w:i/>
          <w:iCs/>
          <w:szCs w:val="24"/>
          <w:u w:val="single"/>
          <w:lang w:val="es-CO" w:eastAsia="es-ES"/>
        </w:rPr>
        <w:t>se regula lo correspondiente a las pérdidas asociadas a los procesos de fusión y escisión de sociedades, cuidando que los mismos sean neutrales con los procesos de reorganización empresarial, de modo que se evite su utilización para la obtención de beneficios tributarios ajenos a la realidad económica</w:t>
      </w:r>
      <w:r w:rsidRPr="001E574F">
        <w:rPr>
          <w:rFonts w:eastAsia="Times New Roman" w:cs="Times New Roman"/>
          <w:i/>
          <w:iCs/>
          <w:szCs w:val="24"/>
          <w:lang w:val="es-CO" w:eastAsia="es-ES"/>
        </w:rPr>
        <w:t>. En estos casos el término de firmeza de las declaraciones y sus correcciones se fija en 5 años.”</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Aun cuando en nuestra opinión el tenor literal de la ley es claro, en cualquier caso el espíritu del </w:t>
      </w:r>
      <w:hyperlink r:id="rId7" w:tooltip="Estatuto Tributario CETA" w:history="1">
        <w:r w:rsidRPr="001E574F">
          <w:rPr>
            <w:rFonts w:eastAsia="Times New Roman" w:cs="Times New Roman"/>
            <w:i/>
            <w:iCs/>
            <w:szCs w:val="24"/>
            <w:lang w:val="es-CO" w:eastAsia="es-ES"/>
          </w:rPr>
          <w:t>artículo 147 </w:t>
        </w:r>
      </w:hyperlink>
      <w:r w:rsidRPr="001E574F">
        <w:rPr>
          <w:rFonts w:eastAsia="Times New Roman" w:cs="Times New Roman"/>
          <w:i/>
          <w:iCs/>
          <w:szCs w:val="24"/>
          <w:lang w:val="es-CO" w:eastAsia="es-ES"/>
        </w:rPr>
        <w:t>del E.T. fue asegurar neutralidad en la utilización de pérdidas fiscales en procesos de fusión, evitando la obtención de beneficios tributarios ajenos a la realidad económica de las empresas involucradas en ese tipo de procesos, lo que solo hace sentido en el contexto de limitar la utilización de pérdidas fiscales de las sociedades que se disuelven sin liquidarse para incorporarse a una sociedad que las absorbe, es decir de las sociedades fusionadas. Las pérdidas de la sociedad absorbente son no solo neutrales en el proceso de fusión, sino que están implícitas en la realidad económica de esa sociedad.</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3. Revisada la jurisprudencia del H. Consejo de Estado sobre el tema solo encontramos una sentencia que puede servir al análisis. Se trata de la sentencia del 10 de mayo de 2012, dictada en el expediente 25000-23-27-000-2007-00256-01(17450), en la que esa Corporación, en un contexto distinto al analizado, dijo lo siguiente: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“La Sala verifica que la compensación de las pérdidas originadas en los años gravables 1999 y 2000, realizada por MACROFINANCIERA S.A. en el año gravable 2004 en el contexto de un proceso de fusión, se llevó a cabo contra utilidades generadas por CAMBIO COUNTRY S.A., que si bien es cierto, como efecto jurídico de la fusión, una vez perfeccionado el acuerdo, no es dable diferenciar el origen de los pasivos o activos trasladados a la absorbente, esta distinción cobra importancia para efectos de la compensación de pérdidas fiscales, en tanto que, </w:t>
      </w:r>
      <w:r w:rsidRPr="001E574F">
        <w:rPr>
          <w:rFonts w:eastAsia="Times New Roman" w:cs="Times New Roman"/>
          <w:i/>
          <w:iCs/>
          <w:szCs w:val="24"/>
          <w:u w:val="single"/>
          <w:lang w:val="es-CO" w:eastAsia="es-ES"/>
        </w:rPr>
        <w:t xml:space="preserve">la norma vigente al 2004, solo permitía la compensación de pérdidas provenientes de la sociedad fusionada o absorbida, con utilidades de la entidad </w:t>
      </w:r>
      <w:proofErr w:type="spellStart"/>
      <w:r w:rsidRPr="001E574F">
        <w:rPr>
          <w:rFonts w:eastAsia="Times New Roman" w:cs="Times New Roman"/>
          <w:i/>
          <w:iCs/>
          <w:szCs w:val="24"/>
          <w:u w:val="single"/>
          <w:lang w:val="es-CO" w:eastAsia="es-ES"/>
        </w:rPr>
        <w:t>absorvente</w:t>
      </w:r>
      <w:proofErr w:type="spellEnd"/>
      <w:r w:rsidRPr="001E574F">
        <w:rPr>
          <w:rFonts w:eastAsia="Times New Roman" w:cs="Times New Roman"/>
          <w:i/>
          <w:iCs/>
          <w:szCs w:val="24"/>
          <w:lang w:val="es-CO" w:eastAsia="es-ES"/>
        </w:rPr>
        <w:t>... (sic)”</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La importancia del aparte destacado radica en que en él se confirma que el concepto de sociedades fusionadas no incluye a la sociedad absorbente.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highlight w:val="green"/>
          <w:lang w:val="es-CO" w:eastAsia="es-ES"/>
        </w:rPr>
        <w:t>4. Y finalmente, revisada la doctrina de la DIAN sobre el tema encontramos que en el Concepto No. 33741 del 1 de junio de 2004, esa entidad dijo lo siguiente: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w:t>
      </w:r>
    </w:p>
    <w:p w:rsidR="001E574F" w:rsidRPr="001E574F" w:rsidRDefault="001E574F" w:rsidP="001E574F">
      <w:pPr>
        <w:spacing w:line="240" w:lineRule="auto"/>
        <w:ind w:left="284"/>
        <w:rPr>
          <w:rFonts w:eastAsia="Times New Roman" w:cs="Times New Roman"/>
          <w:b/>
          <w:bCs/>
          <w:i/>
          <w:iCs/>
          <w:szCs w:val="24"/>
          <w:lang w:val="es-CO" w:eastAsia="es-ES"/>
        </w:rPr>
      </w:pP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b/>
          <w:bCs/>
          <w:i/>
          <w:iCs/>
          <w:szCs w:val="24"/>
          <w:lang w:val="es-CO" w:eastAsia="es-ES"/>
        </w:rPr>
        <w:t>TESIS JURÍDICA:</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Las </w:t>
      </w:r>
      <w:r w:rsidRPr="001E574F">
        <w:rPr>
          <w:rFonts w:eastAsia="Times New Roman" w:cs="Times New Roman"/>
          <w:i/>
          <w:iCs/>
          <w:szCs w:val="24"/>
          <w:u w:val="single"/>
          <w:lang w:val="es-CO" w:eastAsia="es-ES"/>
        </w:rPr>
        <w:t>sociedades absorbentes</w:t>
      </w:r>
      <w:r w:rsidRPr="001E574F">
        <w:rPr>
          <w:rFonts w:eastAsia="Times New Roman" w:cs="Times New Roman"/>
          <w:i/>
          <w:iCs/>
          <w:szCs w:val="24"/>
          <w:lang w:val="es-CO" w:eastAsia="es-ES"/>
        </w:rPr>
        <w:t> pueden compensar las pérdidas fiscales de años anteriores declaradas por las </w:t>
      </w:r>
      <w:r w:rsidRPr="001E574F">
        <w:rPr>
          <w:rFonts w:eastAsia="Times New Roman" w:cs="Times New Roman"/>
          <w:i/>
          <w:iCs/>
          <w:szCs w:val="24"/>
          <w:u w:val="single"/>
          <w:lang w:val="es-CO" w:eastAsia="es-ES"/>
        </w:rPr>
        <w:t>sociedades absorbidas</w:t>
      </w:r>
      <w:r w:rsidRPr="001E574F">
        <w:rPr>
          <w:rFonts w:eastAsia="Times New Roman" w:cs="Times New Roman"/>
          <w:i/>
          <w:iCs/>
          <w:szCs w:val="24"/>
          <w:lang w:val="es-CO" w:eastAsia="es-ES"/>
        </w:rPr>
        <w:t>, no enjugadas por estas, con sus rentas líquidas ordinarias, en la proporción y en los plazos señalados por la Ley.</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b/>
          <w:bCs/>
          <w:i/>
          <w:iCs/>
          <w:szCs w:val="24"/>
          <w:lang w:val="es-CO" w:eastAsia="es-ES"/>
        </w:rPr>
        <w:t>INTERPRETACIÓN JURÍDICA:</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lastRenderedPageBreak/>
        <w:t>(...)</w:t>
      </w:r>
    </w:p>
    <w:p w:rsidR="001E574F" w:rsidRPr="001E574F" w:rsidRDefault="001E574F" w:rsidP="001E574F">
      <w:pPr>
        <w:spacing w:line="240" w:lineRule="auto"/>
        <w:ind w:left="284"/>
        <w:rPr>
          <w:rFonts w:eastAsia="Times New Roman" w:cs="Times New Roman"/>
          <w:i/>
          <w:iCs/>
          <w:szCs w:val="24"/>
          <w:lang w:val="es-CO" w:eastAsia="es-ES"/>
        </w:rPr>
      </w:pP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Es claro que a partir de las fusiones por absorción efectuadas en vigencia de la Ley 788 de 2002, esto es </w:t>
      </w:r>
      <w:r w:rsidRPr="001E574F">
        <w:rPr>
          <w:rFonts w:eastAsia="Times New Roman" w:cs="Times New Roman"/>
          <w:i/>
          <w:iCs/>
          <w:szCs w:val="24"/>
          <w:u w:val="single"/>
          <w:lang w:val="es-CO" w:eastAsia="es-ES"/>
        </w:rPr>
        <w:t>a partir del año gravable 2003, solo es posible compensar las pérdidas fiscales sufridas por las sociedades fusionadas</w:t>
      </w:r>
      <w:r w:rsidRPr="001E574F">
        <w:rPr>
          <w:rFonts w:eastAsia="Times New Roman" w:cs="Times New Roman"/>
          <w:i/>
          <w:iCs/>
          <w:szCs w:val="24"/>
          <w:lang w:val="es-CO" w:eastAsia="es-ES"/>
        </w:rPr>
        <w:t>, hasta un límite equivalente al porcentaje de participación de los patrimonios de las sociedades fusionadas dentro del patrimonio de la </w:t>
      </w:r>
      <w:r w:rsidRPr="001E574F">
        <w:rPr>
          <w:rFonts w:eastAsia="Times New Roman" w:cs="Times New Roman"/>
          <w:i/>
          <w:iCs/>
          <w:szCs w:val="24"/>
          <w:u w:val="single"/>
          <w:lang w:val="es-CO" w:eastAsia="es-ES"/>
        </w:rPr>
        <w:t>absorbente</w:t>
      </w:r>
      <w:r w:rsidRPr="001E574F">
        <w:rPr>
          <w:rFonts w:eastAsia="Times New Roman" w:cs="Times New Roman"/>
          <w:i/>
          <w:iCs/>
          <w:szCs w:val="24"/>
          <w:lang w:val="es-CO" w:eastAsia="es-ES"/>
        </w:rPr>
        <w:t>.</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 De esta manera, </w:t>
      </w:r>
      <w:r w:rsidRPr="001E574F">
        <w:rPr>
          <w:rFonts w:eastAsia="Times New Roman" w:cs="Times New Roman"/>
          <w:i/>
          <w:iCs/>
          <w:szCs w:val="24"/>
          <w:u w:val="single"/>
          <w:lang w:val="es-CO" w:eastAsia="es-ES"/>
        </w:rPr>
        <w:t>las sociedades absorbentes pueden compensar las pérdidas fiscales declaradas por las sociedades absorbidas</w:t>
      </w:r>
      <w:r w:rsidRPr="001E574F">
        <w:rPr>
          <w:rFonts w:eastAsia="Times New Roman" w:cs="Times New Roman"/>
          <w:i/>
          <w:iCs/>
          <w:szCs w:val="24"/>
          <w:lang w:val="es-CO" w:eastAsia="es-ES"/>
        </w:rPr>
        <w:t> con sus rentas líquidas ordinarias siempre y cuando se dé cumplimiento a los requisitos exigidos por la ley, a saber:</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1. Que el monto a compensar no exceda el porcentaje de participación del patrimonio de la absorbida en el patrimonio de la absorbente.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Así, la propia DIAN en su doctrina había señalado que la limitación prevista en el </w:t>
      </w:r>
      <w:hyperlink r:id="rId8" w:tooltip="Estatuto Tributario CETA" w:history="1">
        <w:r w:rsidRPr="001E574F">
          <w:rPr>
            <w:rFonts w:eastAsia="Times New Roman" w:cs="Times New Roman"/>
            <w:i/>
            <w:iCs/>
            <w:szCs w:val="24"/>
            <w:lang w:val="es-CO" w:eastAsia="es-ES"/>
          </w:rPr>
          <w:t>artículo 147</w:t>
        </w:r>
      </w:hyperlink>
      <w:r w:rsidRPr="001E574F">
        <w:rPr>
          <w:rFonts w:eastAsia="Times New Roman" w:cs="Times New Roman"/>
          <w:i/>
          <w:iCs/>
          <w:szCs w:val="24"/>
          <w:lang w:val="es-CO" w:eastAsia="es-ES"/>
        </w:rPr>
        <w:t> del E.T. aplica únicamente respecto de las pérdidas fiscales de las sociedades fusionadas, en el entendido de que la sociedad absorbente no es una sociedad fusionada.”</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En atención a la consulta, se procede a analizar las siguientes consideraciones tributarias:</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b/>
          <w:bCs/>
          <w:szCs w:val="24"/>
          <w:lang w:val="es-CO" w:eastAsia="es-ES"/>
        </w:rPr>
        <w:t>1. Análisis del primer argumento presentado por la consultante: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1.1. El límite establecido en el inciso segundo del </w:t>
      </w:r>
      <w:hyperlink r:id="rId9" w:tooltip="Estatuto Tributario CETA" w:history="1">
        <w:r w:rsidRPr="001E574F">
          <w:rPr>
            <w:rFonts w:eastAsia="Times New Roman" w:cs="Times New Roman"/>
            <w:szCs w:val="24"/>
            <w:lang w:val="es-CO" w:eastAsia="es-ES"/>
          </w:rPr>
          <w:t>artículo 147</w:t>
        </w:r>
      </w:hyperlink>
      <w:r w:rsidRPr="001E574F">
        <w:rPr>
          <w:rFonts w:eastAsia="Times New Roman" w:cs="Times New Roman"/>
          <w:szCs w:val="24"/>
          <w:lang w:val="es-CO" w:eastAsia="es-ES"/>
        </w:rPr>
        <w:t> del Estatuto Tributario (en adelante “</w:t>
      </w:r>
      <w:r w:rsidRPr="001E574F">
        <w:rPr>
          <w:rFonts w:eastAsia="Times New Roman" w:cs="Times New Roman"/>
          <w:szCs w:val="24"/>
          <w:u w:val="single"/>
          <w:lang w:val="es-CO" w:eastAsia="es-ES"/>
        </w:rPr>
        <w:t>E.T.</w:t>
      </w:r>
      <w:r w:rsidRPr="001E574F">
        <w:rPr>
          <w:rFonts w:eastAsia="Times New Roman" w:cs="Times New Roman"/>
          <w:szCs w:val="24"/>
          <w:lang w:val="es-CO" w:eastAsia="es-ES"/>
        </w:rPr>
        <w:t>”), para efectos de la utilización de las pérdidas fiscales en los procesos de fusión o escisión, establece: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“equivalente al porcentaje de participación de los patrimonios de las </w:t>
      </w:r>
      <w:r w:rsidRPr="001E574F">
        <w:rPr>
          <w:rFonts w:eastAsia="Times New Roman" w:cs="Times New Roman"/>
          <w:i/>
          <w:iCs/>
          <w:szCs w:val="24"/>
          <w:u w:val="single"/>
          <w:lang w:val="es-CO" w:eastAsia="es-ES"/>
        </w:rPr>
        <w:t>sociedades fusionadas</w:t>
      </w:r>
      <w:r w:rsidRPr="001E574F">
        <w:rPr>
          <w:rFonts w:eastAsia="Times New Roman" w:cs="Times New Roman"/>
          <w:i/>
          <w:iCs/>
          <w:szCs w:val="24"/>
          <w:lang w:val="es-CO" w:eastAsia="es-ES"/>
        </w:rPr>
        <w:t> dentro del patrimonio de la sociedad absorbente o resultante”.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1.2. En esta medida, es preciso analizar si el concepto de </w:t>
      </w:r>
      <w:r w:rsidRPr="001E574F">
        <w:rPr>
          <w:rFonts w:eastAsia="Times New Roman" w:cs="Times New Roman"/>
          <w:i/>
          <w:iCs/>
          <w:szCs w:val="24"/>
          <w:lang w:val="es-CO" w:eastAsia="es-ES"/>
        </w:rPr>
        <w:t>"sociedades fusionadas" </w:t>
      </w:r>
      <w:r w:rsidRPr="001E574F">
        <w:rPr>
          <w:rFonts w:eastAsia="Times New Roman" w:cs="Times New Roman"/>
          <w:szCs w:val="24"/>
          <w:lang w:val="es-CO" w:eastAsia="es-ES"/>
        </w:rPr>
        <w:t>difiere o no del de</w:t>
      </w:r>
      <w:r w:rsidRPr="001E574F">
        <w:rPr>
          <w:rFonts w:eastAsia="Times New Roman" w:cs="Times New Roman"/>
          <w:i/>
          <w:iCs/>
          <w:szCs w:val="24"/>
          <w:lang w:val="es-CO" w:eastAsia="es-ES"/>
        </w:rPr>
        <w:t> "sociedades absorbidas"</w:t>
      </w:r>
      <w:r w:rsidRPr="001E574F">
        <w:rPr>
          <w:rFonts w:eastAsia="Times New Roman" w:cs="Times New Roman"/>
          <w:szCs w:val="24"/>
          <w:lang w:val="es-CO" w:eastAsia="es-ES"/>
        </w:rPr>
        <w:t>. Esto, teniendo en cuenta que el artículo 172 del Código de Comercio establece que: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“Habrá fusión cuando una o más sociedades se disuelvan, sin liquidarse, para ser absorbidas por otra o para crear una nueva.</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La absorbente o la nueva compañía adquirirá los derechos y obligaciones de la sociedad o sociedades disueltas al formalizarse el acuerdo de fusión.”</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1.3. De la norma anterior, se desprende que las </w:t>
      </w:r>
      <w:r w:rsidRPr="001E574F">
        <w:rPr>
          <w:rFonts w:eastAsia="Times New Roman" w:cs="Times New Roman"/>
          <w:i/>
          <w:iCs/>
          <w:szCs w:val="24"/>
          <w:lang w:val="es-CO" w:eastAsia="es-ES"/>
        </w:rPr>
        <w:t>"sociedades absorbidas", </w:t>
      </w:r>
      <w:r w:rsidRPr="001E574F">
        <w:rPr>
          <w:rFonts w:eastAsia="Times New Roman" w:cs="Times New Roman"/>
          <w:szCs w:val="24"/>
          <w:lang w:val="es-CO" w:eastAsia="es-ES"/>
        </w:rPr>
        <w:t>son aquellas sociedades que se disuelven, sin liquidarse, para fusionarse con otra o para crear una nueva.</w:t>
      </w:r>
    </w:p>
    <w:p w:rsidR="001E574F" w:rsidRPr="001E574F" w:rsidRDefault="001E574F" w:rsidP="001E574F">
      <w:pPr>
        <w:spacing w:line="240" w:lineRule="auto"/>
        <w:ind w:left="284"/>
        <w:rPr>
          <w:rFonts w:eastAsia="Times New Roman" w:cs="Times New Roman"/>
          <w:szCs w:val="24"/>
          <w:lang w:val="es-CO" w:eastAsia="es-ES"/>
        </w:rPr>
      </w:pP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1.4. En esta medida, es claro que el artículo 172 del Código de Comercio no hace referencia al concepto de </w:t>
      </w:r>
      <w:r w:rsidRPr="001E574F">
        <w:rPr>
          <w:rFonts w:eastAsia="Times New Roman" w:cs="Times New Roman"/>
          <w:i/>
          <w:iCs/>
          <w:szCs w:val="24"/>
          <w:lang w:val="es-CO" w:eastAsia="es-ES"/>
        </w:rPr>
        <w:t>“sociedades fusionadas”</w:t>
      </w:r>
      <w:r w:rsidRPr="001E574F">
        <w:rPr>
          <w:rFonts w:eastAsia="Times New Roman" w:cs="Times New Roman"/>
          <w:szCs w:val="24"/>
          <w:lang w:val="es-CO" w:eastAsia="es-ES"/>
        </w:rPr>
        <w:t>. Sin embargo, el Oficio No. 220-056752 del 29 de marzo de 2016 de la Superintendencia de Sociedades estableció que: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 xml:space="preserve">"Ahora bien, de acuerdo con la condición establecida en la norma invocada, al realizarse la fusión, la sociedad que se cree con ocasión del proceso o la sociedad absorbente, adquiere de inmediato todos los derechos y obligaciones de la sociedad absorbida, lo </w:t>
      </w:r>
      <w:proofErr w:type="gramStart"/>
      <w:r w:rsidRPr="001E574F">
        <w:rPr>
          <w:rFonts w:eastAsia="Times New Roman" w:cs="Times New Roman"/>
          <w:i/>
          <w:iCs/>
          <w:szCs w:val="24"/>
          <w:lang w:val="es-CO" w:eastAsia="es-ES"/>
        </w:rPr>
        <w:t>que</w:t>
      </w:r>
      <w:proofErr w:type="gramEnd"/>
      <w:r w:rsidRPr="001E574F">
        <w:rPr>
          <w:rFonts w:eastAsia="Times New Roman" w:cs="Times New Roman"/>
          <w:i/>
          <w:iCs/>
          <w:szCs w:val="24"/>
          <w:lang w:val="es-CO" w:eastAsia="es-ES"/>
        </w:rPr>
        <w:t xml:space="preserve"> desde el punto de vista jurídico como contable, implica que la absorbente asume la totalidad de los activos y pasivos de la absorbida. Como explica el profesor Francisco Reyes Villamizar, actual Superintendente de Sociedades "Se trata de una transferencia sub </w:t>
      </w:r>
      <w:proofErr w:type="spellStart"/>
      <w:r w:rsidRPr="001E574F">
        <w:rPr>
          <w:rFonts w:eastAsia="Times New Roman" w:cs="Times New Roman"/>
          <w:i/>
          <w:iCs/>
          <w:szCs w:val="24"/>
          <w:lang w:val="es-CO" w:eastAsia="es-ES"/>
        </w:rPr>
        <w:t>specie</w:t>
      </w:r>
      <w:proofErr w:type="spellEnd"/>
      <w:r w:rsidRPr="001E574F">
        <w:rPr>
          <w:rFonts w:eastAsia="Times New Roman" w:cs="Times New Roman"/>
          <w:i/>
          <w:iCs/>
          <w:szCs w:val="24"/>
          <w:lang w:val="es-CO" w:eastAsia="es-ES"/>
        </w:rPr>
        <w:t xml:space="preserve"> </w:t>
      </w:r>
      <w:proofErr w:type="spellStart"/>
      <w:r w:rsidRPr="001E574F">
        <w:rPr>
          <w:rFonts w:eastAsia="Times New Roman" w:cs="Times New Roman"/>
          <w:i/>
          <w:iCs/>
          <w:szCs w:val="24"/>
          <w:lang w:val="es-CO" w:eastAsia="es-ES"/>
        </w:rPr>
        <w:t>universalitis</w:t>
      </w:r>
      <w:proofErr w:type="spellEnd"/>
      <w:r w:rsidRPr="001E574F">
        <w:rPr>
          <w:rFonts w:eastAsia="Times New Roman" w:cs="Times New Roman"/>
          <w:i/>
          <w:iCs/>
          <w:szCs w:val="24"/>
          <w:lang w:val="es-CO" w:eastAsia="es-ES"/>
        </w:rPr>
        <w:t>, que significa que no es necesario el cumplimiento de una multiplicidad de actos jurídicos individuales para que se produzca la trasmisión íntegra de los activos y pasivos de todas </w:t>
      </w:r>
      <w:r w:rsidRPr="001E574F">
        <w:rPr>
          <w:rFonts w:eastAsia="Times New Roman" w:cs="Times New Roman"/>
          <w:i/>
          <w:iCs/>
          <w:szCs w:val="24"/>
          <w:u w:val="single"/>
          <w:lang w:val="es-CO" w:eastAsia="es-ES"/>
        </w:rPr>
        <w:t xml:space="preserve">las sociedades fusionadas a la compañía </w:t>
      </w:r>
      <w:proofErr w:type="spellStart"/>
      <w:r w:rsidRPr="001E574F">
        <w:rPr>
          <w:rFonts w:eastAsia="Times New Roman" w:cs="Times New Roman"/>
          <w:i/>
          <w:iCs/>
          <w:szCs w:val="24"/>
          <w:u w:val="single"/>
          <w:lang w:val="es-CO" w:eastAsia="es-ES"/>
        </w:rPr>
        <w:t>fusionante</w:t>
      </w:r>
      <w:proofErr w:type="spellEnd"/>
      <w:r w:rsidRPr="001E574F">
        <w:rPr>
          <w:rFonts w:eastAsia="Times New Roman" w:cs="Times New Roman"/>
          <w:i/>
          <w:iCs/>
          <w:szCs w:val="24"/>
          <w:u w:val="single"/>
          <w:lang w:val="es-CO" w:eastAsia="es-ES"/>
        </w:rPr>
        <w:t xml:space="preserve"> (nueva o absorbente)</w:t>
      </w:r>
      <w:r w:rsidRPr="001E574F">
        <w:rPr>
          <w:rFonts w:eastAsia="Times New Roman" w:cs="Times New Roman"/>
          <w:i/>
          <w:iCs/>
          <w:szCs w:val="24"/>
          <w:lang w:val="es-CO" w:eastAsia="es-ES"/>
        </w:rPr>
        <w:t>. La transferencia patrimonial opera, ipso iure, a título universal".</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lastRenderedPageBreak/>
        <w:t xml:space="preserve">1.5. De lo anterior, es posible evidenciar </w:t>
      </w:r>
      <w:proofErr w:type="gramStart"/>
      <w:r w:rsidRPr="001E574F">
        <w:rPr>
          <w:rFonts w:eastAsia="Times New Roman" w:cs="Times New Roman"/>
          <w:szCs w:val="24"/>
          <w:lang w:val="es-CO" w:eastAsia="es-ES"/>
        </w:rPr>
        <w:t>que</w:t>
      </w:r>
      <w:proofErr w:type="gramEnd"/>
      <w:r w:rsidRPr="001E574F">
        <w:rPr>
          <w:rFonts w:eastAsia="Times New Roman" w:cs="Times New Roman"/>
          <w:szCs w:val="24"/>
          <w:lang w:val="es-CO" w:eastAsia="es-ES"/>
        </w:rPr>
        <w:t xml:space="preserve"> para la Superintendencia de Sociedades, el concepto de sociedades fusionadas, no involucra a la sociedad </w:t>
      </w:r>
      <w:proofErr w:type="spellStart"/>
      <w:r w:rsidRPr="001E574F">
        <w:rPr>
          <w:rFonts w:eastAsia="Times New Roman" w:cs="Times New Roman"/>
          <w:szCs w:val="24"/>
          <w:lang w:val="es-CO" w:eastAsia="es-ES"/>
        </w:rPr>
        <w:t>fusionante</w:t>
      </w:r>
      <w:proofErr w:type="spellEnd"/>
      <w:r w:rsidRPr="001E574F">
        <w:rPr>
          <w:rFonts w:eastAsia="Times New Roman" w:cs="Times New Roman"/>
          <w:szCs w:val="24"/>
          <w:lang w:val="es-CO" w:eastAsia="es-ES"/>
        </w:rPr>
        <w:t xml:space="preserve"> (nueva o </w:t>
      </w:r>
      <w:proofErr w:type="spellStart"/>
      <w:r w:rsidRPr="001E574F">
        <w:rPr>
          <w:rFonts w:eastAsia="Times New Roman" w:cs="Times New Roman"/>
          <w:szCs w:val="24"/>
          <w:lang w:val="es-CO" w:eastAsia="es-ES"/>
        </w:rPr>
        <w:t>absorvente</w:t>
      </w:r>
      <w:proofErr w:type="spellEnd"/>
      <w:r w:rsidRPr="001E574F">
        <w:rPr>
          <w:rFonts w:eastAsia="Times New Roman" w:cs="Times New Roman"/>
          <w:szCs w:val="24"/>
          <w:lang w:val="es-CO" w:eastAsia="es-ES"/>
        </w:rPr>
        <w:t>), contrario a lo señalado en el concepto objeto de la solicitud de reconsideración.</w:t>
      </w:r>
    </w:p>
    <w:p w:rsidR="001E574F" w:rsidRPr="001E574F" w:rsidRDefault="001E574F" w:rsidP="001E574F">
      <w:pPr>
        <w:spacing w:line="240" w:lineRule="auto"/>
        <w:ind w:left="284"/>
        <w:rPr>
          <w:rFonts w:eastAsia="Times New Roman" w:cs="Times New Roman"/>
          <w:szCs w:val="24"/>
          <w:lang w:val="es-CO" w:eastAsia="es-ES"/>
        </w:rPr>
      </w:pP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1.6. Considerando que la Superintendencia de Sociedades es el órgano facultado para ejercer la inspección, vigilancia y control de las sociedades mercantiles, quien a través de su oficina jurídica pude (sic) Resolver las consultas formuladas por los organismos públicos y privados, así como por los usuarios y particulares, de conformidad con las normas que rigen servicios y funciones de la Superintendencia, consideramos necesario acogernos a lo establecido en el Oficio No. 220-056752 del 29 de marzo de 2016 de la Superintendencia de Sociedades donde se reconoce que el concepto de </w:t>
      </w:r>
      <w:r w:rsidRPr="001E574F">
        <w:rPr>
          <w:rFonts w:eastAsia="Times New Roman" w:cs="Times New Roman"/>
          <w:i/>
          <w:iCs/>
          <w:szCs w:val="24"/>
          <w:lang w:val="es-CO" w:eastAsia="es-ES"/>
        </w:rPr>
        <w:t xml:space="preserve">“sociedades </w:t>
      </w:r>
      <w:proofErr w:type="spellStart"/>
      <w:r w:rsidRPr="001E574F">
        <w:rPr>
          <w:rFonts w:eastAsia="Times New Roman" w:cs="Times New Roman"/>
          <w:i/>
          <w:iCs/>
          <w:szCs w:val="24"/>
          <w:lang w:val="es-CO" w:eastAsia="es-ES"/>
        </w:rPr>
        <w:t>fucionadas</w:t>
      </w:r>
      <w:proofErr w:type="spellEnd"/>
      <w:r w:rsidRPr="001E574F">
        <w:rPr>
          <w:rFonts w:eastAsia="Times New Roman" w:cs="Times New Roman"/>
          <w:i/>
          <w:iCs/>
          <w:szCs w:val="24"/>
          <w:lang w:val="es-CO" w:eastAsia="es-ES"/>
        </w:rPr>
        <w:t>” (sic)</w:t>
      </w:r>
      <w:r w:rsidRPr="001E574F">
        <w:rPr>
          <w:rFonts w:eastAsia="Times New Roman" w:cs="Times New Roman"/>
          <w:szCs w:val="24"/>
          <w:lang w:val="es-CO" w:eastAsia="es-ES"/>
        </w:rPr>
        <w:t xml:space="preserve"> no incluye a la sociedad </w:t>
      </w:r>
      <w:proofErr w:type="spellStart"/>
      <w:r w:rsidRPr="001E574F">
        <w:rPr>
          <w:rFonts w:eastAsia="Times New Roman" w:cs="Times New Roman"/>
          <w:szCs w:val="24"/>
          <w:lang w:val="es-CO" w:eastAsia="es-ES"/>
        </w:rPr>
        <w:t>fusionante</w:t>
      </w:r>
      <w:proofErr w:type="spellEnd"/>
      <w:r w:rsidRPr="001E574F">
        <w:rPr>
          <w:rFonts w:eastAsia="Times New Roman" w:cs="Times New Roman"/>
          <w:szCs w:val="24"/>
          <w:lang w:val="es-CO" w:eastAsia="es-ES"/>
        </w:rPr>
        <w:t xml:space="preserve"> (nueva o </w:t>
      </w:r>
      <w:proofErr w:type="spellStart"/>
      <w:r w:rsidRPr="001E574F">
        <w:rPr>
          <w:rFonts w:eastAsia="Times New Roman" w:cs="Times New Roman"/>
          <w:szCs w:val="24"/>
          <w:lang w:val="es-CO" w:eastAsia="es-ES"/>
        </w:rPr>
        <w:t>absorvente</w:t>
      </w:r>
      <w:proofErr w:type="spellEnd"/>
      <w:r w:rsidRPr="001E574F">
        <w:rPr>
          <w:rFonts w:eastAsia="Times New Roman" w:cs="Times New Roman"/>
          <w:szCs w:val="24"/>
          <w:lang w:val="es-CO" w:eastAsia="es-ES"/>
        </w:rPr>
        <w:t xml:space="preserve"> (sic)).</w:t>
      </w:r>
    </w:p>
    <w:p w:rsidR="001E574F" w:rsidRPr="001E574F" w:rsidRDefault="001E574F" w:rsidP="001E574F">
      <w:pPr>
        <w:spacing w:line="240" w:lineRule="auto"/>
        <w:ind w:left="284"/>
        <w:rPr>
          <w:rFonts w:eastAsia="Times New Roman" w:cs="Times New Roman"/>
          <w:szCs w:val="24"/>
          <w:lang w:val="es-CO" w:eastAsia="es-ES"/>
        </w:rPr>
      </w:pP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1.7. Por lo anterior, consideramos necesario reconsiderar la postura establecida en el Oficio No. 022452 del 9 de septiembre de 2019, teniendo en cuenta que el concepto de </w:t>
      </w:r>
      <w:r w:rsidRPr="001E574F">
        <w:rPr>
          <w:rFonts w:eastAsia="Times New Roman" w:cs="Times New Roman"/>
          <w:i/>
          <w:iCs/>
          <w:szCs w:val="24"/>
          <w:lang w:val="es-CO" w:eastAsia="es-ES"/>
        </w:rPr>
        <w:t xml:space="preserve">“sociedades </w:t>
      </w:r>
      <w:proofErr w:type="spellStart"/>
      <w:r w:rsidRPr="001E574F">
        <w:rPr>
          <w:rFonts w:eastAsia="Times New Roman" w:cs="Times New Roman"/>
          <w:i/>
          <w:iCs/>
          <w:szCs w:val="24"/>
          <w:lang w:val="es-CO" w:eastAsia="es-ES"/>
        </w:rPr>
        <w:t>fucionadas</w:t>
      </w:r>
      <w:proofErr w:type="spellEnd"/>
      <w:r w:rsidRPr="001E574F">
        <w:rPr>
          <w:rFonts w:eastAsia="Times New Roman" w:cs="Times New Roman"/>
          <w:i/>
          <w:iCs/>
          <w:szCs w:val="24"/>
          <w:lang w:val="es-CO" w:eastAsia="es-ES"/>
        </w:rPr>
        <w:t>”</w:t>
      </w:r>
      <w:r w:rsidRPr="001E574F">
        <w:rPr>
          <w:rFonts w:eastAsia="Times New Roman" w:cs="Times New Roman"/>
          <w:szCs w:val="24"/>
          <w:lang w:val="es-CO" w:eastAsia="es-ES"/>
        </w:rPr>
        <w:t> </w:t>
      </w:r>
      <w:r w:rsidRPr="001E574F">
        <w:rPr>
          <w:rFonts w:eastAsia="Times New Roman" w:cs="Times New Roman"/>
          <w:i/>
          <w:iCs/>
          <w:szCs w:val="24"/>
          <w:lang w:val="es-CO" w:eastAsia="es-ES"/>
        </w:rPr>
        <w:t>(sic)</w:t>
      </w:r>
      <w:r w:rsidRPr="001E574F">
        <w:rPr>
          <w:rFonts w:eastAsia="Times New Roman" w:cs="Times New Roman"/>
          <w:szCs w:val="24"/>
          <w:lang w:val="es-CO" w:eastAsia="es-ES"/>
        </w:rPr>
        <w:t> establecido en el inciso segundo del </w:t>
      </w:r>
      <w:hyperlink r:id="rId10" w:tooltip="Estatuto Tributario CETA" w:history="1">
        <w:r w:rsidRPr="001E574F">
          <w:rPr>
            <w:rFonts w:eastAsia="Times New Roman" w:cs="Times New Roman"/>
            <w:szCs w:val="24"/>
            <w:lang w:val="es-CO" w:eastAsia="es-ES"/>
          </w:rPr>
          <w:t>artículo 147</w:t>
        </w:r>
      </w:hyperlink>
      <w:r w:rsidRPr="001E574F">
        <w:rPr>
          <w:rFonts w:eastAsia="Times New Roman" w:cs="Times New Roman"/>
          <w:szCs w:val="24"/>
          <w:lang w:val="es-CO" w:eastAsia="es-ES"/>
        </w:rPr>
        <w:t xml:space="preserve"> de E.T. corresponde a las sociedades que serán </w:t>
      </w:r>
      <w:proofErr w:type="spellStart"/>
      <w:r w:rsidRPr="001E574F">
        <w:rPr>
          <w:rFonts w:eastAsia="Times New Roman" w:cs="Times New Roman"/>
          <w:szCs w:val="24"/>
          <w:lang w:val="es-CO" w:eastAsia="es-ES"/>
        </w:rPr>
        <w:t>absorvidas</w:t>
      </w:r>
      <w:proofErr w:type="spellEnd"/>
      <w:r w:rsidRPr="001E574F">
        <w:rPr>
          <w:rFonts w:eastAsia="Times New Roman" w:cs="Times New Roman"/>
          <w:szCs w:val="24"/>
          <w:lang w:val="es-CO" w:eastAsia="es-ES"/>
        </w:rPr>
        <w:t xml:space="preserve"> (sic) o adquiridas en un proceso de fusión sin incluir a la sociedad absorbente o </w:t>
      </w:r>
      <w:proofErr w:type="spellStart"/>
      <w:r w:rsidRPr="001E574F">
        <w:rPr>
          <w:rFonts w:eastAsia="Times New Roman" w:cs="Times New Roman"/>
          <w:szCs w:val="24"/>
          <w:lang w:val="es-CO" w:eastAsia="es-ES"/>
        </w:rPr>
        <w:t>fusionante</w:t>
      </w:r>
      <w:proofErr w:type="spellEnd"/>
      <w:r w:rsidRPr="001E574F">
        <w:rPr>
          <w:rFonts w:eastAsia="Times New Roman" w:cs="Times New Roman"/>
          <w:szCs w:val="24"/>
          <w:lang w:val="es-CO" w:eastAsia="es-ES"/>
        </w:rPr>
        <w:t>.</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b/>
          <w:bCs/>
          <w:szCs w:val="24"/>
          <w:lang w:val="es-CO" w:eastAsia="es-ES"/>
        </w:rPr>
        <w:t>2. Análisis del segundo argumento presentado por la consultante: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2.1. El consultante se remite a la exposición de motivos del </w:t>
      </w:r>
      <w:hyperlink r:id="rId11" w:tooltip="Estatuto Tributario CETA" w:history="1">
        <w:r w:rsidRPr="001E574F">
          <w:rPr>
            <w:rFonts w:eastAsia="Times New Roman" w:cs="Times New Roman"/>
            <w:szCs w:val="24"/>
            <w:lang w:val="es-CO" w:eastAsia="es-ES"/>
          </w:rPr>
          <w:t>artículo 147</w:t>
        </w:r>
      </w:hyperlink>
      <w:r w:rsidRPr="001E574F">
        <w:rPr>
          <w:rFonts w:eastAsia="Times New Roman" w:cs="Times New Roman"/>
          <w:szCs w:val="24"/>
          <w:lang w:val="es-CO" w:eastAsia="es-ES"/>
        </w:rPr>
        <w:t> del E.T., para efectos de establecer que: </w:t>
      </w:r>
      <w:r w:rsidRPr="001E574F">
        <w:rPr>
          <w:rFonts w:eastAsia="Times New Roman" w:cs="Times New Roman"/>
          <w:i/>
          <w:iCs/>
          <w:szCs w:val="24"/>
          <w:u w:val="single"/>
          <w:lang w:val="es-CO" w:eastAsia="es-ES"/>
        </w:rPr>
        <w:t>"se regula lo correspondiente a las pérdidas asociadas a los procesos de fusión y escisión de sociedades, cuidando que los mismos sean neutrales con los procesos de reorganización empresarial, de modo que se evite su utilización para la obtención de beneficios tributarios ajenos a la realidad económica.</w:t>
      </w:r>
      <w:r w:rsidRPr="001E574F">
        <w:rPr>
          <w:rFonts w:eastAsia="Times New Roman" w:cs="Times New Roman"/>
          <w:i/>
          <w:iCs/>
          <w:szCs w:val="24"/>
          <w:lang w:val="es-CO" w:eastAsia="es-ES"/>
        </w:rPr>
        <w:t>"</w:t>
      </w:r>
    </w:p>
    <w:p w:rsidR="001E574F" w:rsidRPr="001E574F" w:rsidRDefault="001E574F" w:rsidP="001E574F">
      <w:pPr>
        <w:spacing w:line="240" w:lineRule="auto"/>
        <w:ind w:left="284"/>
        <w:rPr>
          <w:rFonts w:eastAsia="Times New Roman" w:cs="Times New Roman"/>
          <w:szCs w:val="24"/>
          <w:lang w:val="es-CO" w:eastAsia="es-ES"/>
        </w:rPr>
      </w:pP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2.2. Por lo anterior, es posible evidenciar que la exposición de motivos del </w:t>
      </w:r>
      <w:hyperlink r:id="rId12" w:tooltip="Estatuto Tributario CETA" w:history="1">
        <w:r w:rsidRPr="001E574F">
          <w:rPr>
            <w:rFonts w:eastAsia="Times New Roman" w:cs="Times New Roman"/>
            <w:szCs w:val="24"/>
            <w:lang w:val="es-CO" w:eastAsia="es-ES"/>
          </w:rPr>
          <w:t>artículo 147</w:t>
        </w:r>
      </w:hyperlink>
      <w:r w:rsidRPr="001E574F">
        <w:rPr>
          <w:rFonts w:eastAsia="Times New Roman" w:cs="Times New Roman"/>
          <w:szCs w:val="24"/>
          <w:lang w:val="es-CO" w:eastAsia="es-ES"/>
        </w:rPr>
        <w:t> reconoce que la finalidad de la norma era evitar la utilización de las pérdidas fiscales en los procesos de fusión y escisión para la obtención de beneficios tributarios ajenos a la realidad económica.</w:t>
      </w:r>
    </w:p>
    <w:p w:rsidR="001E574F" w:rsidRPr="001E574F" w:rsidRDefault="001E574F" w:rsidP="001E574F">
      <w:pPr>
        <w:spacing w:line="240" w:lineRule="auto"/>
        <w:ind w:left="284"/>
        <w:rPr>
          <w:rFonts w:eastAsia="Times New Roman" w:cs="Times New Roman"/>
          <w:szCs w:val="24"/>
          <w:lang w:val="es-CO" w:eastAsia="es-ES"/>
        </w:rPr>
      </w:pP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2.3. En esta medida, es posible evidenciar que la norma buscaba limitar las pérdidas fiscales de las sociedades absorbidas y no las correspondientes a las sociedades absorbentes, ya que estos hacen parte de su realidad económica.</w:t>
      </w:r>
    </w:p>
    <w:p w:rsidR="001E574F" w:rsidRPr="001E574F" w:rsidRDefault="001E574F" w:rsidP="001E574F">
      <w:pPr>
        <w:spacing w:line="240" w:lineRule="auto"/>
        <w:ind w:left="284"/>
        <w:rPr>
          <w:rFonts w:eastAsia="Times New Roman" w:cs="Times New Roman"/>
          <w:szCs w:val="24"/>
          <w:lang w:val="es-CO" w:eastAsia="es-ES"/>
        </w:rPr>
      </w:pP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2.4. Por lo anterior, consideramos necesario reconsiderar la postura establecida en el Oficio No. 022452 del 9 de septiembre de 2019.</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b/>
          <w:bCs/>
          <w:szCs w:val="24"/>
          <w:lang w:val="es-CO" w:eastAsia="es-ES"/>
        </w:rPr>
        <w:t>3. Análisis del tercer argumento presentado por la consultante: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3.1. Teniendo en cuenta lo analizado en el punto No. 1 de este documento y lo señalado por el Consejo de Estado en la Sentencia del 10 de mayo de 2012, dictada en el expediente 25000-23-27-000-2007-00256-01 (17450), donde se señala que: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i/>
          <w:iCs/>
          <w:szCs w:val="24"/>
          <w:lang w:val="es-CO" w:eastAsia="es-ES"/>
        </w:rPr>
        <w:t>“(...) esta distinción cobra importancia para efectos de la compensación de pérdidas fiscales, en tanto que, la norma vigente al 2004, </w:t>
      </w:r>
      <w:r w:rsidRPr="001E574F">
        <w:rPr>
          <w:rFonts w:eastAsia="Times New Roman" w:cs="Times New Roman"/>
          <w:i/>
          <w:iCs/>
          <w:szCs w:val="24"/>
          <w:u w:val="single"/>
          <w:lang w:val="es-CO" w:eastAsia="es-ES"/>
        </w:rPr>
        <w:t xml:space="preserve">solo permitía la compensación de pérdidas provenientes de la sociedad fusionada o absorbida, con utilidades de la entidad </w:t>
      </w:r>
      <w:proofErr w:type="spellStart"/>
      <w:r w:rsidRPr="001E574F">
        <w:rPr>
          <w:rFonts w:eastAsia="Times New Roman" w:cs="Times New Roman"/>
          <w:i/>
          <w:iCs/>
          <w:szCs w:val="24"/>
          <w:u w:val="single"/>
          <w:lang w:val="es-CO" w:eastAsia="es-ES"/>
        </w:rPr>
        <w:t>absorvente</w:t>
      </w:r>
      <w:proofErr w:type="spellEnd"/>
      <w:r w:rsidRPr="001E574F">
        <w:rPr>
          <w:rFonts w:eastAsia="Times New Roman" w:cs="Times New Roman"/>
          <w:i/>
          <w:iCs/>
          <w:szCs w:val="24"/>
          <w:lang w:val="es-CO" w:eastAsia="es-ES"/>
        </w:rPr>
        <w:t> (sic)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highlight w:val="green"/>
          <w:lang w:val="es-CO" w:eastAsia="es-ES"/>
        </w:rPr>
        <w:t>3.2. Consideramos que es necesario revocar el Oficio No. 022452 del 9 de septiembre de 2019, ya que el mismo se aparta de la interpretación del Consejo de Estado.</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b/>
          <w:bCs/>
          <w:szCs w:val="24"/>
          <w:lang w:val="es-CO" w:eastAsia="es-ES"/>
        </w:rPr>
        <w:t>4. Análisis del cuarto argumento presentado por la consultante:</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highlight w:val="green"/>
          <w:lang w:val="es-CO" w:eastAsia="es-ES"/>
        </w:rPr>
        <w:t>4.1. Este despacho encuentra que lo establecido en el Concepto No. 33741 del 1 de junio de 2004 se ajusta a lo establecido en el </w:t>
      </w:r>
      <w:hyperlink r:id="rId13" w:tooltip="Estatuto Tributario CETA" w:history="1">
        <w:r w:rsidRPr="001E574F">
          <w:rPr>
            <w:rFonts w:eastAsia="Times New Roman" w:cs="Times New Roman"/>
            <w:szCs w:val="24"/>
            <w:highlight w:val="green"/>
            <w:lang w:val="es-CO" w:eastAsia="es-ES"/>
          </w:rPr>
          <w:t>artículo 147 </w:t>
        </w:r>
      </w:hyperlink>
      <w:r w:rsidRPr="001E574F">
        <w:rPr>
          <w:rFonts w:eastAsia="Times New Roman" w:cs="Times New Roman"/>
          <w:szCs w:val="24"/>
          <w:highlight w:val="green"/>
          <w:lang w:val="es-CO" w:eastAsia="es-ES"/>
        </w:rPr>
        <w:t>del E.T.</w:t>
      </w:r>
    </w:p>
    <w:p w:rsidR="001E574F" w:rsidRPr="001E574F" w:rsidRDefault="001E574F" w:rsidP="001E574F">
      <w:pPr>
        <w:spacing w:line="240" w:lineRule="auto"/>
        <w:ind w:left="284"/>
        <w:rPr>
          <w:rFonts w:eastAsia="Times New Roman" w:cs="Times New Roman"/>
          <w:szCs w:val="24"/>
          <w:lang w:val="es-CO" w:eastAsia="es-ES"/>
        </w:rPr>
      </w:pPr>
    </w:p>
    <w:p w:rsidR="001E574F" w:rsidRPr="001E574F" w:rsidRDefault="001E574F" w:rsidP="001E574F">
      <w:pPr>
        <w:spacing w:line="240" w:lineRule="auto"/>
        <w:ind w:left="284"/>
        <w:rPr>
          <w:rFonts w:eastAsia="Times New Roman" w:cs="Times New Roman"/>
          <w:szCs w:val="24"/>
          <w:lang w:eastAsia="es-ES"/>
        </w:rPr>
      </w:pPr>
      <w:r w:rsidRPr="001E574F">
        <w:rPr>
          <w:rFonts w:eastAsia="Times New Roman" w:cs="Times New Roman"/>
          <w:szCs w:val="24"/>
          <w:lang w:val="es-CO" w:eastAsia="es-ES"/>
        </w:rPr>
        <w:t>4.2. Por lo anterior, se reconsidera la postura establecida en el Oficio No. 022452 del 9 de septiembre de 2019.</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lastRenderedPageBreak/>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Atentamente,</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eastAsia="es-ES"/>
        </w:rPr>
        <w:t> </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b/>
          <w:bCs/>
          <w:szCs w:val="24"/>
          <w:lang w:val="es-CO" w:eastAsia="es-ES"/>
        </w:rPr>
        <w:t>LILIANA ANDREA FORERO GÓMEZ</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Directora de Gestión Jurídica</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Dirección de Gestión Jurídica</w:t>
      </w:r>
    </w:p>
    <w:p w:rsidR="001E574F" w:rsidRPr="001E574F" w:rsidRDefault="001E574F" w:rsidP="001E574F">
      <w:pPr>
        <w:spacing w:line="240" w:lineRule="auto"/>
        <w:rPr>
          <w:rFonts w:eastAsia="Times New Roman" w:cs="Times New Roman"/>
          <w:szCs w:val="24"/>
          <w:lang w:val="es-CO" w:eastAsia="es-ES"/>
        </w:rPr>
      </w:pPr>
      <w:r w:rsidRPr="001E574F">
        <w:rPr>
          <w:rFonts w:eastAsia="Times New Roman" w:cs="Times New Roman"/>
          <w:szCs w:val="24"/>
          <w:lang w:val="es-CO" w:eastAsia="es-ES"/>
        </w:rPr>
        <w:t>UAE- Dirección de Impuestos y Aduanas Nacionales</w:t>
      </w:r>
    </w:p>
    <w:p w:rsidR="001E574F" w:rsidRPr="001E574F" w:rsidRDefault="001E574F" w:rsidP="001E574F">
      <w:pPr>
        <w:spacing w:line="240" w:lineRule="auto"/>
        <w:rPr>
          <w:rFonts w:eastAsia="Times New Roman" w:cs="Times New Roman"/>
          <w:szCs w:val="24"/>
          <w:lang w:eastAsia="es-ES"/>
        </w:rPr>
      </w:pPr>
      <w:r w:rsidRPr="001E574F">
        <w:rPr>
          <w:rFonts w:eastAsia="Times New Roman" w:cs="Times New Roman"/>
          <w:szCs w:val="24"/>
          <w:lang w:val="es-CO" w:eastAsia="es-ES"/>
        </w:rPr>
        <w:t>_____________________________________________________________________________________________________________________________</w:t>
      </w:r>
    </w:p>
    <w:p w:rsidR="007F5CC8" w:rsidRPr="001E574F" w:rsidRDefault="007F5CC8">
      <w:pPr>
        <w:rPr>
          <w:rFonts w:cs="Times New Roman"/>
          <w:szCs w:val="24"/>
        </w:rPr>
      </w:pPr>
    </w:p>
    <w:sectPr w:rsidR="007F5CC8" w:rsidRPr="001E574F"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4F"/>
    <w:rsid w:val="001E311E"/>
    <w:rsid w:val="001E574F"/>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FC05"/>
  <w15:chartTrackingRefBased/>
  <w15:docId w15:val="{23951D18-F593-4F87-BAA7-56A6E525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09" TargetMode="External"/><Relationship Id="rId13" Type="http://schemas.openxmlformats.org/officeDocument/2006/relationships/hyperlink" Target="https://www.ceta.org.co/html/vista_de_un_articulo.asp?Norma=20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09" TargetMode="External"/><Relationship Id="rId12" Type="http://schemas.openxmlformats.org/officeDocument/2006/relationships/hyperlink" Target="https://www.ceta.org.co/html/vista_de_un_articulo.asp?Norma=2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09" TargetMode="External"/><Relationship Id="rId11" Type="http://schemas.openxmlformats.org/officeDocument/2006/relationships/hyperlink" Target="https://www.ceta.org.co/html/vista_de_un_articulo.asp?Norma=209" TargetMode="External"/><Relationship Id="rId5" Type="http://schemas.openxmlformats.org/officeDocument/2006/relationships/hyperlink" Target="https://www.ceta.org.co/html/vista_de_un_articulo.asp?Norma=209" TargetMode="External"/><Relationship Id="rId15" Type="http://schemas.openxmlformats.org/officeDocument/2006/relationships/theme" Target="theme/theme1.xml"/><Relationship Id="rId10" Type="http://schemas.openxmlformats.org/officeDocument/2006/relationships/hyperlink" Target="https://www.ceta.org.co/html/vista_de_un_articulo.asp?Norma=209" TargetMode="External"/><Relationship Id="rId4" Type="http://schemas.openxmlformats.org/officeDocument/2006/relationships/hyperlink" Target="https://www.ceta.org.co/html/vista_de_un_articulo.asp?Norma=209" TargetMode="External"/><Relationship Id="rId9" Type="http://schemas.openxmlformats.org/officeDocument/2006/relationships/hyperlink" Target="https://www.ceta.org.co/html/vista_de_un_articulo.asp?Norma=20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2279</Words>
  <Characters>12539</Characters>
  <Application>Microsoft Office Word</Application>
  <DocSecurity>0</DocSecurity>
  <Lines>104</Lines>
  <Paragraphs>29</Paragraphs>
  <ScaleCrop>false</ScaleCrop>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2020-03-04T02:29:00Z</dcterms:created>
  <dcterms:modified xsi:type="dcterms:W3CDTF">2020-03-04T02:35:00Z</dcterms:modified>
</cp:coreProperties>
</file>