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11928" w14:textId="4BB9F145" w:rsidR="005B057B" w:rsidRPr="00434A75" w:rsidRDefault="005B057B" w:rsidP="00434A75">
      <w:pPr>
        <w:pStyle w:val="Sinespaciado"/>
        <w:spacing w:line="360" w:lineRule="auto"/>
        <w:jc w:val="center"/>
        <w:rPr>
          <w:rStyle w:val="Cuerpodeltexto241"/>
          <w:rFonts w:ascii="Times New Roman" w:hAnsi="Times New Roman" w:cs="Times New Roman"/>
          <w:b/>
          <w:bCs/>
          <w:sz w:val="24"/>
          <w:szCs w:val="24"/>
        </w:rPr>
      </w:pPr>
      <w:r w:rsidRPr="00434A75">
        <w:rPr>
          <w:rStyle w:val="Cuerpodeltexto241"/>
          <w:rFonts w:ascii="Times New Roman" w:hAnsi="Times New Roman" w:cs="Times New Roman"/>
          <w:b/>
          <w:bCs/>
          <w:sz w:val="24"/>
          <w:szCs w:val="24"/>
        </w:rPr>
        <w:t>CONCEPTO 1207 DEL 30 DE SEPTIEMBRE DE 2020</w:t>
      </w:r>
    </w:p>
    <w:p w14:paraId="3769C506" w14:textId="30AE62DC" w:rsidR="005B057B" w:rsidRPr="00434A75" w:rsidRDefault="005B057B" w:rsidP="00434A75">
      <w:pPr>
        <w:pStyle w:val="Sinespaciado"/>
        <w:spacing w:line="360" w:lineRule="auto"/>
        <w:jc w:val="center"/>
        <w:rPr>
          <w:rStyle w:val="Cuerpodeltexto241"/>
          <w:rFonts w:ascii="Times New Roman" w:hAnsi="Times New Roman" w:cs="Times New Roman"/>
          <w:b/>
          <w:bCs/>
          <w:sz w:val="24"/>
          <w:szCs w:val="24"/>
        </w:rPr>
      </w:pPr>
      <w:r w:rsidRPr="00434A75">
        <w:rPr>
          <w:rStyle w:val="Cuerpodeltexto241"/>
          <w:rFonts w:ascii="Times New Roman" w:hAnsi="Times New Roman" w:cs="Times New Roman"/>
          <w:b/>
          <w:bCs/>
          <w:sz w:val="24"/>
          <w:szCs w:val="24"/>
        </w:rPr>
        <w:t>DIRECCIÓN DE IMPUSTOS Y ADUANAS NACIONALES</w:t>
      </w:r>
    </w:p>
    <w:p w14:paraId="28ABD548" w14:textId="2D136984"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p>
    <w:p w14:paraId="7D410312" w14:textId="77777777" w:rsidR="00434A75" w:rsidRDefault="00434A75" w:rsidP="00434A75">
      <w:pPr>
        <w:pStyle w:val="Sinespaciado"/>
        <w:spacing w:line="360" w:lineRule="auto"/>
        <w:jc w:val="both"/>
        <w:rPr>
          <w:rStyle w:val="Cuerpodeltexto241"/>
          <w:rFonts w:ascii="Times New Roman" w:hAnsi="Times New Roman" w:cs="Times New Roman"/>
          <w:sz w:val="24"/>
          <w:szCs w:val="24"/>
        </w:rPr>
      </w:pPr>
    </w:p>
    <w:p w14:paraId="5A379C6D" w14:textId="77777777" w:rsidR="00434A75" w:rsidRDefault="00434A75" w:rsidP="00434A75">
      <w:pPr>
        <w:pStyle w:val="Sinespaciado"/>
        <w:spacing w:line="360" w:lineRule="auto"/>
        <w:jc w:val="both"/>
        <w:rPr>
          <w:rStyle w:val="Cuerpodeltexto241"/>
          <w:rFonts w:ascii="Times New Roman" w:hAnsi="Times New Roman" w:cs="Times New Roman"/>
          <w:sz w:val="24"/>
          <w:szCs w:val="24"/>
        </w:rPr>
      </w:pPr>
    </w:p>
    <w:p w14:paraId="5CC3AD64" w14:textId="421FD4E8"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r w:rsidRPr="00434A75">
        <w:rPr>
          <w:rStyle w:val="Cuerpodeltexto241"/>
          <w:rFonts w:ascii="Times New Roman" w:hAnsi="Times New Roman" w:cs="Times New Roman"/>
          <w:sz w:val="24"/>
          <w:szCs w:val="24"/>
        </w:rPr>
        <w:t>Bogotá, D.C.</w:t>
      </w:r>
    </w:p>
    <w:p w14:paraId="0E90D8AC" w14:textId="039E383E"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p>
    <w:p w14:paraId="67E04FC7" w14:textId="45F661A2"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r w:rsidRPr="00434A75">
        <w:rPr>
          <w:rStyle w:val="Cuerpodeltexto241"/>
          <w:rFonts w:ascii="Times New Roman" w:hAnsi="Times New Roman" w:cs="Times New Roman"/>
          <w:b/>
          <w:bCs/>
          <w:sz w:val="24"/>
          <w:szCs w:val="24"/>
        </w:rPr>
        <w:t>Tema</w:t>
      </w:r>
      <w:r w:rsidRPr="00434A75">
        <w:rPr>
          <w:rStyle w:val="Cuerpodeltexto241"/>
          <w:rFonts w:ascii="Times New Roman" w:hAnsi="Times New Roman" w:cs="Times New Roman"/>
          <w:b/>
          <w:bCs/>
          <w:sz w:val="24"/>
          <w:szCs w:val="24"/>
        </w:rPr>
        <w:tab/>
      </w:r>
      <w:r w:rsidRPr="00434A75">
        <w:rPr>
          <w:rStyle w:val="Cuerpodeltexto241"/>
          <w:rFonts w:ascii="Times New Roman" w:hAnsi="Times New Roman" w:cs="Times New Roman"/>
          <w:b/>
          <w:bCs/>
          <w:sz w:val="24"/>
          <w:szCs w:val="24"/>
        </w:rPr>
        <w:tab/>
      </w:r>
      <w:r w:rsidRPr="00434A75">
        <w:rPr>
          <w:rStyle w:val="Cuerpodeltexto241"/>
          <w:rFonts w:ascii="Times New Roman" w:hAnsi="Times New Roman" w:cs="Times New Roman"/>
          <w:b/>
          <w:bCs/>
          <w:sz w:val="24"/>
          <w:szCs w:val="24"/>
        </w:rPr>
        <w:tab/>
      </w:r>
      <w:r w:rsidRPr="00434A75">
        <w:rPr>
          <w:rStyle w:val="Cuerpodeltexto241"/>
          <w:rFonts w:ascii="Times New Roman" w:hAnsi="Times New Roman" w:cs="Times New Roman"/>
          <w:sz w:val="24"/>
          <w:szCs w:val="24"/>
        </w:rPr>
        <w:t>Procedimiento General</w:t>
      </w:r>
    </w:p>
    <w:p w14:paraId="348AF0B5" w14:textId="3E769C1D" w:rsidR="00C81A54" w:rsidRPr="00434A75" w:rsidRDefault="005B057B" w:rsidP="00434A75">
      <w:pPr>
        <w:pStyle w:val="Sinespaciado"/>
        <w:spacing w:line="360" w:lineRule="auto"/>
        <w:jc w:val="both"/>
        <w:rPr>
          <w:rFonts w:ascii="Times New Roman" w:hAnsi="Times New Roman" w:cs="Times New Roman"/>
        </w:rPr>
      </w:pPr>
      <w:r w:rsidRPr="00434A75">
        <w:rPr>
          <w:rStyle w:val="Cuerpodeltexto241"/>
          <w:rFonts w:ascii="Times New Roman" w:hAnsi="Times New Roman" w:cs="Times New Roman"/>
          <w:b/>
          <w:bCs/>
          <w:sz w:val="24"/>
          <w:szCs w:val="24"/>
        </w:rPr>
        <w:t>Descriptor</w:t>
      </w:r>
      <w:r w:rsidRPr="00434A75">
        <w:rPr>
          <w:rStyle w:val="Cuerpodeltexto241"/>
          <w:rFonts w:ascii="Times New Roman" w:hAnsi="Times New Roman" w:cs="Times New Roman"/>
          <w:b/>
          <w:bCs/>
          <w:sz w:val="24"/>
          <w:szCs w:val="24"/>
        </w:rPr>
        <w:tab/>
      </w:r>
      <w:r w:rsidRPr="00434A75">
        <w:rPr>
          <w:rStyle w:val="Cuerpodeltexto241"/>
          <w:rFonts w:ascii="Times New Roman" w:hAnsi="Times New Roman" w:cs="Times New Roman"/>
          <w:b/>
          <w:bCs/>
          <w:sz w:val="24"/>
          <w:szCs w:val="24"/>
        </w:rPr>
        <w:tab/>
      </w:r>
      <w:r w:rsidRPr="00434A75">
        <w:rPr>
          <w:rStyle w:val="Cuerpodeltexto241"/>
          <w:rFonts w:ascii="Times New Roman" w:hAnsi="Times New Roman" w:cs="Times New Roman"/>
          <w:b/>
          <w:bCs/>
          <w:sz w:val="24"/>
          <w:szCs w:val="24"/>
        </w:rPr>
        <w:tab/>
      </w:r>
      <w:r w:rsidRPr="00434A75">
        <w:rPr>
          <w:rStyle w:val="Cuerpodeltexto241"/>
          <w:rFonts w:ascii="Times New Roman" w:hAnsi="Times New Roman" w:cs="Times New Roman"/>
          <w:sz w:val="24"/>
          <w:szCs w:val="24"/>
        </w:rPr>
        <w:t>Suspensión de términos</w:t>
      </w:r>
    </w:p>
    <w:p w14:paraId="51412ED6" w14:textId="7CE7E7FE" w:rsidR="00C81A54" w:rsidRPr="00434A75" w:rsidRDefault="005B057B" w:rsidP="00434A75">
      <w:pPr>
        <w:pStyle w:val="Sinespaciado"/>
        <w:spacing w:line="360" w:lineRule="auto"/>
        <w:jc w:val="both"/>
        <w:rPr>
          <w:rFonts w:ascii="Times New Roman" w:hAnsi="Times New Roman" w:cs="Times New Roman"/>
        </w:rPr>
      </w:pPr>
      <w:r w:rsidRPr="00434A75">
        <w:rPr>
          <w:rStyle w:val="Cuerpodeltexto241"/>
          <w:rFonts w:ascii="Times New Roman" w:hAnsi="Times New Roman" w:cs="Times New Roman"/>
          <w:b/>
          <w:bCs/>
          <w:sz w:val="24"/>
          <w:szCs w:val="24"/>
        </w:rPr>
        <w:t>Fuentes formales</w:t>
      </w:r>
      <w:r w:rsidRPr="00434A75">
        <w:rPr>
          <w:rStyle w:val="Cuerpodeltexto241"/>
          <w:rFonts w:ascii="Times New Roman" w:hAnsi="Times New Roman" w:cs="Times New Roman"/>
          <w:b/>
          <w:bCs/>
          <w:sz w:val="24"/>
          <w:szCs w:val="24"/>
        </w:rPr>
        <w:tab/>
      </w:r>
      <w:r w:rsidRPr="00434A75">
        <w:rPr>
          <w:rStyle w:val="Cuerpodeltexto241"/>
          <w:rFonts w:ascii="Times New Roman" w:hAnsi="Times New Roman" w:cs="Times New Roman"/>
          <w:sz w:val="24"/>
          <w:szCs w:val="24"/>
        </w:rPr>
        <w:t>Decreto Legislativo 491 de</w:t>
      </w:r>
      <w:r w:rsidRPr="00434A75">
        <w:rPr>
          <w:rStyle w:val="Cuerpodeltexto241"/>
          <w:rFonts w:ascii="Times New Roman" w:hAnsi="Times New Roman" w:cs="Times New Roman"/>
          <w:sz w:val="24"/>
          <w:szCs w:val="24"/>
        </w:rPr>
        <w:tab/>
        <w:t>2020</w:t>
      </w:r>
    </w:p>
    <w:p w14:paraId="4CAEB4D6" w14:textId="77777777" w:rsidR="00C81A54" w:rsidRPr="00434A75" w:rsidRDefault="005B057B" w:rsidP="00434A75">
      <w:pPr>
        <w:pStyle w:val="Sinespaciado"/>
        <w:spacing w:line="360" w:lineRule="auto"/>
        <w:ind w:firstLine="708"/>
        <w:jc w:val="both"/>
        <w:rPr>
          <w:rFonts w:ascii="Times New Roman" w:hAnsi="Times New Roman" w:cs="Times New Roman"/>
        </w:rPr>
      </w:pPr>
      <w:r w:rsidRPr="00434A75">
        <w:rPr>
          <w:rStyle w:val="Cuerpodeltexto241"/>
          <w:rFonts w:ascii="Times New Roman" w:hAnsi="Times New Roman" w:cs="Times New Roman"/>
          <w:sz w:val="24"/>
          <w:szCs w:val="24"/>
        </w:rPr>
        <w:t>Resolución 022 de 2020</w:t>
      </w:r>
    </w:p>
    <w:p w14:paraId="655C6190" w14:textId="77777777" w:rsidR="00C81A54" w:rsidRPr="00434A75" w:rsidRDefault="005B057B" w:rsidP="00434A75">
      <w:pPr>
        <w:pStyle w:val="Sinespaciado"/>
        <w:spacing w:line="360" w:lineRule="auto"/>
        <w:ind w:firstLine="708"/>
        <w:jc w:val="both"/>
        <w:rPr>
          <w:rFonts w:ascii="Times New Roman" w:hAnsi="Times New Roman" w:cs="Times New Roman"/>
        </w:rPr>
      </w:pPr>
      <w:r w:rsidRPr="00434A75">
        <w:rPr>
          <w:rStyle w:val="Cuerpodeltexto241"/>
          <w:rFonts w:ascii="Times New Roman" w:hAnsi="Times New Roman" w:cs="Times New Roman"/>
          <w:sz w:val="24"/>
          <w:szCs w:val="24"/>
        </w:rPr>
        <w:t>Resolución 030 de 2020 y sus modificaciones</w:t>
      </w:r>
    </w:p>
    <w:p w14:paraId="2417B9C4" w14:textId="77777777" w:rsidR="00C81A54" w:rsidRPr="00434A75" w:rsidRDefault="005B057B" w:rsidP="00434A75">
      <w:pPr>
        <w:pStyle w:val="Sinespaciado"/>
        <w:spacing w:line="360" w:lineRule="auto"/>
        <w:ind w:firstLine="708"/>
        <w:jc w:val="both"/>
        <w:rPr>
          <w:rFonts w:ascii="Times New Roman" w:hAnsi="Times New Roman" w:cs="Times New Roman"/>
        </w:rPr>
      </w:pPr>
      <w:r w:rsidRPr="00434A75">
        <w:rPr>
          <w:rStyle w:val="Cuerpodeltexto241"/>
          <w:rFonts w:ascii="Times New Roman" w:hAnsi="Times New Roman" w:cs="Times New Roman"/>
          <w:sz w:val="24"/>
          <w:szCs w:val="24"/>
        </w:rPr>
        <w:t>Resolución 055 de 2020 y sus modificaciones</w:t>
      </w:r>
    </w:p>
    <w:p w14:paraId="3296FE77"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p>
    <w:p w14:paraId="3D3E4F9F" w14:textId="67BC019E" w:rsidR="00C81A54" w:rsidRPr="00434A75" w:rsidRDefault="005B057B" w:rsidP="00434A75">
      <w:pPr>
        <w:pStyle w:val="Sinespaciado"/>
        <w:spacing w:line="360" w:lineRule="auto"/>
        <w:jc w:val="both"/>
        <w:rPr>
          <w:rFonts w:ascii="Times New Roman" w:hAnsi="Times New Roman" w:cs="Times New Roman"/>
        </w:rPr>
      </w:pPr>
      <w:r w:rsidRPr="00434A75">
        <w:rPr>
          <w:rStyle w:val="Cuerpodeltexto241"/>
          <w:rFonts w:ascii="Times New Roman" w:hAnsi="Times New Roman" w:cs="Times New Roman"/>
          <w:sz w:val="24"/>
          <w:szCs w:val="24"/>
        </w:rPr>
        <w:t>Cordial saludo,</w:t>
      </w:r>
    </w:p>
    <w:p w14:paraId="33968F80"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p>
    <w:p w14:paraId="1A81622D" w14:textId="65ACDC91" w:rsidR="00C81A54" w:rsidRPr="00434A75" w:rsidRDefault="005B057B" w:rsidP="00434A75">
      <w:pPr>
        <w:pStyle w:val="Sinespaciado"/>
        <w:spacing w:line="360" w:lineRule="auto"/>
        <w:jc w:val="both"/>
        <w:rPr>
          <w:rFonts w:ascii="Times New Roman" w:hAnsi="Times New Roman" w:cs="Times New Roman"/>
        </w:rPr>
      </w:pPr>
      <w:r w:rsidRPr="00434A75">
        <w:rPr>
          <w:rStyle w:val="Cuerpodeltexto241"/>
          <w:rFonts w:ascii="Times New Roman" w:hAnsi="Times New Roman" w:cs="Times New Roman"/>
          <w:sz w:val="24"/>
          <w:szCs w:val="24"/>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15FA2A6"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p>
    <w:p w14:paraId="70A022E6" w14:textId="320BFFC3" w:rsidR="00C81A54" w:rsidRPr="00434A75" w:rsidRDefault="005B057B" w:rsidP="00434A75">
      <w:pPr>
        <w:pStyle w:val="Sinespaciado"/>
        <w:spacing w:line="360" w:lineRule="auto"/>
        <w:jc w:val="both"/>
        <w:rPr>
          <w:rFonts w:ascii="Times New Roman" w:hAnsi="Times New Roman" w:cs="Times New Roman"/>
        </w:rPr>
      </w:pPr>
      <w:r w:rsidRPr="00434A75">
        <w:rPr>
          <w:rStyle w:val="Cuerpodeltexto241"/>
          <w:rFonts w:ascii="Times New Roman" w:hAnsi="Times New Roman" w:cs="Times New Roman"/>
          <w:sz w:val="24"/>
          <w:szCs w:val="24"/>
        </w:rPr>
        <w:t>Mediante el radicado de la referencia, el peticionario consulta acerca de la suspensión de términos decretada por la DIAN en el marco del estado de emergencia económico, social y ecológica por el COVID-19, preguntando en primer lugar sobre la definición de proceso tributario y actuación administrativa en materia tributaria.</w:t>
      </w:r>
    </w:p>
    <w:p w14:paraId="2C109844"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p>
    <w:p w14:paraId="4A67C77E" w14:textId="1CEF86BC" w:rsidR="00C81A54" w:rsidRPr="00434A75" w:rsidRDefault="005B057B" w:rsidP="00434A75">
      <w:pPr>
        <w:pStyle w:val="Sinespaciado"/>
        <w:spacing w:line="360" w:lineRule="auto"/>
        <w:jc w:val="both"/>
        <w:rPr>
          <w:rFonts w:ascii="Times New Roman" w:hAnsi="Times New Roman" w:cs="Times New Roman"/>
        </w:rPr>
      </w:pPr>
      <w:r w:rsidRPr="00434A75">
        <w:rPr>
          <w:rStyle w:val="Cuerpodeltexto241"/>
          <w:rFonts w:ascii="Times New Roman" w:hAnsi="Times New Roman" w:cs="Times New Roman"/>
          <w:sz w:val="24"/>
          <w:szCs w:val="24"/>
        </w:rPr>
        <w:t>Posteriormente, el consultante pregunta por la diferencia entre los términos de caducidad, prescripción y firmeza en materia tributaria.</w:t>
      </w:r>
    </w:p>
    <w:p w14:paraId="1ABAF408"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p>
    <w:p w14:paraId="0A5D0305" w14:textId="13AE2480" w:rsidR="00C81A54" w:rsidRPr="00434A75" w:rsidRDefault="005B057B" w:rsidP="00434A75">
      <w:pPr>
        <w:pStyle w:val="Sinespaciado"/>
        <w:spacing w:line="360" w:lineRule="auto"/>
        <w:jc w:val="both"/>
        <w:rPr>
          <w:rFonts w:ascii="Times New Roman" w:hAnsi="Times New Roman" w:cs="Times New Roman"/>
        </w:rPr>
      </w:pPr>
      <w:r w:rsidRPr="00434A75">
        <w:rPr>
          <w:rStyle w:val="Cuerpodeltexto241"/>
          <w:rFonts w:ascii="Times New Roman" w:hAnsi="Times New Roman" w:cs="Times New Roman"/>
          <w:sz w:val="24"/>
          <w:szCs w:val="24"/>
        </w:rPr>
        <w:t>Para finalizar, se plantean interrogantes referidos a la aplicación de la suspensión de términos en diferentes procedimientos y actuaciones administrativas como la presentación de correcciones, solicitud de devoluciones y/o compensaciones, y aplicación de diferentes sanciones, entre otros.</w:t>
      </w:r>
    </w:p>
    <w:p w14:paraId="0E987F02"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p>
    <w:p w14:paraId="79AFCC63" w14:textId="2BD8D635" w:rsidR="00C81A54" w:rsidRPr="00434A75" w:rsidRDefault="005B057B" w:rsidP="00434A75">
      <w:pPr>
        <w:pStyle w:val="Sinespaciado"/>
        <w:spacing w:line="360" w:lineRule="auto"/>
        <w:jc w:val="both"/>
        <w:rPr>
          <w:rFonts w:ascii="Times New Roman" w:hAnsi="Times New Roman" w:cs="Times New Roman"/>
        </w:rPr>
      </w:pPr>
      <w:r w:rsidRPr="00434A75">
        <w:rPr>
          <w:rStyle w:val="Cuerpodeltexto241"/>
          <w:rFonts w:ascii="Times New Roman" w:hAnsi="Times New Roman" w:cs="Times New Roman"/>
          <w:sz w:val="24"/>
          <w:szCs w:val="24"/>
        </w:rPr>
        <w:t>Para empezar, respecto a la definición de proceso tributario y actuación administrativa en materia tributaria se deben atender las disposiciones correspondientes en la legislación fiscal de Colombia y, especialmente, aquellas consagradas en el Estatuto Tributario, incluyendo las normas que prevén los términos de los procesos tributarios como conjuntos de actos independientes pero relacionados, así como las distintas etapas de los procesos administrativos tributarios que culminan con decisiones.</w:t>
      </w:r>
    </w:p>
    <w:p w14:paraId="32B6A9A5"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p>
    <w:p w14:paraId="6840FAEE" w14:textId="389E79E2" w:rsidR="00C81A54" w:rsidRPr="00434A75" w:rsidRDefault="005B057B" w:rsidP="00434A75">
      <w:pPr>
        <w:pStyle w:val="Sinespaciado"/>
        <w:spacing w:line="360" w:lineRule="auto"/>
        <w:jc w:val="both"/>
        <w:rPr>
          <w:rFonts w:ascii="Times New Roman" w:hAnsi="Times New Roman" w:cs="Times New Roman"/>
        </w:rPr>
      </w:pPr>
      <w:r w:rsidRPr="00434A75">
        <w:rPr>
          <w:rStyle w:val="Cuerpodeltexto241"/>
          <w:rFonts w:ascii="Times New Roman" w:hAnsi="Times New Roman" w:cs="Times New Roman"/>
          <w:sz w:val="24"/>
          <w:szCs w:val="24"/>
        </w:rPr>
        <w:t>Ahora, acerca de los conceptos jurídicos de caducidad, firmeza y prescripción estos obedecen a instituciones de derecho general, las cuales para efectos de la consulta se deben interpretar de conformidad con las disposiciones en la legislación tributaria que consagren dichos términos, y aquellas del Código de Procedimiento Administrativo y de lo Contencioso Administrativo y demás normas aplicables, cuando procedan.</w:t>
      </w:r>
    </w:p>
    <w:p w14:paraId="4DA50FE8"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p>
    <w:p w14:paraId="1FE77E2A" w14:textId="13AA60E4" w:rsidR="00C81A54" w:rsidRPr="00434A75" w:rsidRDefault="005B057B" w:rsidP="00434A75">
      <w:pPr>
        <w:pStyle w:val="Sinespaciado"/>
        <w:spacing w:line="360" w:lineRule="auto"/>
        <w:jc w:val="both"/>
        <w:rPr>
          <w:rFonts w:ascii="Times New Roman" w:hAnsi="Times New Roman" w:cs="Times New Roman"/>
        </w:rPr>
      </w:pPr>
      <w:r w:rsidRPr="00434A75">
        <w:rPr>
          <w:rStyle w:val="Cuerpodeltexto241"/>
          <w:rFonts w:ascii="Times New Roman" w:hAnsi="Times New Roman" w:cs="Times New Roman"/>
          <w:sz w:val="24"/>
          <w:szCs w:val="24"/>
        </w:rPr>
        <w:t xml:space="preserve">De otro lado, respecto a la aplicación de la suspensión de los términos en las distintas actuaciones y procedimientos adminisitrativos (sic) a cargo de esta entidad, inclusive en materia sancionatoria, se debe atender a las disposiciones consagradas en las resoluciones 22, 30 (y sus modificaciones) y 55 (y sus modificaciones) sobre las cuales este Despacho se ha pronunciado previamente mediante conceptos tales como los Nos. </w:t>
      </w:r>
      <w:r w:rsidRPr="00434A75">
        <w:rPr>
          <w:rStyle w:val="Cuerpodeltexto241"/>
          <w:rFonts w:ascii="Times New Roman" w:hAnsi="Times New Roman" w:cs="Times New Roman"/>
          <w:sz w:val="24"/>
          <w:szCs w:val="24"/>
          <w:highlight w:val="green"/>
        </w:rPr>
        <w:t>100208221-720 de 2020, 100208221-739 de 2020 y el Concepto 100208221-1118 de 2020,</w:t>
      </w:r>
      <w:r w:rsidRPr="00434A75">
        <w:rPr>
          <w:rStyle w:val="Cuerpodeltexto241"/>
          <w:rFonts w:ascii="Times New Roman" w:hAnsi="Times New Roman" w:cs="Times New Roman"/>
          <w:sz w:val="24"/>
          <w:szCs w:val="24"/>
        </w:rPr>
        <w:t xml:space="preserve"> los que anexamos para su revisión y con los que se da respuesta a las inquietudes planteadas.</w:t>
      </w:r>
    </w:p>
    <w:p w14:paraId="48FDB06A"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p>
    <w:p w14:paraId="0EDFD4D9" w14:textId="0A53B970" w:rsidR="00C81A54" w:rsidRPr="00434A75" w:rsidRDefault="005B057B" w:rsidP="00434A75">
      <w:pPr>
        <w:pStyle w:val="Sinespaciado"/>
        <w:spacing w:line="360" w:lineRule="auto"/>
        <w:jc w:val="both"/>
        <w:rPr>
          <w:rFonts w:ascii="Times New Roman" w:hAnsi="Times New Roman" w:cs="Times New Roman"/>
        </w:rPr>
      </w:pPr>
      <w:r w:rsidRPr="00434A75">
        <w:rPr>
          <w:rStyle w:val="Cuerpodeltexto241"/>
          <w:rFonts w:ascii="Times New Roman" w:hAnsi="Times New Roman" w:cs="Times New Roman"/>
          <w:sz w:val="24"/>
          <w:szCs w:val="24"/>
        </w:rPr>
        <w:t xml:space="preserve">Por último, y respecto a los procesos de devoluciones y/o compensaciones, la Dirección de Gestión Jurídica se pronunció a través del Concepto </w:t>
      </w:r>
      <w:r w:rsidRPr="00434A75">
        <w:rPr>
          <w:rStyle w:val="Cuerpodeltexto241"/>
          <w:rFonts w:ascii="Times New Roman" w:hAnsi="Times New Roman" w:cs="Times New Roman"/>
          <w:sz w:val="24"/>
          <w:szCs w:val="24"/>
          <w:highlight w:val="green"/>
        </w:rPr>
        <w:t>100202208- 0534 del 24 de septiembre de 2020 el cual se adjunta para mayor conocimiento.</w:t>
      </w:r>
    </w:p>
    <w:p w14:paraId="226685F2"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p>
    <w:p w14:paraId="7EE133D2"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p>
    <w:p w14:paraId="00CEEAB3"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p>
    <w:p w14:paraId="492BBEFA" w14:textId="208DF3CE" w:rsidR="00C81A54" w:rsidRPr="00434A75" w:rsidRDefault="005B057B" w:rsidP="00434A75">
      <w:pPr>
        <w:pStyle w:val="Sinespaciado"/>
        <w:spacing w:line="360" w:lineRule="auto"/>
        <w:jc w:val="both"/>
        <w:rPr>
          <w:rFonts w:ascii="Times New Roman" w:hAnsi="Times New Roman" w:cs="Times New Roman"/>
        </w:rPr>
      </w:pPr>
      <w:r w:rsidRPr="00434A75">
        <w:rPr>
          <w:rStyle w:val="Cuerpodeltexto241"/>
          <w:rFonts w:ascii="Times New Roman" w:hAnsi="Times New Roman" w:cs="Times New Roman"/>
          <w:sz w:val="24"/>
          <w:szCs w:val="24"/>
        </w:rPr>
        <w:t>Atentamente,</w:t>
      </w:r>
    </w:p>
    <w:p w14:paraId="581F52BA"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p>
    <w:p w14:paraId="05144713"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p>
    <w:p w14:paraId="2E7DE34A"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p>
    <w:p w14:paraId="1582464C" w14:textId="77777777" w:rsidR="005B057B" w:rsidRPr="00434A75" w:rsidRDefault="005B057B" w:rsidP="00434A75">
      <w:pPr>
        <w:pStyle w:val="Sinespaciado"/>
        <w:spacing w:line="360" w:lineRule="auto"/>
        <w:jc w:val="both"/>
        <w:rPr>
          <w:rStyle w:val="Cuerpodeltexto241"/>
          <w:rFonts w:ascii="Times New Roman" w:hAnsi="Times New Roman" w:cs="Times New Roman"/>
          <w:b/>
          <w:bCs/>
          <w:sz w:val="24"/>
          <w:szCs w:val="24"/>
        </w:rPr>
      </w:pPr>
      <w:r w:rsidRPr="00434A75">
        <w:rPr>
          <w:rStyle w:val="Cuerpodeltexto241"/>
          <w:rFonts w:ascii="Times New Roman" w:hAnsi="Times New Roman" w:cs="Times New Roman"/>
          <w:b/>
          <w:bCs/>
          <w:sz w:val="24"/>
          <w:szCs w:val="24"/>
        </w:rPr>
        <w:t>PABLO EMILIO MENDOZA VELILLA</w:t>
      </w:r>
    </w:p>
    <w:p w14:paraId="70310EEE"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r w:rsidRPr="00434A75">
        <w:rPr>
          <w:rStyle w:val="Cuerpodeltexto241"/>
          <w:rFonts w:ascii="Times New Roman" w:hAnsi="Times New Roman" w:cs="Times New Roman"/>
          <w:sz w:val="24"/>
          <w:szCs w:val="24"/>
        </w:rPr>
        <w:t>Subdirector de Gestión Normativa y Doctrina</w:t>
      </w:r>
    </w:p>
    <w:p w14:paraId="7F1E0BF2"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r w:rsidRPr="00434A75">
        <w:rPr>
          <w:rStyle w:val="Cuerpodeltexto241"/>
          <w:rFonts w:ascii="Times New Roman" w:hAnsi="Times New Roman" w:cs="Times New Roman"/>
          <w:sz w:val="24"/>
          <w:szCs w:val="24"/>
        </w:rPr>
        <w:t>Dirección de Gestión Jurídica</w:t>
      </w:r>
    </w:p>
    <w:p w14:paraId="217C1B5F"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r w:rsidRPr="00434A75">
        <w:rPr>
          <w:rStyle w:val="Cuerpodeltexto241"/>
          <w:rFonts w:ascii="Times New Roman" w:hAnsi="Times New Roman" w:cs="Times New Roman"/>
          <w:sz w:val="24"/>
          <w:szCs w:val="24"/>
        </w:rPr>
        <w:t>UAE-Dirección de Impuestos y Aduanas Nacionales</w:t>
      </w:r>
    </w:p>
    <w:p w14:paraId="70F1A795" w14:textId="77777777" w:rsidR="005B057B" w:rsidRPr="00434A75" w:rsidRDefault="005B057B" w:rsidP="00434A75">
      <w:pPr>
        <w:pStyle w:val="Sinespaciado"/>
        <w:spacing w:line="360" w:lineRule="auto"/>
        <w:jc w:val="both"/>
        <w:rPr>
          <w:rStyle w:val="Cuerpodeltexto241"/>
          <w:rFonts w:ascii="Times New Roman" w:hAnsi="Times New Roman" w:cs="Times New Roman"/>
          <w:sz w:val="24"/>
          <w:szCs w:val="24"/>
        </w:rPr>
      </w:pPr>
      <w:r w:rsidRPr="00434A75">
        <w:rPr>
          <w:rStyle w:val="Cuerpodeltexto241"/>
          <w:rFonts w:ascii="Times New Roman" w:hAnsi="Times New Roman" w:cs="Times New Roman"/>
          <w:sz w:val="24"/>
          <w:szCs w:val="24"/>
        </w:rPr>
        <w:t>Cra. 8 N° 6C-38 Piso 4, Edificio San Agustín</w:t>
      </w:r>
    </w:p>
    <w:p w14:paraId="2E4A4EDE" w14:textId="03F534A7" w:rsidR="00C81A54" w:rsidRPr="00434A75" w:rsidRDefault="005B057B" w:rsidP="00434A75">
      <w:pPr>
        <w:pStyle w:val="Sinespaciado"/>
        <w:spacing w:line="360" w:lineRule="auto"/>
        <w:jc w:val="both"/>
        <w:rPr>
          <w:rFonts w:ascii="Times New Roman" w:hAnsi="Times New Roman" w:cs="Times New Roman"/>
        </w:rPr>
      </w:pPr>
      <w:r w:rsidRPr="00434A75">
        <w:rPr>
          <w:rStyle w:val="Cuerpodeltexto241"/>
          <w:rFonts w:ascii="Times New Roman" w:hAnsi="Times New Roman" w:cs="Times New Roman"/>
          <w:sz w:val="24"/>
          <w:szCs w:val="24"/>
        </w:rPr>
        <w:t>Bogotá D.C.</w:t>
      </w:r>
    </w:p>
    <w:p w14:paraId="628E2725" w14:textId="77777777" w:rsidR="005B057B" w:rsidRPr="00434A75" w:rsidRDefault="005B057B" w:rsidP="00434A75">
      <w:pPr>
        <w:pStyle w:val="Sinespaciado"/>
        <w:spacing w:line="360" w:lineRule="auto"/>
        <w:jc w:val="both"/>
        <w:rPr>
          <w:rFonts w:ascii="Times New Roman" w:hAnsi="Times New Roman" w:cs="Times New Roman"/>
        </w:rPr>
      </w:pPr>
    </w:p>
    <w:p w14:paraId="38A957F0" w14:textId="01B6F2D3" w:rsidR="00C81A54" w:rsidRPr="00434A75" w:rsidRDefault="005B057B" w:rsidP="00434A75">
      <w:pPr>
        <w:pStyle w:val="Sinespaciado"/>
        <w:spacing w:line="360" w:lineRule="auto"/>
        <w:jc w:val="both"/>
        <w:rPr>
          <w:rFonts w:ascii="Times New Roman" w:hAnsi="Times New Roman" w:cs="Times New Roman"/>
        </w:rPr>
      </w:pPr>
      <w:r w:rsidRPr="00434A75">
        <w:rPr>
          <w:rFonts w:ascii="Times New Roman" w:hAnsi="Times New Roman" w:cs="Times New Roman"/>
        </w:rPr>
        <w:t>Anexo: Oficios Nos. 100208221-720, 100208221-739 de 2020 y 100208221-1118 Oficio No. 100202208- 0534 de 2020 de la Dirección de Gestión Jurídica</w:t>
      </w:r>
    </w:p>
    <w:sectPr w:rsidR="00C81A54" w:rsidRPr="00434A75" w:rsidSect="005B057B">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8BB2C" w14:textId="77777777" w:rsidR="00901A77" w:rsidRDefault="00901A77">
      <w:r>
        <w:separator/>
      </w:r>
    </w:p>
  </w:endnote>
  <w:endnote w:type="continuationSeparator" w:id="0">
    <w:p w14:paraId="1EAD44D5" w14:textId="77777777" w:rsidR="00901A77" w:rsidRDefault="0090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378D4" w14:textId="77777777" w:rsidR="00901A77" w:rsidRDefault="00901A77"/>
  </w:footnote>
  <w:footnote w:type="continuationSeparator" w:id="0">
    <w:p w14:paraId="4BC43EFE" w14:textId="77777777" w:rsidR="00901A77" w:rsidRDefault="00901A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54"/>
    <w:rsid w:val="00434A75"/>
    <w:rsid w:val="004705F9"/>
    <w:rsid w:val="005B057B"/>
    <w:rsid w:val="00901A77"/>
    <w:rsid w:val="00C81A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DBDBC"/>
  <w15:docId w15:val="{60EC5199-0164-4AE1-9F59-77CA43BC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4">
    <w:name w:val="Cuerpo del texto (24)_"/>
    <w:basedOn w:val="Fuentedeprrafopredeter"/>
    <w:link w:val="Cuerpodeltexto240"/>
    <w:rPr>
      <w:rFonts w:ascii="Arial" w:eastAsia="Arial" w:hAnsi="Arial" w:cs="Arial"/>
      <w:b w:val="0"/>
      <w:bCs w:val="0"/>
      <w:i w:val="0"/>
      <w:iCs w:val="0"/>
      <w:smallCaps w:val="0"/>
      <w:strike w:val="0"/>
      <w:sz w:val="21"/>
      <w:szCs w:val="21"/>
      <w:u w:val="none"/>
    </w:rPr>
  </w:style>
  <w:style w:type="character" w:customStyle="1" w:styleId="Cuerpodeltexto241">
    <w:name w:val="Cuerpo del texto (24)"/>
    <w:basedOn w:val="Cuerpodeltexto24"/>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Encabezamientoopiedepgina">
    <w:name w:val="Encabezamiento o pie de página_"/>
    <w:basedOn w:val="Fuentedeprrafopredeter"/>
    <w:link w:val="Encabezamientoopiedepgina0"/>
    <w:rPr>
      <w:rFonts w:ascii="Tahoma" w:eastAsia="Tahoma" w:hAnsi="Tahoma" w:cs="Tahoma"/>
      <w:b w:val="0"/>
      <w:bCs w:val="0"/>
      <w:i w:val="0"/>
      <w:iCs w:val="0"/>
      <w:smallCaps w:val="0"/>
      <w:strike w:val="0"/>
      <w:sz w:val="15"/>
      <w:szCs w:val="15"/>
      <w:u w:val="none"/>
    </w:rPr>
  </w:style>
  <w:style w:type="character" w:customStyle="1" w:styleId="Cuerpodeltexto210pto">
    <w:name w:val="Cuerpo del texto (2) + 10 pto"/>
    <w:basedOn w:val="Fuentedeprrafopredeter"/>
    <w:rPr>
      <w:rFonts w:ascii="Arial" w:eastAsia="Arial" w:hAnsi="Arial" w:cs="Arial"/>
      <w:b w:val="0"/>
      <w:bCs w:val="0"/>
      <w:i w:val="0"/>
      <w:iCs w:val="0"/>
      <w:smallCaps w:val="0"/>
      <w:strike w:val="0"/>
      <w:sz w:val="20"/>
      <w:szCs w:val="20"/>
      <w:u w:val="none"/>
    </w:rPr>
  </w:style>
  <w:style w:type="character" w:customStyle="1" w:styleId="Cuerpodeltexto4">
    <w:name w:val="Cuerpo del texto (4)_"/>
    <w:basedOn w:val="Fuentedeprrafopredeter"/>
    <w:link w:val="Cuerpodeltexto40"/>
    <w:rPr>
      <w:rFonts w:ascii="Arial" w:eastAsia="Arial" w:hAnsi="Arial" w:cs="Arial"/>
      <w:b w:val="0"/>
      <w:bCs w:val="0"/>
      <w:i w:val="0"/>
      <w:iCs w:val="0"/>
      <w:smallCaps w:val="0"/>
      <w:strike w:val="0"/>
      <w:sz w:val="17"/>
      <w:szCs w:val="17"/>
      <w:u w:val="none"/>
    </w:rPr>
  </w:style>
  <w:style w:type="paragraph" w:customStyle="1" w:styleId="Cuerpodeltexto240">
    <w:name w:val="Cuerpo del texto (24)"/>
    <w:basedOn w:val="Normal"/>
    <w:link w:val="Cuerpodeltexto24"/>
    <w:pPr>
      <w:shd w:val="clear" w:color="auto" w:fill="FFFFFF"/>
      <w:spacing w:line="158" w:lineRule="exact"/>
      <w:jc w:val="both"/>
    </w:pPr>
    <w:rPr>
      <w:rFonts w:ascii="Arial" w:eastAsia="Arial" w:hAnsi="Arial" w:cs="Arial"/>
      <w:sz w:val="21"/>
      <w:szCs w:val="21"/>
    </w:rPr>
  </w:style>
  <w:style w:type="paragraph" w:customStyle="1" w:styleId="Encabezamientoopiedepgina0">
    <w:name w:val="Encabezamiento o pie de página"/>
    <w:basedOn w:val="Normal"/>
    <w:link w:val="Encabezamientoopiedepgina"/>
    <w:pPr>
      <w:shd w:val="clear" w:color="auto" w:fill="FFFFFF"/>
      <w:spacing w:line="235" w:lineRule="exact"/>
      <w:jc w:val="both"/>
    </w:pPr>
    <w:rPr>
      <w:rFonts w:ascii="Tahoma" w:eastAsia="Tahoma" w:hAnsi="Tahoma" w:cs="Tahoma"/>
      <w:sz w:val="15"/>
      <w:szCs w:val="15"/>
    </w:rPr>
  </w:style>
  <w:style w:type="paragraph" w:customStyle="1" w:styleId="Cuerpodeltexto40">
    <w:name w:val="Cuerpo del texto (4)"/>
    <w:basedOn w:val="Normal"/>
    <w:link w:val="Cuerpodeltexto4"/>
    <w:pPr>
      <w:shd w:val="clear" w:color="auto" w:fill="FFFFFF"/>
      <w:spacing w:before="420" w:line="0" w:lineRule="atLeast"/>
      <w:ind w:hanging="640"/>
    </w:pPr>
    <w:rPr>
      <w:rFonts w:ascii="Arial" w:eastAsia="Arial" w:hAnsi="Arial" w:cs="Arial"/>
      <w:sz w:val="17"/>
      <w:szCs w:val="17"/>
    </w:rPr>
  </w:style>
  <w:style w:type="paragraph" w:styleId="Sinespaciado">
    <w:name w:val="No Spacing"/>
    <w:uiPriority w:val="1"/>
    <w:qFormat/>
    <w:rsid w:val="005B057B"/>
    <w:rPr>
      <w:color w:val="000000"/>
    </w:rPr>
  </w:style>
  <w:style w:type="paragraph" w:styleId="Encabezado">
    <w:name w:val="header"/>
    <w:basedOn w:val="Normal"/>
    <w:link w:val="EncabezadoCar"/>
    <w:uiPriority w:val="99"/>
    <w:unhideWhenUsed/>
    <w:rsid w:val="005B057B"/>
    <w:pPr>
      <w:tabs>
        <w:tab w:val="center" w:pos="4419"/>
        <w:tab w:val="right" w:pos="8838"/>
      </w:tabs>
    </w:pPr>
  </w:style>
  <w:style w:type="character" w:customStyle="1" w:styleId="EncabezadoCar">
    <w:name w:val="Encabezado Car"/>
    <w:basedOn w:val="Fuentedeprrafopredeter"/>
    <w:link w:val="Encabezado"/>
    <w:uiPriority w:val="99"/>
    <w:rsid w:val="005B057B"/>
    <w:rPr>
      <w:color w:val="000000"/>
    </w:rPr>
  </w:style>
  <w:style w:type="paragraph" w:styleId="Piedepgina">
    <w:name w:val="footer"/>
    <w:basedOn w:val="Normal"/>
    <w:link w:val="PiedepginaCar"/>
    <w:uiPriority w:val="99"/>
    <w:unhideWhenUsed/>
    <w:rsid w:val="005B057B"/>
    <w:pPr>
      <w:tabs>
        <w:tab w:val="center" w:pos="4419"/>
        <w:tab w:val="right" w:pos="8838"/>
      </w:tabs>
    </w:pPr>
  </w:style>
  <w:style w:type="character" w:customStyle="1" w:styleId="PiedepginaCar">
    <w:name w:val="Pie de página Car"/>
    <w:basedOn w:val="Fuentedeprrafopredeter"/>
    <w:link w:val="Piedepgina"/>
    <w:uiPriority w:val="99"/>
    <w:rsid w:val="005B057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583</Words>
  <Characters>3212</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CNETCO</cp:lastModifiedBy>
  <cp:revision>2</cp:revision>
  <dcterms:created xsi:type="dcterms:W3CDTF">2020-11-10T00:52:00Z</dcterms:created>
  <dcterms:modified xsi:type="dcterms:W3CDTF">2020-11-10T00:52:00Z</dcterms:modified>
</cp:coreProperties>
</file>