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4433E" w14:textId="77777777" w:rsidR="00441095" w:rsidRDefault="00441095" w:rsidP="008E7EB4">
      <w:pPr>
        <w:pStyle w:val="Sinespaciado"/>
        <w:jc w:val="both"/>
        <w:rPr>
          <w:rFonts w:ascii="Verdana" w:hAnsi="Verdana"/>
          <w:b/>
          <w:bCs/>
        </w:rPr>
      </w:pPr>
    </w:p>
    <w:p w14:paraId="6FB24F9A" w14:textId="3937DC1E" w:rsidR="004741AE" w:rsidRPr="008E7EB4" w:rsidRDefault="008E7EB4" w:rsidP="008E7EB4">
      <w:pPr>
        <w:pStyle w:val="Sinespaciado"/>
        <w:jc w:val="both"/>
        <w:rPr>
          <w:rFonts w:ascii="Verdana" w:hAnsi="Verdana"/>
          <w:b/>
          <w:bCs/>
        </w:rPr>
      </w:pPr>
      <w:r w:rsidRPr="008E7EB4">
        <w:rPr>
          <w:rFonts w:ascii="Verdana" w:hAnsi="Verdana"/>
          <w:b/>
          <w:bCs/>
        </w:rPr>
        <w:t>CONCEPTO 1203 DEL 30 DE SEPTIEMBRE DE 2020</w:t>
      </w:r>
    </w:p>
    <w:p w14:paraId="6F9B7C5E" w14:textId="2947604E" w:rsidR="008E7EB4" w:rsidRPr="008E7EB4" w:rsidRDefault="008E7EB4" w:rsidP="008E7EB4">
      <w:pPr>
        <w:pStyle w:val="Sinespaciado"/>
        <w:jc w:val="both"/>
        <w:rPr>
          <w:rFonts w:ascii="Verdana" w:hAnsi="Verdana"/>
          <w:b/>
          <w:bCs/>
        </w:rPr>
      </w:pPr>
      <w:r w:rsidRPr="008E7EB4">
        <w:rPr>
          <w:rFonts w:ascii="Verdana" w:hAnsi="Verdana"/>
          <w:b/>
          <w:bCs/>
        </w:rPr>
        <w:t>DIRECCIÓN DE IMPUESTOS Y ADUANAS NACIONALES</w:t>
      </w:r>
    </w:p>
    <w:p w14:paraId="26A4BD69" w14:textId="77777777" w:rsidR="004741AE" w:rsidRPr="008E7EB4" w:rsidRDefault="004741AE" w:rsidP="008E7EB4">
      <w:pPr>
        <w:pStyle w:val="Sinespaciado"/>
        <w:jc w:val="both"/>
        <w:rPr>
          <w:rFonts w:ascii="Verdana" w:hAnsi="Verdana"/>
        </w:rPr>
      </w:pPr>
    </w:p>
    <w:p w14:paraId="19031F5E" w14:textId="1DDF0338" w:rsidR="004741AE" w:rsidRPr="008E7EB4" w:rsidRDefault="008E7EB4" w:rsidP="008E7EB4">
      <w:pPr>
        <w:pStyle w:val="Sinespaciado"/>
        <w:jc w:val="both"/>
        <w:rPr>
          <w:rFonts w:ascii="Verdana" w:hAnsi="Verdana"/>
        </w:rPr>
      </w:pPr>
      <w:r>
        <w:rPr>
          <w:rFonts w:ascii="Verdana" w:hAnsi="Verdana"/>
        </w:rPr>
        <w:t>Bogotá, D.C.</w:t>
      </w:r>
    </w:p>
    <w:p w14:paraId="27D711CC" w14:textId="77777777" w:rsidR="004741AE" w:rsidRPr="008E7EB4" w:rsidRDefault="004741AE" w:rsidP="008E7EB4">
      <w:pPr>
        <w:pStyle w:val="Sinespaciado"/>
        <w:jc w:val="both"/>
        <w:rPr>
          <w:rFonts w:ascii="Verdana" w:hAnsi="Verdana"/>
        </w:rPr>
      </w:pPr>
    </w:p>
    <w:p w14:paraId="7B65A023" w14:textId="7EFC085A" w:rsidR="004741AE" w:rsidRPr="008E7EB4" w:rsidRDefault="008E7EB4" w:rsidP="008E7EB4">
      <w:pPr>
        <w:pStyle w:val="Sinespaciado"/>
        <w:jc w:val="both"/>
        <w:rPr>
          <w:rFonts w:ascii="Verdana" w:hAnsi="Verdana"/>
        </w:rPr>
      </w:pPr>
      <w:r w:rsidRPr="008E7EB4">
        <w:rPr>
          <w:rStyle w:val="Cuerpodeltexto241"/>
          <w:rFonts w:ascii="Verdana" w:hAnsi="Verdana"/>
          <w:b/>
          <w:bCs/>
          <w:sz w:val="24"/>
          <w:szCs w:val="24"/>
        </w:rPr>
        <w:t>Tema</w:t>
      </w:r>
      <w:r>
        <w:rPr>
          <w:rStyle w:val="Cuerpodeltexto241"/>
          <w:rFonts w:ascii="Verdana" w:hAnsi="Verdana"/>
          <w:b/>
          <w:bCs/>
          <w:sz w:val="24"/>
          <w:szCs w:val="24"/>
        </w:rPr>
        <w:tab/>
      </w:r>
      <w:r>
        <w:rPr>
          <w:rStyle w:val="Cuerpodeltexto241"/>
          <w:rFonts w:ascii="Verdana" w:hAnsi="Verdana"/>
          <w:b/>
          <w:bCs/>
          <w:sz w:val="24"/>
          <w:szCs w:val="24"/>
        </w:rPr>
        <w:tab/>
      </w:r>
      <w:r>
        <w:rPr>
          <w:rStyle w:val="Cuerpodeltexto241"/>
          <w:rFonts w:ascii="Verdana" w:hAnsi="Verdana"/>
          <w:b/>
          <w:bCs/>
          <w:sz w:val="24"/>
          <w:szCs w:val="24"/>
        </w:rPr>
        <w:tab/>
      </w:r>
      <w:r w:rsidRPr="008E7EB4">
        <w:rPr>
          <w:rStyle w:val="Cuerpodeltexto241"/>
          <w:rFonts w:ascii="Verdana" w:hAnsi="Verdana"/>
          <w:sz w:val="24"/>
          <w:szCs w:val="24"/>
        </w:rPr>
        <w:t>Impuesto sobre la Renta y Complementarios</w:t>
      </w:r>
    </w:p>
    <w:p w14:paraId="04BD4E10" w14:textId="2D0728D6" w:rsidR="004741AE" w:rsidRPr="008E7EB4" w:rsidRDefault="008E7EB4" w:rsidP="008E7EB4">
      <w:pPr>
        <w:pStyle w:val="Sinespaciado"/>
        <w:jc w:val="both"/>
        <w:rPr>
          <w:rFonts w:ascii="Verdana" w:hAnsi="Verdana"/>
        </w:rPr>
      </w:pPr>
      <w:r w:rsidRPr="008E7EB4">
        <w:rPr>
          <w:rStyle w:val="Cuerpodeltexto241"/>
          <w:rFonts w:ascii="Verdana" w:hAnsi="Verdana"/>
          <w:b/>
          <w:bCs/>
          <w:sz w:val="24"/>
          <w:szCs w:val="24"/>
        </w:rPr>
        <w:t>Descriptores</w:t>
      </w:r>
      <w:r>
        <w:rPr>
          <w:rStyle w:val="Cuerpodeltexto241"/>
          <w:rFonts w:ascii="Verdana" w:hAnsi="Verdana"/>
          <w:b/>
          <w:bCs/>
          <w:sz w:val="24"/>
          <w:szCs w:val="24"/>
        </w:rPr>
        <w:tab/>
      </w:r>
      <w:r>
        <w:rPr>
          <w:rStyle w:val="Cuerpodeltexto241"/>
          <w:rFonts w:ascii="Verdana" w:hAnsi="Verdana"/>
          <w:b/>
          <w:bCs/>
          <w:sz w:val="24"/>
          <w:szCs w:val="24"/>
        </w:rPr>
        <w:tab/>
      </w:r>
      <w:r w:rsidRPr="008E7EB4">
        <w:rPr>
          <w:rStyle w:val="Cuerpodeltexto241"/>
          <w:rFonts w:ascii="Verdana" w:hAnsi="Verdana"/>
          <w:sz w:val="24"/>
          <w:szCs w:val="24"/>
        </w:rPr>
        <w:t>Rentas de trabajo</w:t>
      </w:r>
    </w:p>
    <w:p w14:paraId="6D686C4A" w14:textId="77777777" w:rsidR="004741AE" w:rsidRPr="008E7EB4" w:rsidRDefault="008E7EB4" w:rsidP="008E7EB4">
      <w:pPr>
        <w:pStyle w:val="Sinespaciado"/>
        <w:ind w:left="2124" w:firstLine="708"/>
        <w:jc w:val="both"/>
        <w:rPr>
          <w:rFonts w:ascii="Verdana" w:hAnsi="Verdana"/>
        </w:rPr>
      </w:pPr>
      <w:r w:rsidRPr="008E7EB4">
        <w:rPr>
          <w:rStyle w:val="Cuerpodeltexto241"/>
          <w:rFonts w:ascii="Verdana" w:hAnsi="Verdana"/>
          <w:sz w:val="24"/>
          <w:szCs w:val="24"/>
        </w:rPr>
        <w:t>Ganancias ocasionales</w:t>
      </w:r>
    </w:p>
    <w:p w14:paraId="5A0F40BA" w14:textId="1EA739C5" w:rsidR="004741AE" w:rsidRPr="008E7EB4" w:rsidRDefault="008E7EB4" w:rsidP="008E7EB4">
      <w:pPr>
        <w:pStyle w:val="Sinespaciado"/>
        <w:ind w:left="2832" w:hanging="2832"/>
        <w:jc w:val="both"/>
        <w:rPr>
          <w:rFonts w:ascii="Verdana" w:hAnsi="Verdana"/>
        </w:rPr>
      </w:pPr>
      <w:r w:rsidRPr="008E7EB4">
        <w:rPr>
          <w:rStyle w:val="Cuerpodeltexto241"/>
          <w:rFonts w:ascii="Verdana" w:hAnsi="Verdana"/>
          <w:b/>
          <w:bCs/>
          <w:sz w:val="24"/>
          <w:szCs w:val="24"/>
        </w:rPr>
        <w:t>Fuentes formales</w:t>
      </w:r>
      <w:r>
        <w:rPr>
          <w:rStyle w:val="Cuerpodeltexto241"/>
          <w:rFonts w:ascii="Verdana" w:hAnsi="Verdana"/>
          <w:b/>
          <w:bCs/>
          <w:sz w:val="24"/>
          <w:szCs w:val="24"/>
        </w:rPr>
        <w:tab/>
      </w:r>
      <w:r w:rsidRPr="008E7EB4">
        <w:rPr>
          <w:rStyle w:val="Cuerpodeltexto241"/>
          <w:rFonts w:ascii="Verdana" w:hAnsi="Verdana"/>
          <w:sz w:val="24"/>
          <w:szCs w:val="24"/>
        </w:rPr>
        <w:t>Artículos 206, 302, 337, 387 y 387-1 del Estatuto Tributario</w:t>
      </w:r>
    </w:p>
    <w:p w14:paraId="16330480" w14:textId="77777777" w:rsidR="004741AE" w:rsidRPr="008E7EB4" w:rsidRDefault="008E7EB4" w:rsidP="008E7EB4">
      <w:pPr>
        <w:pStyle w:val="Sinespaciado"/>
        <w:ind w:left="2832"/>
        <w:jc w:val="both"/>
        <w:rPr>
          <w:rFonts w:ascii="Verdana" w:hAnsi="Verdana"/>
        </w:rPr>
      </w:pPr>
      <w:r w:rsidRPr="008E7EB4">
        <w:rPr>
          <w:rStyle w:val="Cuerpodeltexto241"/>
          <w:rFonts w:ascii="Verdana" w:hAnsi="Verdana"/>
          <w:sz w:val="24"/>
          <w:szCs w:val="24"/>
        </w:rPr>
        <w:t>Artículo 1.2.4.1.26 del Decreto Único Reglamentario 1625 de 2016</w:t>
      </w:r>
    </w:p>
    <w:p w14:paraId="3E406FAD" w14:textId="77777777" w:rsidR="004741AE" w:rsidRPr="008E7EB4" w:rsidRDefault="008E7EB4" w:rsidP="008E7EB4">
      <w:pPr>
        <w:pStyle w:val="Sinespaciado"/>
        <w:ind w:left="2124" w:firstLine="708"/>
        <w:jc w:val="both"/>
        <w:rPr>
          <w:rFonts w:ascii="Verdana" w:hAnsi="Verdana"/>
        </w:rPr>
      </w:pPr>
      <w:r w:rsidRPr="008E7EB4">
        <w:rPr>
          <w:rStyle w:val="Cuerpodeltexto241"/>
          <w:rFonts w:ascii="Verdana" w:hAnsi="Verdana"/>
          <w:sz w:val="24"/>
          <w:szCs w:val="24"/>
        </w:rPr>
        <w:t>Oficio No. 020157 del 29 de julio de 2016</w:t>
      </w:r>
    </w:p>
    <w:p w14:paraId="504F3336" w14:textId="77777777" w:rsidR="008E7EB4" w:rsidRDefault="008E7EB4" w:rsidP="008E7EB4">
      <w:pPr>
        <w:pStyle w:val="Sinespaciado"/>
        <w:jc w:val="both"/>
        <w:rPr>
          <w:rStyle w:val="Cuerpodeltexto241"/>
          <w:rFonts w:ascii="Verdana" w:hAnsi="Verdana"/>
          <w:sz w:val="24"/>
          <w:szCs w:val="24"/>
        </w:rPr>
      </w:pPr>
    </w:p>
    <w:p w14:paraId="49091D22" w14:textId="10600FEA" w:rsidR="004741AE" w:rsidRPr="008E7EB4" w:rsidRDefault="008E7EB4" w:rsidP="008E7EB4">
      <w:pPr>
        <w:pStyle w:val="Sinespaciado"/>
        <w:jc w:val="both"/>
        <w:rPr>
          <w:rFonts w:ascii="Verdana" w:hAnsi="Verdana"/>
        </w:rPr>
      </w:pPr>
      <w:r w:rsidRPr="008E7EB4">
        <w:rPr>
          <w:rStyle w:val="Cuerpodeltexto241"/>
          <w:rFonts w:ascii="Verdana" w:hAnsi="Verdana"/>
          <w:sz w:val="24"/>
          <w:szCs w:val="24"/>
        </w:rPr>
        <w:t>Cordial saludo,</w:t>
      </w:r>
    </w:p>
    <w:p w14:paraId="23D41578" w14:textId="77777777" w:rsidR="008E7EB4" w:rsidRDefault="008E7EB4" w:rsidP="008E7EB4">
      <w:pPr>
        <w:pStyle w:val="Sinespaciado"/>
        <w:jc w:val="both"/>
        <w:rPr>
          <w:rStyle w:val="Cuerpodeltexto241"/>
          <w:rFonts w:ascii="Verdana" w:hAnsi="Verdana"/>
          <w:sz w:val="24"/>
          <w:szCs w:val="24"/>
        </w:rPr>
      </w:pPr>
    </w:p>
    <w:p w14:paraId="7DAF80A8" w14:textId="096C8918" w:rsidR="004741AE" w:rsidRPr="008E7EB4" w:rsidRDefault="008E7EB4" w:rsidP="008E7EB4">
      <w:pPr>
        <w:pStyle w:val="Sinespaciado"/>
        <w:jc w:val="both"/>
        <w:rPr>
          <w:rFonts w:ascii="Verdana" w:hAnsi="Verdana"/>
        </w:rPr>
      </w:pPr>
      <w:r w:rsidRPr="008E7EB4">
        <w:rPr>
          <w:rStyle w:val="Cuerpodeltexto241"/>
          <w:rFonts w:ascii="Verdana" w:hAnsi="Verdana"/>
          <w:sz w:val="24"/>
          <w:szCs w:val="24"/>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64038AE6" w14:textId="77777777" w:rsidR="008E7EB4" w:rsidRDefault="008E7EB4" w:rsidP="008E7EB4">
      <w:pPr>
        <w:pStyle w:val="Sinespaciado"/>
        <w:jc w:val="both"/>
        <w:rPr>
          <w:rStyle w:val="Cuerpodeltexto241"/>
          <w:rFonts w:ascii="Verdana" w:hAnsi="Verdana"/>
          <w:sz w:val="24"/>
          <w:szCs w:val="24"/>
        </w:rPr>
      </w:pPr>
    </w:p>
    <w:p w14:paraId="50E7AF08" w14:textId="1A485578" w:rsidR="004741AE" w:rsidRPr="008E7EB4" w:rsidRDefault="008E7EB4" w:rsidP="008E7EB4">
      <w:pPr>
        <w:pStyle w:val="Sinespaciado"/>
        <w:jc w:val="both"/>
        <w:rPr>
          <w:rFonts w:ascii="Verdana" w:hAnsi="Verdana"/>
        </w:rPr>
      </w:pPr>
      <w:r w:rsidRPr="008E7EB4">
        <w:rPr>
          <w:rStyle w:val="Cuerpodeltexto241"/>
          <w:rFonts w:ascii="Verdana" w:hAnsi="Verdana"/>
          <w:sz w:val="24"/>
          <w:szCs w:val="24"/>
        </w:rPr>
        <w:t>Mediante el radicado de la referencia, plantea la siguiente situación:</w:t>
      </w:r>
    </w:p>
    <w:p w14:paraId="1C716A8E" w14:textId="77777777" w:rsidR="008E7EB4" w:rsidRDefault="008E7EB4" w:rsidP="008E7EB4">
      <w:pPr>
        <w:pStyle w:val="Sinespaciado"/>
        <w:jc w:val="both"/>
        <w:rPr>
          <w:rStyle w:val="Cuerpodeltexto241"/>
          <w:rFonts w:ascii="Verdana" w:hAnsi="Verdana"/>
          <w:sz w:val="24"/>
          <w:szCs w:val="24"/>
        </w:rPr>
      </w:pPr>
    </w:p>
    <w:p w14:paraId="6332A570" w14:textId="76F47D22" w:rsidR="004741AE" w:rsidRPr="008E7EB4" w:rsidRDefault="008E7EB4" w:rsidP="008E7EB4">
      <w:pPr>
        <w:pStyle w:val="Sinespaciado"/>
        <w:jc w:val="both"/>
        <w:rPr>
          <w:rFonts w:ascii="Verdana" w:hAnsi="Verdana"/>
        </w:rPr>
      </w:pPr>
      <w:r w:rsidRPr="008E7EB4">
        <w:rPr>
          <w:rStyle w:val="Cuerpodeltexto241"/>
          <w:rFonts w:ascii="Verdana" w:hAnsi="Verdana"/>
          <w:sz w:val="24"/>
          <w:szCs w:val="24"/>
        </w:rPr>
        <w:t>Un entidad tiene contratada la medicina prepagada en beneficio de sus empleados y pensionados y los pagos realizados por tal concepto los reporta dicha entidad en el renglón 45 del Formulario 220 (Certificado de Ingresos y Retenciones por Rentas de Trabajo y de Pensiones), esto es, como "otros pagos”. Asimismo, el peticionario agrega que la entidad les sugiere a sus empleados y pensionados que dichos pagos sean deducidos en los términos del artículo 387 del Estatuto Tributario.</w:t>
      </w:r>
    </w:p>
    <w:p w14:paraId="281A1EEF" w14:textId="77777777" w:rsidR="008E7EB4" w:rsidRDefault="008E7EB4" w:rsidP="008E7EB4">
      <w:pPr>
        <w:pStyle w:val="Sinespaciado"/>
        <w:jc w:val="both"/>
        <w:rPr>
          <w:rStyle w:val="Cuerpodeltexto241"/>
          <w:rFonts w:ascii="Verdana" w:hAnsi="Verdana"/>
          <w:sz w:val="24"/>
          <w:szCs w:val="24"/>
        </w:rPr>
      </w:pPr>
    </w:p>
    <w:p w14:paraId="2901AA3B" w14:textId="46117DF6" w:rsidR="004741AE" w:rsidRPr="008E7EB4" w:rsidRDefault="008E7EB4" w:rsidP="008E7EB4">
      <w:pPr>
        <w:pStyle w:val="Sinespaciado"/>
        <w:jc w:val="both"/>
        <w:rPr>
          <w:rFonts w:ascii="Verdana" w:hAnsi="Verdana"/>
        </w:rPr>
      </w:pPr>
      <w:r w:rsidRPr="008E7EB4">
        <w:rPr>
          <w:rStyle w:val="Cuerpodeltexto241"/>
          <w:rFonts w:ascii="Verdana" w:hAnsi="Verdana"/>
          <w:sz w:val="24"/>
          <w:szCs w:val="24"/>
        </w:rPr>
        <w:t>Con este contexto, plantea unas inquietudes, las cuales se resolverán cada una a su turno:</w:t>
      </w:r>
    </w:p>
    <w:p w14:paraId="59FCEF58" w14:textId="77777777" w:rsidR="008E7EB4" w:rsidRDefault="008E7EB4" w:rsidP="008E7EB4">
      <w:pPr>
        <w:pStyle w:val="Sinespaciado"/>
        <w:jc w:val="both"/>
        <w:rPr>
          <w:rFonts w:ascii="Verdana" w:hAnsi="Verdana"/>
        </w:rPr>
      </w:pPr>
    </w:p>
    <w:p w14:paraId="3FEC6C88" w14:textId="1BB37ACC" w:rsidR="004741AE" w:rsidRPr="008E7EB4" w:rsidRDefault="008E7EB4" w:rsidP="008E7EB4">
      <w:pPr>
        <w:pStyle w:val="Sinespaciado"/>
        <w:numPr>
          <w:ilvl w:val="0"/>
          <w:numId w:val="2"/>
        </w:numPr>
        <w:jc w:val="both"/>
        <w:rPr>
          <w:rFonts w:ascii="Verdana" w:hAnsi="Verdana"/>
          <w:b/>
          <w:bCs/>
        </w:rPr>
      </w:pPr>
      <w:r w:rsidRPr="008E7EB4">
        <w:rPr>
          <w:rFonts w:ascii="Verdana" w:hAnsi="Verdana"/>
          <w:b/>
          <w:bCs/>
        </w:rPr>
        <w:t>Tratándose de un pensionado ¿los pagos por medicina prepagada realizados a su favor deben declararse dentro de la subcédula de rentas no laborales del Formulario 210?</w:t>
      </w:r>
    </w:p>
    <w:p w14:paraId="359D504F" w14:textId="77777777" w:rsidR="008E7EB4" w:rsidRDefault="008E7EB4" w:rsidP="008E7EB4">
      <w:pPr>
        <w:pStyle w:val="Sinespaciado"/>
        <w:jc w:val="both"/>
        <w:rPr>
          <w:rStyle w:val="Cuerpodeltexto241"/>
          <w:rFonts w:ascii="Verdana" w:hAnsi="Verdana"/>
          <w:sz w:val="24"/>
          <w:szCs w:val="24"/>
        </w:rPr>
      </w:pPr>
    </w:p>
    <w:p w14:paraId="6C0C61BD" w14:textId="4A72EA8F" w:rsidR="004741AE" w:rsidRPr="008E7EB4" w:rsidRDefault="008E7EB4" w:rsidP="008E7EB4">
      <w:pPr>
        <w:pStyle w:val="Sinespaciado"/>
        <w:jc w:val="both"/>
        <w:rPr>
          <w:rFonts w:ascii="Verdana" w:hAnsi="Verdana"/>
        </w:rPr>
      </w:pPr>
      <w:r w:rsidRPr="008E7EB4">
        <w:rPr>
          <w:rStyle w:val="Cuerpodeltexto241"/>
          <w:rFonts w:ascii="Verdana" w:hAnsi="Verdana"/>
          <w:sz w:val="24"/>
          <w:szCs w:val="24"/>
        </w:rPr>
        <w:t>En consideración a que en los antecedentes de la consulta no se especifica si estos pensionados tienen un vínculo laboral o legal y reglamentario vigente, es preciso analizar ambos escenarios:</w:t>
      </w:r>
    </w:p>
    <w:p w14:paraId="07719AF8" w14:textId="77777777" w:rsidR="008E7EB4" w:rsidRDefault="008E7EB4" w:rsidP="008E7EB4">
      <w:pPr>
        <w:pStyle w:val="Sinespaciado"/>
        <w:jc w:val="both"/>
        <w:rPr>
          <w:rStyle w:val="Cuerpodeltexto241"/>
          <w:rFonts w:ascii="Verdana" w:hAnsi="Verdana"/>
          <w:sz w:val="24"/>
          <w:szCs w:val="24"/>
        </w:rPr>
      </w:pPr>
    </w:p>
    <w:p w14:paraId="320E82AD" w14:textId="1478B0B3" w:rsidR="004741AE" w:rsidRPr="008E7EB4" w:rsidRDefault="008E7EB4" w:rsidP="008E7EB4">
      <w:pPr>
        <w:pStyle w:val="Sinespaciado"/>
        <w:numPr>
          <w:ilvl w:val="1"/>
          <w:numId w:val="2"/>
        </w:numPr>
        <w:jc w:val="both"/>
        <w:rPr>
          <w:rFonts w:ascii="Verdana" w:hAnsi="Verdana"/>
        </w:rPr>
      </w:pPr>
      <w:r w:rsidRPr="008E7EB4">
        <w:rPr>
          <w:rStyle w:val="Cuerpodeltexto241"/>
          <w:rFonts w:ascii="Verdana" w:hAnsi="Verdana"/>
          <w:sz w:val="24"/>
          <w:szCs w:val="24"/>
        </w:rPr>
        <w:t>Si el pensionado cuenta con v</w:t>
      </w:r>
      <w:r>
        <w:rPr>
          <w:rStyle w:val="Cuerpodeltexto241"/>
          <w:rFonts w:ascii="Verdana" w:hAnsi="Verdana"/>
          <w:sz w:val="24"/>
          <w:szCs w:val="24"/>
        </w:rPr>
        <w:t>í</w:t>
      </w:r>
      <w:r w:rsidRPr="008E7EB4">
        <w:rPr>
          <w:rStyle w:val="Cuerpodeltexto241"/>
          <w:rFonts w:ascii="Verdana" w:hAnsi="Verdana"/>
          <w:sz w:val="24"/>
          <w:szCs w:val="24"/>
        </w:rPr>
        <w:t>nculo laboral o legal y reglamentaria vigente con la entidad:</w:t>
      </w:r>
    </w:p>
    <w:p w14:paraId="52430DD9" w14:textId="77777777" w:rsidR="008E7EB4" w:rsidRDefault="008E7EB4" w:rsidP="008E7EB4">
      <w:pPr>
        <w:pStyle w:val="Sinespaciado"/>
        <w:ind w:left="1080"/>
        <w:jc w:val="both"/>
        <w:rPr>
          <w:rStyle w:val="Cuerpodeltexto241"/>
          <w:rFonts w:ascii="Verdana" w:hAnsi="Verdana"/>
          <w:sz w:val="24"/>
          <w:szCs w:val="24"/>
        </w:rPr>
      </w:pPr>
    </w:p>
    <w:p w14:paraId="0FA23662" w14:textId="77777777" w:rsidR="008E7EB4" w:rsidRDefault="008E7EB4" w:rsidP="008E7EB4">
      <w:pPr>
        <w:pStyle w:val="Sinespaciado"/>
        <w:ind w:left="1080"/>
        <w:jc w:val="both"/>
        <w:rPr>
          <w:rFonts w:ascii="Verdana" w:hAnsi="Verdana"/>
        </w:rPr>
      </w:pPr>
      <w:r w:rsidRPr="008E7EB4">
        <w:rPr>
          <w:rStyle w:val="Cuerpodeltexto241"/>
          <w:rFonts w:ascii="Verdana" w:hAnsi="Verdana"/>
          <w:sz w:val="24"/>
          <w:szCs w:val="24"/>
        </w:rPr>
        <w:t>Si la persona natural, además de pensionada, continúa laborando en la entidad en virtud de una relación laboral o legal y reglamentaria, los pagos realizados a su favor por concepto de medicina prepagada deben declararse en la subcédula de rentas de trabajo, teniendo en cuenta que, de acuerdo con el artículo 1.2.4.1.26 del Decreto 1625 de 2016, tienen la calidad de pagos laborales indirectos.</w:t>
      </w:r>
    </w:p>
    <w:p w14:paraId="552EC21D" w14:textId="77777777" w:rsidR="008E7EB4" w:rsidRDefault="008E7EB4" w:rsidP="008E7EB4">
      <w:pPr>
        <w:pStyle w:val="Sinespaciado"/>
        <w:ind w:left="1080"/>
        <w:jc w:val="both"/>
        <w:rPr>
          <w:rFonts w:ascii="Verdana" w:hAnsi="Verdana"/>
        </w:rPr>
      </w:pPr>
    </w:p>
    <w:p w14:paraId="55DDFE76" w14:textId="77777777" w:rsidR="008E7EB4" w:rsidRDefault="008E7EB4" w:rsidP="008E7EB4">
      <w:pPr>
        <w:pStyle w:val="Sinespaciado"/>
        <w:ind w:left="1080"/>
        <w:jc w:val="both"/>
        <w:rPr>
          <w:rFonts w:ascii="Verdana" w:hAnsi="Verdana"/>
        </w:rPr>
      </w:pPr>
      <w:r w:rsidRPr="008E7EB4">
        <w:rPr>
          <w:rStyle w:val="Cuerpodeltexto241"/>
          <w:rFonts w:ascii="Verdana" w:hAnsi="Verdana"/>
          <w:sz w:val="24"/>
          <w:szCs w:val="24"/>
        </w:rPr>
        <w:t xml:space="preserve">En este sentido, de acuerdo con el oficio No. 020157 del 29 de julio de 2016 y en atención al inciso 1° del artículo 206 del Estatuto Tributario, </w:t>
      </w:r>
      <w:r w:rsidRPr="008E7EB4">
        <w:rPr>
          <w:rStyle w:val="Cuerpodeltexto24Cursiva"/>
          <w:rFonts w:ascii="Verdana" w:hAnsi="Verdana"/>
          <w:sz w:val="24"/>
          <w:szCs w:val="24"/>
        </w:rPr>
        <w:t xml:space="preserve">“todo pago que reciba el trabajador </w:t>
      </w:r>
      <w:r w:rsidRPr="008E7EB4">
        <w:rPr>
          <w:rStyle w:val="Cuerpodeltexto24NegritaCursiva"/>
          <w:rFonts w:ascii="Verdana" w:hAnsi="Verdana"/>
          <w:sz w:val="24"/>
          <w:szCs w:val="24"/>
        </w:rPr>
        <w:t>producto de una relación laboral, legal o reglamentaria está gravado con excepción de los expresamente indicados en la misma norma</w:t>
      </w:r>
      <w:r w:rsidRPr="008E7EB4">
        <w:rPr>
          <w:rStyle w:val="Cuerpodeltexto24Cursiva"/>
          <w:rFonts w:ascii="Verdana" w:hAnsi="Verdana"/>
          <w:sz w:val="24"/>
          <w:szCs w:val="24"/>
        </w:rPr>
        <w:t>”</w:t>
      </w:r>
      <w:r w:rsidRPr="008E7EB4">
        <w:rPr>
          <w:rStyle w:val="Cuerpodeltexto241"/>
          <w:rFonts w:ascii="Verdana" w:hAnsi="Verdana"/>
          <w:sz w:val="24"/>
          <w:szCs w:val="24"/>
        </w:rPr>
        <w:t xml:space="preserve"> (resaltado fuera de texto).</w:t>
      </w:r>
    </w:p>
    <w:p w14:paraId="51B74B1A" w14:textId="77777777" w:rsidR="008E7EB4" w:rsidRDefault="008E7EB4" w:rsidP="008E7EB4">
      <w:pPr>
        <w:pStyle w:val="Sinespaciado"/>
        <w:ind w:left="1080"/>
        <w:jc w:val="both"/>
        <w:rPr>
          <w:rFonts w:ascii="Verdana" w:hAnsi="Verdana"/>
        </w:rPr>
      </w:pPr>
    </w:p>
    <w:p w14:paraId="49D0F945" w14:textId="4077DF1E" w:rsidR="004741AE" w:rsidRPr="008E7EB4" w:rsidRDefault="008E7EB4" w:rsidP="008E7EB4">
      <w:pPr>
        <w:pStyle w:val="Sinespaciado"/>
        <w:ind w:left="1080"/>
        <w:jc w:val="both"/>
        <w:rPr>
          <w:rFonts w:ascii="Verdana" w:hAnsi="Verdana"/>
        </w:rPr>
      </w:pPr>
      <w:r w:rsidRPr="008E7EB4">
        <w:rPr>
          <w:rStyle w:val="Cuerpodeltexto241"/>
          <w:rFonts w:ascii="Verdana" w:hAnsi="Verdana"/>
          <w:sz w:val="24"/>
          <w:szCs w:val="24"/>
        </w:rPr>
        <w:t>Ahora bien, es de precisar que, en los términos del artículo 387 del Estatuto Tributario, para el trabajador sólo serán deducibles los pagos por salud, siempre que haya incurrido efectivamente en los mismos y se cumplan los requisitos previstos en las disposiciones correspondientes, lo cual no acontece cuando la entidad empleadora asume económicamente la totalidad de dichos pagos.</w:t>
      </w:r>
    </w:p>
    <w:p w14:paraId="5F79498A" w14:textId="77777777" w:rsidR="008E7EB4" w:rsidRDefault="008E7EB4" w:rsidP="008E7EB4">
      <w:pPr>
        <w:pStyle w:val="Sinespaciado"/>
        <w:jc w:val="both"/>
        <w:rPr>
          <w:rStyle w:val="Cuerpodeltexto241"/>
          <w:rFonts w:ascii="Verdana" w:hAnsi="Verdana"/>
          <w:sz w:val="24"/>
          <w:szCs w:val="24"/>
        </w:rPr>
      </w:pPr>
    </w:p>
    <w:p w14:paraId="70F7AC1F" w14:textId="0F971CC6" w:rsidR="004741AE" w:rsidRPr="008E7EB4" w:rsidRDefault="008E7EB4" w:rsidP="008E7EB4">
      <w:pPr>
        <w:pStyle w:val="Sinespaciado"/>
        <w:numPr>
          <w:ilvl w:val="1"/>
          <w:numId w:val="2"/>
        </w:numPr>
        <w:jc w:val="both"/>
        <w:rPr>
          <w:rFonts w:ascii="Verdana" w:hAnsi="Verdana"/>
        </w:rPr>
      </w:pPr>
      <w:r w:rsidRPr="008E7EB4">
        <w:rPr>
          <w:rStyle w:val="Cuerpodeltexto241"/>
          <w:rFonts w:ascii="Verdana" w:hAnsi="Verdana"/>
          <w:sz w:val="24"/>
          <w:szCs w:val="24"/>
        </w:rPr>
        <w:t>Si el pensionado no cuenta con v</w:t>
      </w:r>
      <w:r>
        <w:rPr>
          <w:rStyle w:val="Cuerpodeltexto241"/>
          <w:rFonts w:ascii="Verdana" w:hAnsi="Verdana"/>
          <w:sz w:val="24"/>
          <w:szCs w:val="24"/>
        </w:rPr>
        <w:t>í</w:t>
      </w:r>
      <w:r w:rsidRPr="008E7EB4">
        <w:rPr>
          <w:rStyle w:val="Cuerpodeltexto241"/>
          <w:rFonts w:ascii="Verdana" w:hAnsi="Verdana"/>
          <w:sz w:val="24"/>
          <w:szCs w:val="24"/>
        </w:rPr>
        <w:t>nculo laboral o legal y reglamentario vigente con la entidad:</w:t>
      </w:r>
    </w:p>
    <w:p w14:paraId="74DD8719" w14:textId="77777777" w:rsidR="008E7EB4" w:rsidRDefault="008E7EB4" w:rsidP="008E7EB4">
      <w:pPr>
        <w:pStyle w:val="Sinespaciado"/>
        <w:ind w:left="1080"/>
        <w:jc w:val="both"/>
        <w:rPr>
          <w:rStyle w:val="Cuerpodeltexto241"/>
          <w:rFonts w:ascii="Verdana" w:hAnsi="Verdana"/>
          <w:sz w:val="24"/>
          <w:szCs w:val="24"/>
        </w:rPr>
      </w:pPr>
    </w:p>
    <w:p w14:paraId="68931C38" w14:textId="33378B08" w:rsidR="004741AE" w:rsidRPr="008E7EB4" w:rsidRDefault="008E7EB4" w:rsidP="008E7EB4">
      <w:pPr>
        <w:pStyle w:val="Sinespaciado"/>
        <w:ind w:left="1080"/>
        <w:jc w:val="both"/>
        <w:rPr>
          <w:rFonts w:ascii="Verdana" w:hAnsi="Verdana"/>
        </w:rPr>
      </w:pPr>
      <w:r w:rsidRPr="008E7EB4">
        <w:rPr>
          <w:rStyle w:val="Cuerpodeltexto241"/>
          <w:rFonts w:ascii="Verdana" w:hAnsi="Verdana"/>
          <w:sz w:val="24"/>
          <w:szCs w:val="24"/>
        </w:rPr>
        <w:t>A diferencia de lo explicado en el punto anterior, y bajo el supuesto que no exista un vínculo laboral o legal y reglamentario, los pagos realizados por la entidad por concepto de medicina prepagada no constituyen pagos laborales indirectos en favor del pensionado, ni ingresos de las rentas de pensiones.</w:t>
      </w:r>
    </w:p>
    <w:p w14:paraId="7166A39D" w14:textId="77777777" w:rsidR="008E7EB4" w:rsidRDefault="008E7EB4" w:rsidP="008E7EB4">
      <w:pPr>
        <w:pStyle w:val="Sinespaciado"/>
        <w:jc w:val="both"/>
        <w:rPr>
          <w:rStyle w:val="Cuerpodeltexto31Sincursiva"/>
          <w:rFonts w:ascii="Verdana" w:hAnsi="Verdana"/>
          <w:i w:val="0"/>
          <w:iCs w:val="0"/>
          <w:sz w:val="24"/>
          <w:szCs w:val="24"/>
        </w:rPr>
      </w:pPr>
    </w:p>
    <w:p w14:paraId="6EAE6D07" w14:textId="7194B813" w:rsidR="004741AE" w:rsidRPr="008E7EB4" w:rsidRDefault="008E7EB4" w:rsidP="008E7EB4">
      <w:pPr>
        <w:pStyle w:val="Sinespaciado"/>
        <w:jc w:val="both"/>
        <w:rPr>
          <w:rFonts w:ascii="Verdana" w:hAnsi="Verdana"/>
        </w:rPr>
      </w:pPr>
      <w:r w:rsidRPr="008E7EB4">
        <w:rPr>
          <w:rStyle w:val="Cuerpodeltexto31Sincursiva"/>
          <w:rFonts w:ascii="Verdana" w:hAnsi="Verdana"/>
          <w:i w:val="0"/>
          <w:iCs w:val="0"/>
          <w:sz w:val="24"/>
          <w:szCs w:val="24"/>
        </w:rPr>
        <w:t xml:space="preserve">En efecto, el artículo 1.2.4.1.26. del Decreto 1625 de 2016 define los pagos laborales indirectos como aquellos que </w:t>
      </w:r>
      <w:r w:rsidRPr="008E7EB4">
        <w:rPr>
          <w:rFonts w:ascii="Verdana" w:hAnsi="Verdana"/>
        </w:rPr>
        <w:t>“</w:t>
      </w:r>
      <w:r w:rsidRPr="008E7EB4">
        <w:rPr>
          <w:rStyle w:val="Cuerpodeltexto31Negrita"/>
          <w:rFonts w:ascii="Verdana" w:hAnsi="Verdana"/>
          <w:sz w:val="24"/>
          <w:szCs w:val="24"/>
        </w:rPr>
        <w:t xml:space="preserve">efectúe el empleador </w:t>
      </w:r>
      <w:r w:rsidRPr="008E7EB4">
        <w:rPr>
          <w:rFonts w:ascii="Verdana" w:hAnsi="Verdana"/>
        </w:rPr>
        <w:t xml:space="preserve">a terceras personas por la prestación de servicios o adquisición de bienes </w:t>
      </w:r>
      <w:r w:rsidRPr="008E7EB4">
        <w:rPr>
          <w:rStyle w:val="Cuerpodeltexto31Negrita"/>
          <w:rFonts w:ascii="Verdana" w:hAnsi="Verdana"/>
          <w:sz w:val="24"/>
          <w:szCs w:val="24"/>
        </w:rPr>
        <w:t xml:space="preserve">destinados al trabajador </w:t>
      </w:r>
      <w:r w:rsidRPr="008E7EB4">
        <w:rPr>
          <w:rFonts w:ascii="Verdana" w:hAnsi="Verdana"/>
        </w:rPr>
        <w:t>o a su cónyuge, o a personas vinculadas con él por parentesco dentro del cuarto grado de consanguinidad, segundo de afinidad o único civil”</w:t>
      </w:r>
      <w:r w:rsidRPr="008E7EB4">
        <w:rPr>
          <w:rStyle w:val="Cuerpodeltexto31Sincursiva"/>
          <w:rFonts w:ascii="Verdana" w:hAnsi="Verdana"/>
          <w:i w:val="0"/>
          <w:iCs w:val="0"/>
          <w:sz w:val="24"/>
          <w:szCs w:val="24"/>
        </w:rPr>
        <w:t xml:space="preserve"> (resaltado fuera de texto), lo que denota la necesidad de una relación laboral existente.</w:t>
      </w:r>
    </w:p>
    <w:p w14:paraId="50DBF5B3" w14:textId="77777777" w:rsidR="008E7EB4" w:rsidRDefault="008E7EB4" w:rsidP="008E7EB4">
      <w:pPr>
        <w:pStyle w:val="Sinespaciado"/>
        <w:jc w:val="both"/>
        <w:rPr>
          <w:rStyle w:val="Cuerpodeltexto31Sincursiva"/>
          <w:rFonts w:ascii="Verdana" w:hAnsi="Verdana"/>
          <w:i w:val="0"/>
          <w:iCs w:val="0"/>
          <w:sz w:val="24"/>
          <w:szCs w:val="24"/>
        </w:rPr>
      </w:pPr>
    </w:p>
    <w:p w14:paraId="349999D5" w14:textId="099FC1D6" w:rsidR="004741AE" w:rsidRPr="008E7EB4" w:rsidRDefault="008E7EB4" w:rsidP="008E7EB4">
      <w:pPr>
        <w:pStyle w:val="Sinespaciado"/>
        <w:jc w:val="both"/>
        <w:rPr>
          <w:rFonts w:ascii="Verdana" w:hAnsi="Verdana"/>
        </w:rPr>
      </w:pPr>
      <w:r w:rsidRPr="008E7EB4">
        <w:rPr>
          <w:rStyle w:val="Cuerpodeltexto31Sincursiva"/>
          <w:rFonts w:ascii="Verdana" w:hAnsi="Verdana"/>
          <w:i w:val="0"/>
          <w:iCs w:val="0"/>
          <w:sz w:val="24"/>
          <w:szCs w:val="24"/>
        </w:rPr>
        <w:t xml:space="preserve">A la par, el artículo 337 del Estatuto Tributario señala que son ingresos de la cédula de pensiones </w:t>
      </w:r>
      <w:r w:rsidRPr="008E7EB4">
        <w:rPr>
          <w:rFonts w:ascii="Verdana" w:hAnsi="Verdana"/>
          <w:i/>
          <w:iCs/>
        </w:rPr>
        <w:t xml:space="preserve">“las pensiones de jubilación, invalidez, vejez, de </w:t>
      </w:r>
      <w:r w:rsidRPr="008E7EB4">
        <w:rPr>
          <w:rFonts w:ascii="Verdana" w:hAnsi="Verdana"/>
          <w:i/>
          <w:iCs/>
        </w:rPr>
        <w:lastRenderedPageBreak/>
        <w:t>sobrevivientes y sobre riesgos laborales, así como aquellas provenientes de indemnizaciones sustitutivas de las pensiones o las devoluciones de saldos de ahorro pensional. (...)”</w:t>
      </w:r>
      <w:r w:rsidRPr="008E7EB4">
        <w:rPr>
          <w:rFonts w:ascii="Verdana" w:hAnsi="Verdana"/>
        </w:rPr>
        <w:t>,</w:t>
      </w:r>
      <w:r w:rsidRPr="008E7EB4">
        <w:rPr>
          <w:rStyle w:val="Cuerpodeltexto31Sincursiva"/>
          <w:rFonts w:ascii="Verdana" w:hAnsi="Verdana"/>
          <w:i w:val="0"/>
          <w:iCs w:val="0"/>
          <w:sz w:val="24"/>
          <w:szCs w:val="24"/>
        </w:rPr>
        <w:t xml:space="preserve"> sin que haya cabida a otros conceptos.</w:t>
      </w:r>
    </w:p>
    <w:p w14:paraId="07C80E6B" w14:textId="77777777" w:rsidR="008E7EB4" w:rsidRDefault="008E7EB4" w:rsidP="008E7EB4">
      <w:pPr>
        <w:pStyle w:val="Sinespaciado"/>
        <w:jc w:val="both"/>
        <w:rPr>
          <w:rStyle w:val="Cuerpodeltexto241"/>
          <w:rFonts w:ascii="Verdana" w:hAnsi="Verdana"/>
          <w:sz w:val="24"/>
          <w:szCs w:val="24"/>
        </w:rPr>
      </w:pPr>
    </w:p>
    <w:p w14:paraId="03AF56A0" w14:textId="216DAE65" w:rsidR="004741AE" w:rsidRPr="008E7EB4" w:rsidRDefault="008E7EB4" w:rsidP="008E7EB4">
      <w:pPr>
        <w:pStyle w:val="Sinespaciado"/>
        <w:jc w:val="both"/>
        <w:rPr>
          <w:rFonts w:ascii="Verdana" w:hAnsi="Verdana"/>
        </w:rPr>
      </w:pPr>
      <w:r w:rsidRPr="008E7EB4">
        <w:rPr>
          <w:rStyle w:val="Cuerpodeltexto241"/>
          <w:rFonts w:ascii="Verdana" w:hAnsi="Verdana"/>
          <w:sz w:val="24"/>
          <w:szCs w:val="24"/>
        </w:rPr>
        <w:t xml:space="preserve">Teniendo en cuenta lo anterior, se deberá analizar en cada caso particular las implicaciones tributarias de los pagos realizados por concepto de medicina prepagada, que de acuerdo con el caso consultado podrían corresponder a: i) una renta no laboral, siempre que el pensionado los reciba como contraprestación de una actividad ejecutada que no califica dentro de una relación laboral o legal y reglamentaria, acorde con el artículo 335 del Estatuto Tributario, o ii) a una ganancia ocasional si son realizados por mera liberalidad por parte de la entidad y no involucran ninguna contraprestación a cargo del pensionado en favor de la entidad, de conformidad con el artículo 302 </w:t>
      </w:r>
      <w:r w:rsidRPr="008E7EB4">
        <w:rPr>
          <w:rStyle w:val="Cuerpodeltexto24Cursiva"/>
          <w:rFonts w:ascii="Verdana" w:hAnsi="Verdana"/>
          <w:sz w:val="24"/>
          <w:szCs w:val="24"/>
        </w:rPr>
        <w:t>ibídem.</w:t>
      </w:r>
    </w:p>
    <w:p w14:paraId="7A37425A" w14:textId="77777777" w:rsidR="008E7EB4" w:rsidRDefault="008E7EB4" w:rsidP="008E7EB4">
      <w:pPr>
        <w:pStyle w:val="Sinespaciado"/>
        <w:jc w:val="both"/>
        <w:rPr>
          <w:rFonts w:ascii="Verdana" w:hAnsi="Verdana"/>
        </w:rPr>
      </w:pPr>
    </w:p>
    <w:p w14:paraId="789AEE38" w14:textId="579180DC" w:rsidR="004741AE" w:rsidRPr="008E7EB4" w:rsidRDefault="008E7EB4" w:rsidP="008E7EB4">
      <w:pPr>
        <w:pStyle w:val="Sinespaciado"/>
        <w:numPr>
          <w:ilvl w:val="0"/>
          <w:numId w:val="2"/>
        </w:numPr>
        <w:jc w:val="both"/>
        <w:rPr>
          <w:rFonts w:ascii="Verdana" w:hAnsi="Verdana"/>
          <w:b/>
          <w:bCs/>
        </w:rPr>
      </w:pPr>
      <w:r w:rsidRPr="008E7EB4">
        <w:rPr>
          <w:rFonts w:ascii="Verdana" w:hAnsi="Verdana"/>
          <w:b/>
          <w:bCs/>
        </w:rPr>
        <w:t>¿Los mencionados pagos de medicina prepagada pueden ser considerados como un ingreso no constitutivo de renta, por similitud con los pagos indirectos de que trata el artículo 387-1 del Estatuto Tributario?</w:t>
      </w:r>
    </w:p>
    <w:p w14:paraId="75365023" w14:textId="77777777" w:rsidR="008E7EB4" w:rsidRDefault="008E7EB4" w:rsidP="008E7EB4">
      <w:pPr>
        <w:pStyle w:val="Sinespaciado"/>
        <w:jc w:val="both"/>
        <w:rPr>
          <w:rStyle w:val="Cuerpodeltexto241"/>
          <w:rFonts w:ascii="Verdana" w:hAnsi="Verdana"/>
          <w:sz w:val="24"/>
          <w:szCs w:val="24"/>
        </w:rPr>
      </w:pPr>
    </w:p>
    <w:p w14:paraId="6AB1E017" w14:textId="04095609" w:rsidR="004741AE" w:rsidRPr="008E7EB4" w:rsidRDefault="008E7EB4" w:rsidP="008E7EB4">
      <w:pPr>
        <w:pStyle w:val="Sinespaciado"/>
        <w:jc w:val="both"/>
        <w:rPr>
          <w:rFonts w:ascii="Verdana" w:hAnsi="Verdana"/>
        </w:rPr>
      </w:pPr>
      <w:r w:rsidRPr="008E7EB4">
        <w:rPr>
          <w:rStyle w:val="Cuerpodeltexto241"/>
          <w:rFonts w:ascii="Verdana" w:hAnsi="Verdana"/>
          <w:sz w:val="24"/>
          <w:szCs w:val="24"/>
        </w:rPr>
        <w:t>El tratamiento tributario contemplado en el artículo 387-1 del Estatuto Tributario versa exclusivamente sobre los pagos realizados por el empleador a terceros por concepto de alimentación del trabajador o su familia, el cual no es extensible a los pagos por salud (medicina prepagada) teniendo en cuenta que las excepciones en materia tributaria son de interpretación restrictiva y se deben expresar taxativamente en la ley.</w:t>
      </w:r>
    </w:p>
    <w:p w14:paraId="75F3081D" w14:textId="77777777" w:rsidR="008E7EB4" w:rsidRDefault="008E7EB4" w:rsidP="008E7EB4">
      <w:pPr>
        <w:pStyle w:val="Sinespaciado"/>
        <w:jc w:val="both"/>
        <w:rPr>
          <w:rStyle w:val="Cuerpodeltexto241"/>
          <w:rFonts w:ascii="Verdana" w:hAnsi="Verdana"/>
          <w:sz w:val="24"/>
          <w:szCs w:val="24"/>
        </w:rPr>
      </w:pPr>
    </w:p>
    <w:p w14:paraId="44EEB509" w14:textId="3FAD49BF" w:rsidR="004741AE" w:rsidRPr="008E7EB4" w:rsidRDefault="008E7EB4" w:rsidP="008E7EB4">
      <w:pPr>
        <w:pStyle w:val="Sinespaciado"/>
        <w:jc w:val="both"/>
        <w:rPr>
          <w:rFonts w:ascii="Verdana" w:hAnsi="Verdana"/>
        </w:rPr>
      </w:pPr>
      <w:r w:rsidRPr="008E7EB4">
        <w:rPr>
          <w:rStyle w:val="Cuerpodeltexto241"/>
          <w:rFonts w:ascii="Verdana" w:hAnsi="Verdana"/>
          <w:sz w:val="24"/>
          <w:szCs w:val="24"/>
        </w:rPr>
        <w:t>En todo caso, se deberán tener en cuenta las consideraciones señaladas en el punto 1 de este documento.</w:t>
      </w:r>
    </w:p>
    <w:p w14:paraId="02E39422" w14:textId="77777777" w:rsidR="008E7EB4" w:rsidRDefault="008E7EB4" w:rsidP="008E7EB4">
      <w:pPr>
        <w:pStyle w:val="Sinespaciado"/>
        <w:jc w:val="both"/>
        <w:rPr>
          <w:rStyle w:val="Cuerpodeltexto241"/>
          <w:rFonts w:ascii="Verdana" w:hAnsi="Verdana"/>
          <w:sz w:val="24"/>
          <w:szCs w:val="24"/>
        </w:rPr>
      </w:pPr>
    </w:p>
    <w:p w14:paraId="14A3FC94" w14:textId="2A1DFAAC" w:rsidR="004741AE" w:rsidRPr="008E7EB4" w:rsidRDefault="008E7EB4" w:rsidP="008E7EB4">
      <w:pPr>
        <w:pStyle w:val="Sinespaciado"/>
        <w:jc w:val="both"/>
        <w:rPr>
          <w:rFonts w:ascii="Verdana" w:hAnsi="Verdana"/>
        </w:rPr>
      </w:pPr>
      <w:r w:rsidRPr="008E7EB4">
        <w:rPr>
          <w:rStyle w:val="Cuerpodeltexto241"/>
          <w:rFonts w:ascii="Verdana" w:hAnsi="Verdana"/>
          <w:sz w:val="24"/>
          <w:szCs w:val="24"/>
        </w:rPr>
        <w:t>En los anteriores términos se resuelve su solicitud y finalmente le manifestamos que la Dirección de Impuestos y Aduanas Nacionales-DIAN</w:t>
      </w:r>
      <w:r>
        <w:rPr>
          <w:rStyle w:val="Cuerpodeltexto241"/>
          <w:rFonts w:ascii="Verdana" w:hAnsi="Verdana"/>
          <w:sz w:val="24"/>
          <w:szCs w:val="24"/>
        </w:rPr>
        <w:t>-</w:t>
      </w:r>
      <w:r w:rsidRPr="008E7EB4">
        <w:rPr>
          <w:rStyle w:val="Cuerpodeltexto241"/>
          <w:rFonts w:ascii="Verdana" w:hAnsi="Verdana"/>
          <w:sz w:val="24"/>
          <w:szCs w:val="24"/>
        </w:rPr>
        <w:t>, con el fin de facilitar a los contribuyentes, usuarios y público en general el acceso directo a sus pronunciamientos doctrinarios, ha publicado en su página de internet</w:t>
      </w:r>
      <w:r w:rsidRPr="008E7EB4">
        <w:rPr>
          <w:rStyle w:val="Cuerpodeltexto241"/>
          <w:rFonts w:ascii="Verdana" w:eastAsia="Microsoft Sans Serif" w:hAnsi="Verdana" w:cs="Microsoft Sans Serif"/>
          <w:sz w:val="24"/>
          <w:szCs w:val="24"/>
        </w:rPr>
        <w:t xml:space="preserve"> www.dian.gov.co</w:t>
      </w:r>
      <w:r w:rsidRPr="00441095">
        <w:rPr>
          <w:rStyle w:val="Cuerpodeltexto241"/>
          <w:rFonts w:ascii="Verdana" w:eastAsia="Microsoft Sans Serif" w:hAnsi="Verdana" w:cs="Microsoft Sans Serif"/>
          <w:sz w:val="24"/>
          <w:szCs w:val="24"/>
          <w:lang w:val="es-CO" w:eastAsia="en-US" w:bidi="en-US"/>
        </w:rPr>
        <w:t>,</w:t>
      </w:r>
      <w:r w:rsidRPr="00441095">
        <w:rPr>
          <w:rStyle w:val="Cuerpodeltexto241"/>
          <w:rFonts w:ascii="Verdana" w:hAnsi="Verdana"/>
          <w:sz w:val="24"/>
          <w:szCs w:val="24"/>
          <w:lang w:val="es-CO" w:eastAsia="en-US" w:bidi="en-US"/>
        </w:rPr>
        <w:t xml:space="preserve"> </w:t>
      </w:r>
      <w:r w:rsidRPr="008E7EB4">
        <w:rPr>
          <w:rStyle w:val="Cuerpodeltexto241"/>
          <w:rFonts w:ascii="Verdana" w:hAnsi="Verdana"/>
          <w:sz w:val="24"/>
          <w:szCs w:val="24"/>
        </w:rPr>
        <w:t xml:space="preserve">la base de conceptos en materia tributaria, aduanera y cambiaria expedidos desde el año 2001, la cual se puede ingresar por el ícono de “Normatividad” </w:t>
      </w:r>
      <w:r>
        <w:rPr>
          <w:rStyle w:val="Cuerpodeltexto241"/>
          <w:rFonts w:ascii="Verdana" w:hAnsi="Verdana"/>
          <w:sz w:val="24"/>
          <w:szCs w:val="24"/>
        </w:rPr>
        <w:t>– “</w:t>
      </w:r>
      <w:r w:rsidRPr="008E7EB4">
        <w:rPr>
          <w:rStyle w:val="Cuerpodeltexto241"/>
          <w:rFonts w:ascii="Verdana" w:hAnsi="Verdana"/>
          <w:sz w:val="24"/>
          <w:szCs w:val="24"/>
        </w:rPr>
        <w:t xml:space="preserve">Doctrina”-, dando click en el link </w:t>
      </w:r>
      <w:r>
        <w:rPr>
          <w:rStyle w:val="Cuerpodeltexto241"/>
          <w:rFonts w:ascii="Verdana" w:hAnsi="Verdana"/>
          <w:sz w:val="24"/>
          <w:szCs w:val="24"/>
        </w:rPr>
        <w:t>“</w:t>
      </w:r>
      <w:r w:rsidRPr="008E7EB4">
        <w:rPr>
          <w:rStyle w:val="Cuerpodeltexto241"/>
          <w:rFonts w:ascii="Verdana" w:hAnsi="Verdana"/>
          <w:sz w:val="24"/>
          <w:szCs w:val="24"/>
        </w:rPr>
        <w:t>Doctrina Dirección de Gestión Jurídica”.</w:t>
      </w:r>
    </w:p>
    <w:p w14:paraId="74506FD3" w14:textId="77777777" w:rsidR="008E7EB4" w:rsidRDefault="008E7EB4" w:rsidP="008E7EB4">
      <w:pPr>
        <w:pStyle w:val="Sinespaciado"/>
        <w:jc w:val="both"/>
        <w:rPr>
          <w:rStyle w:val="Cuerpodeltexto241"/>
          <w:rFonts w:ascii="Verdana" w:hAnsi="Verdana"/>
          <w:sz w:val="24"/>
          <w:szCs w:val="24"/>
        </w:rPr>
      </w:pPr>
    </w:p>
    <w:p w14:paraId="721D793A" w14:textId="4CDED8AE" w:rsidR="004741AE" w:rsidRPr="008E7EB4" w:rsidRDefault="008E7EB4" w:rsidP="008E7EB4">
      <w:pPr>
        <w:pStyle w:val="Sinespaciado"/>
        <w:jc w:val="both"/>
        <w:rPr>
          <w:rFonts w:ascii="Verdana" w:hAnsi="Verdana"/>
        </w:rPr>
      </w:pPr>
      <w:r w:rsidRPr="008E7EB4">
        <w:rPr>
          <w:rStyle w:val="Cuerpodeltexto241"/>
          <w:rFonts w:ascii="Verdana" w:hAnsi="Verdana"/>
          <w:sz w:val="24"/>
          <w:szCs w:val="24"/>
        </w:rPr>
        <w:t>Atentamente,</w:t>
      </w:r>
    </w:p>
    <w:p w14:paraId="6BDE635C" w14:textId="77777777" w:rsidR="008E7EB4" w:rsidRDefault="008E7EB4" w:rsidP="008E7EB4">
      <w:pPr>
        <w:pStyle w:val="Sinespaciado"/>
        <w:jc w:val="both"/>
        <w:rPr>
          <w:rFonts w:ascii="Verdana" w:hAnsi="Verdana"/>
        </w:rPr>
      </w:pPr>
      <w:bookmarkStart w:id="0" w:name="bookmark0"/>
    </w:p>
    <w:p w14:paraId="6FC0A080" w14:textId="3A0BA5A4" w:rsidR="004741AE" w:rsidRPr="008E7EB4" w:rsidRDefault="008E7EB4" w:rsidP="008E7EB4">
      <w:pPr>
        <w:pStyle w:val="Sinespaciado"/>
        <w:jc w:val="both"/>
        <w:rPr>
          <w:rFonts w:ascii="Verdana" w:hAnsi="Verdana"/>
          <w:b/>
          <w:bCs/>
        </w:rPr>
      </w:pPr>
      <w:r w:rsidRPr="008E7EB4">
        <w:rPr>
          <w:rFonts w:ascii="Verdana" w:hAnsi="Verdana"/>
          <w:b/>
          <w:bCs/>
        </w:rPr>
        <w:t>PABLO EMILIO MENDOZA VELILLA</w:t>
      </w:r>
      <w:bookmarkEnd w:id="0"/>
    </w:p>
    <w:p w14:paraId="4BDA4736" w14:textId="77777777" w:rsidR="004741AE" w:rsidRPr="008E7EB4" w:rsidRDefault="008E7EB4" w:rsidP="008E7EB4">
      <w:pPr>
        <w:pStyle w:val="Sinespaciado"/>
        <w:jc w:val="both"/>
        <w:rPr>
          <w:rFonts w:ascii="Verdana" w:hAnsi="Verdana"/>
        </w:rPr>
      </w:pPr>
      <w:r w:rsidRPr="008E7EB4">
        <w:rPr>
          <w:rStyle w:val="Cuerpodeltexto241"/>
          <w:rFonts w:ascii="Verdana" w:hAnsi="Verdana"/>
          <w:sz w:val="24"/>
          <w:szCs w:val="24"/>
        </w:rPr>
        <w:t>Subdirector de Gestión Normativa y Doctrina</w:t>
      </w:r>
    </w:p>
    <w:p w14:paraId="0FEAAE13" w14:textId="77777777" w:rsidR="004741AE" w:rsidRPr="008E7EB4" w:rsidRDefault="008E7EB4" w:rsidP="008E7EB4">
      <w:pPr>
        <w:pStyle w:val="Sinespaciado"/>
        <w:jc w:val="both"/>
        <w:rPr>
          <w:rFonts w:ascii="Verdana" w:hAnsi="Verdana"/>
        </w:rPr>
      </w:pPr>
      <w:r w:rsidRPr="008E7EB4">
        <w:rPr>
          <w:rStyle w:val="Cuerpodeltexto241"/>
          <w:rFonts w:ascii="Verdana" w:hAnsi="Verdana"/>
          <w:sz w:val="24"/>
          <w:szCs w:val="24"/>
        </w:rPr>
        <w:t>Dirección de Gestión Jurídica</w:t>
      </w:r>
    </w:p>
    <w:p w14:paraId="3924BF02" w14:textId="77777777" w:rsidR="004741AE" w:rsidRPr="008E7EB4" w:rsidRDefault="008E7EB4" w:rsidP="008E7EB4">
      <w:pPr>
        <w:pStyle w:val="Sinespaciado"/>
        <w:jc w:val="both"/>
        <w:rPr>
          <w:rFonts w:ascii="Verdana" w:hAnsi="Verdana"/>
        </w:rPr>
      </w:pPr>
      <w:r w:rsidRPr="008E7EB4">
        <w:rPr>
          <w:rStyle w:val="Cuerpodeltexto241"/>
          <w:rFonts w:ascii="Verdana" w:hAnsi="Verdana"/>
          <w:sz w:val="24"/>
          <w:szCs w:val="24"/>
        </w:rPr>
        <w:t>UAE-DIAN</w:t>
      </w:r>
    </w:p>
    <w:p w14:paraId="51C07ABB" w14:textId="77777777" w:rsidR="004741AE" w:rsidRPr="008E7EB4" w:rsidRDefault="008E7EB4" w:rsidP="008E7EB4">
      <w:pPr>
        <w:pStyle w:val="Sinespaciado"/>
        <w:jc w:val="both"/>
        <w:rPr>
          <w:rFonts w:ascii="Verdana" w:hAnsi="Verdana"/>
        </w:rPr>
      </w:pPr>
      <w:r w:rsidRPr="008E7EB4">
        <w:rPr>
          <w:rStyle w:val="Cuerpodeltexto241"/>
          <w:rFonts w:ascii="Verdana" w:hAnsi="Verdana"/>
          <w:sz w:val="24"/>
          <w:szCs w:val="24"/>
        </w:rPr>
        <w:lastRenderedPageBreak/>
        <w:t>Car. 8 N° 6C-38 Piso 4, Edificio San Agustín Bogotá D.C.</w:t>
      </w:r>
    </w:p>
    <w:sectPr w:rsidR="004741AE" w:rsidRPr="008E7EB4" w:rsidSect="008E7EB4">
      <w:type w:val="continuous"/>
      <w:pgSz w:w="11906" w:h="16838" w:code="9"/>
      <w:pgMar w:top="1701" w:right="1418" w:bottom="1701" w:left="1418" w:header="709" w:footer="1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75F24" w14:textId="77777777" w:rsidR="00436FA8" w:rsidRDefault="00436FA8">
      <w:r>
        <w:separator/>
      </w:r>
    </w:p>
  </w:endnote>
  <w:endnote w:type="continuationSeparator" w:id="0">
    <w:p w14:paraId="2A1172A9" w14:textId="77777777" w:rsidR="00436FA8" w:rsidRDefault="00436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6A172" w14:textId="77777777" w:rsidR="00436FA8" w:rsidRDefault="00436FA8"/>
  </w:footnote>
  <w:footnote w:type="continuationSeparator" w:id="0">
    <w:p w14:paraId="75B72373" w14:textId="77777777" w:rsidR="00436FA8" w:rsidRDefault="00436F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7A30E7"/>
    <w:multiLevelType w:val="multilevel"/>
    <w:tmpl w:val="DFCE6C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Arial" w:cs="Arial" w:hint="default"/>
      </w:rPr>
    </w:lvl>
    <w:lvl w:ilvl="2">
      <w:start w:val="1"/>
      <w:numFmt w:val="decimal"/>
      <w:isLgl/>
      <w:lvlText w:val="%1.%2.%3."/>
      <w:lvlJc w:val="left"/>
      <w:pPr>
        <w:ind w:left="1440" w:hanging="1080"/>
      </w:pPr>
      <w:rPr>
        <w:rFonts w:eastAsia="Arial" w:cs="Arial" w:hint="default"/>
      </w:rPr>
    </w:lvl>
    <w:lvl w:ilvl="3">
      <w:start w:val="1"/>
      <w:numFmt w:val="decimal"/>
      <w:isLgl/>
      <w:lvlText w:val="%1.%2.%3.%4."/>
      <w:lvlJc w:val="left"/>
      <w:pPr>
        <w:ind w:left="1800" w:hanging="1440"/>
      </w:pPr>
      <w:rPr>
        <w:rFonts w:eastAsia="Arial" w:cs="Arial" w:hint="default"/>
      </w:rPr>
    </w:lvl>
    <w:lvl w:ilvl="4">
      <w:start w:val="1"/>
      <w:numFmt w:val="decimal"/>
      <w:isLgl/>
      <w:lvlText w:val="%1.%2.%3.%4.%5."/>
      <w:lvlJc w:val="left"/>
      <w:pPr>
        <w:ind w:left="1800" w:hanging="1440"/>
      </w:pPr>
      <w:rPr>
        <w:rFonts w:eastAsia="Arial" w:cs="Arial" w:hint="default"/>
      </w:rPr>
    </w:lvl>
    <w:lvl w:ilvl="5">
      <w:start w:val="1"/>
      <w:numFmt w:val="decimal"/>
      <w:isLgl/>
      <w:lvlText w:val="%1.%2.%3.%4.%5.%6."/>
      <w:lvlJc w:val="left"/>
      <w:pPr>
        <w:ind w:left="2160" w:hanging="1800"/>
      </w:pPr>
      <w:rPr>
        <w:rFonts w:eastAsia="Arial" w:cs="Arial" w:hint="default"/>
      </w:rPr>
    </w:lvl>
    <w:lvl w:ilvl="6">
      <w:start w:val="1"/>
      <w:numFmt w:val="decimal"/>
      <w:isLgl/>
      <w:lvlText w:val="%1.%2.%3.%4.%5.%6.%7."/>
      <w:lvlJc w:val="left"/>
      <w:pPr>
        <w:ind w:left="2520" w:hanging="2160"/>
      </w:pPr>
      <w:rPr>
        <w:rFonts w:eastAsia="Arial" w:cs="Arial" w:hint="default"/>
      </w:rPr>
    </w:lvl>
    <w:lvl w:ilvl="7">
      <w:start w:val="1"/>
      <w:numFmt w:val="decimal"/>
      <w:isLgl/>
      <w:lvlText w:val="%1.%2.%3.%4.%5.%6.%7.%8."/>
      <w:lvlJc w:val="left"/>
      <w:pPr>
        <w:ind w:left="2880" w:hanging="2520"/>
      </w:pPr>
      <w:rPr>
        <w:rFonts w:eastAsia="Arial" w:cs="Arial" w:hint="default"/>
      </w:rPr>
    </w:lvl>
    <w:lvl w:ilvl="8">
      <w:start w:val="1"/>
      <w:numFmt w:val="decimal"/>
      <w:isLgl/>
      <w:lvlText w:val="%1.%2.%3.%4.%5.%6.%7.%8.%9."/>
      <w:lvlJc w:val="left"/>
      <w:pPr>
        <w:ind w:left="3240" w:hanging="2880"/>
      </w:pPr>
      <w:rPr>
        <w:rFonts w:eastAsia="Arial" w:cs="Arial" w:hint="default"/>
      </w:rPr>
    </w:lvl>
  </w:abstractNum>
  <w:abstractNum w:abstractNumId="1" w15:restartNumberingAfterBreak="0">
    <w:nsid w:val="50453DDD"/>
    <w:multiLevelType w:val="multilevel"/>
    <w:tmpl w:val="10A6076C"/>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es-ES" w:eastAsia="es-ES" w:bidi="es-ES"/>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es-ES" w:eastAsia="es-ES" w:bidi="es-E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AE"/>
    <w:rsid w:val="00436FA8"/>
    <w:rsid w:val="00441095"/>
    <w:rsid w:val="004741AE"/>
    <w:rsid w:val="008E7EB4"/>
    <w:rsid w:val="00A62F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3C3A5"/>
  <w15:docId w15:val="{2886C252-F302-4989-BD8A-4CB9E50A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24">
    <w:name w:val="Cuerpo del texto (24)_"/>
    <w:basedOn w:val="Fuentedeprrafopredeter"/>
    <w:link w:val="Cuerpodeltexto240"/>
    <w:rPr>
      <w:rFonts w:ascii="Arial" w:eastAsia="Arial" w:hAnsi="Arial" w:cs="Arial"/>
      <w:b w:val="0"/>
      <w:bCs w:val="0"/>
      <w:i w:val="0"/>
      <w:iCs w:val="0"/>
      <w:smallCaps w:val="0"/>
      <w:strike w:val="0"/>
      <w:sz w:val="21"/>
      <w:szCs w:val="21"/>
      <w:u w:val="none"/>
    </w:rPr>
  </w:style>
  <w:style w:type="character" w:customStyle="1" w:styleId="Cuerpodeltexto241">
    <w:name w:val="Cuerpo del texto (24)"/>
    <w:basedOn w:val="Cuerpodeltexto24"/>
    <w:rPr>
      <w:rFonts w:ascii="Arial" w:eastAsia="Arial" w:hAnsi="Arial" w:cs="Arial"/>
      <w:b w:val="0"/>
      <w:bCs w:val="0"/>
      <w:i w:val="0"/>
      <w:iCs w:val="0"/>
      <w:smallCaps w:val="0"/>
      <w:strike w:val="0"/>
      <w:color w:val="000000"/>
      <w:spacing w:val="0"/>
      <w:w w:val="100"/>
      <w:position w:val="0"/>
      <w:sz w:val="21"/>
      <w:szCs w:val="21"/>
      <w:u w:val="none"/>
      <w:lang w:val="es-ES" w:eastAsia="es-ES" w:bidi="es-ES"/>
    </w:rPr>
  </w:style>
  <w:style w:type="character" w:customStyle="1" w:styleId="Cuerpodeltexto13">
    <w:name w:val="Cuerpo del texto (13)_"/>
    <w:basedOn w:val="Fuentedeprrafopredeter"/>
    <w:link w:val="Cuerpodeltexto130"/>
    <w:rPr>
      <w:rFonts w:ascii="Arial" w:eastAsia="Arial" w:hAnsi="Arial" w:cs="Arial"/>
      <w:b/>
      <w:bCs/>
      <w:i w:val="0"/>
      <w:iCs w:val="0"/>
      <w:smallCaps w:val="0"/>
      <w:strike w:val="0"/>
      <w:sz w:val="22"/>
      <w:szCs w:val="22"/>
      <w:u w:val="none"/>
    </w:rPr>
  </w:style>
  <w:style w:type="character" w:customStyle="1" w:styleId="Cuerpodeltexto24Cursiva">
    <w:name w:val="Cuerpo del texto (24) + Cursiva"/>
    <w:basedOn w:val="Cuerpodeltexto24"/>
    <w:rPr>
      <w:rFonts w:ascii="Arial" w:eastAsia="Arial" w:hAnsi="Arial" w:cs="Arial"/>
      <w:b w:val="0"/>
      <w:bCs w:val="0"/>
      <w:i/>
      <w:iCs/>
      <w:smallCaps w:val="0"/>
      <w:strike w:val="0"/>
      <w:color w:val="000000"/>
      <w:spacing w:val="0"/>
      <w:w w:val="100"/>
      <w:position w:val="0"/>
      <w:sz w:val="21"/>
      <w:szCs w:val="21"/>
      <w:u w:val="none"/>
      <w:lang w:val="es-ES" w:eastAsia="es-ES" w:bidi="es-ES"/>
    </w:rPr>
  </w:style>
  <w:style w:type="character" w:customStyle="1" w:styleId="Cuerpodeltexto24NegritaCursiva">
    <w:name w:val="Cuerpo del texto (24) + Negrita;Cursiva"/>
    <w:basedOn w:val="Cuerpodeltexto24"/>
    <w:rPr>
      <w:rFonts w:ascii="Arial" w:eastAsia="Arial" w:hAnsi="Arial" w:cs="Arial"/>
      <w:b/>
      <w:bCs/>
      <w:i/>
      <w:iCs/>
      <w:smallCaps w:val="0"/>
      <w:strike w:val="0"/>
      <w:color w:val="000000"/>
      <w:spacing w:val="0"/>
      <w:w w:val="100"/>
      <w:position w:val="0"/>
      <w:sz w:val="21"/>
      <w:szCs w:val="21"/>
      <w:u w:val="none"/>
      <w:lang w:val="es-ES" w:eastAsia="es-ES" w:bidi="es-ES"/>
    </w:rPr>
  </w:style>
  <w:style w:type="character" w:customStyle="1" w:styleId="Cuerpodeltexto31">
    <w:name w:val="Cuerpo del texto (31)_"/>
    <w:basedOn w:val="Fuentedeprrafopredeter"/>
    <w:link w:val="Cuerpodeltexto310"/>
    <w:rPr>
      <w:rFonts w:ascii="Arial" w:eastAsia="Arial" w:hAnsi="Arial" w:cs="Arial"/>
      <w:b w:val="0"/>
      <w:bCs w:val="0"/>
      <w:i/>
      <w:iCs/>
      <w:smallCaps w:val="0"/>
      <w:strike w:val="0"/>
      <w:sz w:val="21"/>
      <w:szCs w:val="21"/>
      <w:u w:val="none"/>
    </w:rPr>
  </w:style>
  <w:style w:type="character" w:customStyle="1" w:styleId="Cuerpodeltexto31Sincursiva">
    <w:name w:val="Cuerpo del texto (31) + Sin cursiva"/>
    <w:basedOn w:val="Cuerpodeltexto31"/>
    <w:rPr>
      <w:rFonts w:ascii="Arial" w:eastAsia="Arial" w:hAnsi="Arial" w:cs="Arial"/>
      <w:b w:val="0"/>
      <w:bCs w:val="0"/>
      <w:i/>
      <w:iCs/>
      <w:smallCaps w:val="0"/>
      <w:strike w:val="0"/>
      <w:color w:val="000000"/>
      <w:spacing w:val="0"/>
      <w:w w:val="100"/>
      <w:position w:val="0"/>
      <w:sz w:val="21"/>
      <w:szCs w:val="21"/>
      <w:u w:val="none"/>
      <w:lang w:val="es-ES" w:eastAsia="es-ES" w:bidi="es-ES"/>
    </w:rPr>
  </w:style>
  <w:style w:type="character" w:customStyle="1" w:styleId="Cuerpodeltexto31Negrita">
    <w:name w:val="Cuerpo del texto (31) + Negrita"/>
    <w:basedOn w:val="Cuerpodeltexto31"/>
    <w:rPr>
      <w:rFonts w:ascii="Arial" w:eastAsia="Arial" w:hAnsi="Arial" w:cs="Arial"/>
      <w:b/>
      <w:bCs/>
      <w:i/>
      <w:iCs/>
      <w:smallCaps w:val="0"/>
      <w:strike w:val="0"/>
      <w:color w:val="000000"/>
      <w:spacing w:val="0"/>
      <w:w w:val="100"/>
      <w:position w:val="0"/>
      <w:sz w:val="21"/>
      <w:szCs w:val="21"/>
      <w:u w:val="none"/>
      <w:lang w:val="es-ES" w:eastAsia="es-ES" w:bidi="es-ES"/>
    </w:rPr>
  </w:style>
  <w:style w:type="character" w:customStyle="1" w:styleId="Cuerpodeltexto242">
    <w:name w:val="Cuerpo del texto (24)"/>
    <w:basedOn w:val="Cuerpodeltexto24"/>
    <w:rPr>
      <w:rFonts w:ascii="Arial" w:eastAsia="Arial" w:hAnsi="Arial" w:cs="Arial"/>
      <w:b w:val="0"/>
      <w:bCs w:val="0"/>
      <w:i w:val="0"/>
      <w:iCs w:val="0"/>
      <w:smallCaps w:val="0"/>
      <w:strike w:val="0"/>
      <w:color w:val="000000"/>
      <w:spacing w:val="0"/>
      <w:w w:val="100"/>
      <w:position w:val="0"/>
      <w:sz w:val="21"/>
      <w:szCs w:val="21"/>
      <w:u w:val="single"/>
      <w:lang w:val="en-US" w:eastAsia="en-US" w:bidi="en-US"/>
    </w:rPr>
  </w:style>
  <w:style w:type="character" w:customStyle="1" w:styleId="Ttulo12">
    <w:name w:val="Título #1 (2)_"/>
    <w:basedOn w:val="Fuentedeprrafopredeter"/>
    <w:link w:val="Ttulo120"/>
    <w:rPr>
      <w:rFonts w:ascii="Arial" w:eastAsia="Arial" w:hAnsi="Arial" w:cs="Arial"/>
      <w:b/>
      <w:bCs/>
      <w:i w:val="0"/>
      <w:iCs w:val="0"/>
      <w:smallCaps w:val="0"/>
      <w:strike w:val="0"/>
      <w:sz w:val="22"/>
      <w:szCs w:val="22"/>
      <w:u w:val="none"/>
    </w:rPr>
  </w:style>
  <w:style w:type="paragraph" w:customStyle="1" w:styleId="Cuerpodeltexto240">
    <w:name w:val="Cuerpo del texto (24)"/>
    <w:basedOn w:val="Normal"/>
    <w:link w:val="Cuerpodeltexto24"/>
    <w:pPr>
      <w:shd w:val="clear" w:color="auto" w:fill="FFFFFF"/>
      <w:spacing w:line="158" w:lineRule="exact"/>
      <w:jc w:val="both"/>
    </w:pPr>
    <w:rPr>
      <w:rFonts w:ascii="Arial" w:eastAsia="Arial" w:hAnsi="Arial" w:cs="Arial"/>
      <w:sz w:val="21"/>
      <w:szCs w:val="21"/>
    </w:rPr>
  </w:style>
  <w:style w:type="paragraph" w:customStyle="1" w:styleId="Cuerpodeltexto130">
    <w:name w:val="Cuerpo del texto (13)"/>
    <w:basedOn w:val="Normal"/>
    <w:link w:val="Cuerpodeltexto13"/>
    <w:pPr>
      <w:shd w:val="clear" w:color="auto" w:fill="FFFFFF"/>
      <w:spacing w:before="300" w:after="840" w:line="250" w:lineRule="exact"/>
      <w:ind w:hanging="360"/>
      <w:jc w:val="both"/>
    </w:pPr>
    <w:rPr>
      <w:rFonts w:ascii="Arial" w:eastAsia="Arial" w:hAnsi="Arial" w:cs="Arial"/>
      <w:b/>
      <w:bCs/>
      <w:sz w:val="22"/>
      <w:szCs w:val="22"/>
    </w:rPr>
  </w:style>
  <w:style w:type="paragraph" w:customStyle="1" w:styleId="Cuerpodeltexto310">
    <w:name w:val="Cuerpo del texto (31)"/>
    <w:basedOn w:val="Normal"/>
    <w:link w:val="Cuerpodeltexto31"/>
    <w:pPr>
      <w:shd w:val="clear" w:color="auto" w:fill="FFFFFF"/>
      <w:spacing w:before="180" w:after="180" w:line="250" w:lineRule="exact"/>
      <w:ind w:hanging="720"/>
      <w:jc w:val="both"/>
    </w:pPr>
    <w:rPr>
      <w:rFonts w:ascii="Arial" w:eastAsia="Arial" w:hAnsi="Arial" w:cs="Arial"/>
      <w:i/>
      <w:iCs/>
      <w:sz w:val="21"/>
      <w:szCs w:val="21"/>
    </w:rPr>
  </w:style>
  <w:style w:type="paragraph" w:customStyle="1" w:styleId="Ttulo120">
    <w:name w:val="Título #1 (2)"/>
    <w:basedOn w:val="Normal"/>
    <w:link w:val="Ttulo12"/>
    <w:pPr>
      <w:shd w:val="clear" w:color="auto" w:fill="FFFFFF"/>
      <w:spacing w:before="1500" w:line="254" w:lineRule="exact"/>
      <w:jc w:val="both"/>
      <w:outlineLvl w:val="0"/>
    </w:pPr>
    <w:rPr>
      <w:rFonts w:ascii="Arial" w:eastAsia="Arial" w:hAnsi="Arial" w:cs="Arial"/>
      <w:b/>
      <w:bCs/>
      <w:sz w:val="22"/>
      <w:szCs w:val="22"/>
    </w:rPr>
  </w:style>
  <w:style w:type="paragraph" w:styleId="Sinespaciado">
    <w:name w:val="No Spacing"/>
    <w:uiPriority w:val="1"/>
    <w:qFormat/>
    <w:rsid w:val="008E7EB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4</Pages>
  <Words>1016</Words>
  <Characters>5591</Characters>
  <Application>Microsoft Office Word</Application>
  <DocSecurity>0</DocSecurity>
  <Lines>46</Lines>
  <Paragraphs>13</Paragraphs>
  <ScaleCrop>false</ScaleCrop>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RMARTINQ</dc:creator>
  <cp:keywords/>
  <cp:lastModifiedBy>CNETCO</cp:lastModifiedBy>
  <cp:revision>2</cp:revision>
  <dcterms:created xsi:type="dcterms:W3CDTF">2020-11-07T23:45:00Z</dcterms:created>
  <dcterms:modified xsi:type="dcterms:W3CDTF">2020-11-07T23:45:00Z</dcterms:modified>
</cp:coreProperties>
</file>