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9D0D5" w14:textId="741E0079" w:rsidR="00F569AB" w:rsidRPr="00F569AB" w:rsidRDefault="00F569AB" w:rsidP="00F569AB">
      <w:pPr>
        <w:pStyle w:val="Sinespaciado"/>
        <w:jc w:val="both"/>
        <w:rPr>
          <w:rFonts w:ascii="Verdana" w:hAnsi="Verdana"/>
          <w:b/>
          <w:bCs/>
        </w:rPr>
      </w:pPr>
      <w:r w:rsidRPr="00F569AB">
        <w:rPr>
          <w:rFonts w:ascii="Verdana" w:hAnsi="Verdana"/>
          <w:b/>
          <w:bCs/>
        </w:rPr>
        <w:t>CONCEPTO 1183 DEL 25 DE SEPTIEMBRE DE 2020</w:t>
      </w:r>
    </w:p>
    <w:p w14:paraId="3E0526CE" w14:textId="3EF35A61" w:rsidR="00F569AB" w:rsidRPr="00F569AB" w:rsidRDefault="00F569AB" w:rsidP="00F569AB">
      <w:pPr>
        <w:pStyle w:val="Sinespaciado"/>
        <w:jc w:val="both"/>
        <w:rPr>
          <w:rFonts w:ascii="Verdana" w:hAnsi="Verdana"/>
          <w:b/>
          <w:bCs/>
        </w:rPr>
      </w:pPr>
      <w:r w:rsidRPr="00F569AB">
        <w:rPr>
          <w:rFonts w:ascii="Verdana" w:hAnsi="Verdana"/>
          <w:b/>
          <w:bCs/>
        </w:rPr>
        <w:t>DIRECCIÓN DE IMPUESTOS Y ADUANAS NACIONALES</w:t>
      </w:r>
    </w:p>
    <w:p w14:paraId="066664D7" w14:textId="18DF0CEA" w:rsidR="00F569AB" w:rsidRDefault="00F569AB" w:rsidP="00F569AB">
      <w:pPr>
        <w:pStyle w:val="Sinespaciado"/>
        <w:jc w:val="both"/>
        <w:rPr>
          <w:rFonts w:ascii="Verdana" w:hAnsi="Verdana"/>
        </w:rPr>
      </w:pPr>
    </w:p>
    <w:p w14:paraId="3FFF2009" w14:textId="001C0D9E" w:rsidR="00F569AB" w:rsidRDefault="00F569AB" w:rsidP="00F569AB">
      <w:pPr>
        <w:pStyle w:val="Sinespaciado"/>
        <w:jc w:val="both"/>
        <w:rPr>
          <w:rFonts w:ascii="Verdana" w:hAnsi="Verdana"/>
        </w:rPr>
      </w:pPr>
      <w:r>
        <w:rPr>
          <w:rFonts w:ascii="Verdana" w:hAnsi="Verdana"/>
        </w:rPr>
        <w:t>Bogotá, D.C.</w:t>
      </w:r>
    </w:p>
    <w:p w14:paraId="5CD9F152" w14:textId="77777777" w:rsidR="00F569AB" w:rsidRDefault="00F569AB" w:rsidP="00F569AB">
      <w:pPr>
        <w:pStyle w:val="Sinespaciado"/>
        <w:jc w:val="both"/>
        <w:rPr>
          <w:rFonts w:ascii="Verdana" w:hAnsi="Verdana"/>
        </w:rPr>
      </w:pPr>
    </w:p>
    <w:p w14:paraId="4FFBEEB0" w14:textId="6F71B674" w:rsidR="00F569AB" w:rsidRDefault="00F569AB" w:rsidP="00F569AB">
      <w:pPr>
        <w:pStyle w:val="Sinespaciado"/>
        <w:jc w:val="both"/>
        <w:rPr>
          <w:rFonts w:ascii="Verdana" w:hAnsi="Verdana"/>
        </w:rPr>
      </w:pPr>
      <w:r w:rsidRPr="00F569AB">
        <w:rPr>
          <w:rFonts w:ascii="Verdana" w:hAnsi="Verdana"/>
          <w:b/>
          <w:bCs/>
        </w:rPr>
        <w:t>Tema</w:t>
      </w:r>
      <w:r>
        <w:rPr>
          <w:rFonts w:ascii="Verdana" w:hAnsi="Verdana"/>
          <w:b/>
          <w:bCs/>
        </w:rPr>
        <w:tab/>
      </w:r>
      <w:r>
        <w:rPr>
          <w:rFonts w:ascii="Verdana" w:hAnsi="Verdana"/>
          <w:b/>
          <w:bCs/>
        </w:rPr>
        <w:tab/>
      </w:r>
      <w:r>
        <w:rPr>
          <w:rFonts w:ascii="Verdana" w:hAnsi="Verdana"/>
          <w:b/>
          <w:bCs/>
        </w:rPr>
        <w:tab/>
      </w:r>
      <w:r w:rsidRPr="00F569AB">
        <w:rPr>
          <w:rFonts w:ascii="Verdana" w:hAnsi="Verdana"/>
        </w:rPr>
        <w:t>Factura electrónica de venta</w:t>
      </w:r>
    </w:p>
    <w:p w14:paraId="31E147E6" w14:textId="0BAE8D61" w:rsidR="008F6BD4" w:rsidRPr="00F569AB" w:rsidRDefault="00F569AB" w:rsidP="00F569AB">
      <w:pPr>
        <w:pStyle w:val="Sinespaciado"/>
        <w:jc w:val="both"/>
        <w:rPr>
          <w:rFonts w:ascii="Verdana" w:hAnsi="Verdana"/>
        </w:rPr>
      </w:pPr>
      <w:r w:rsidRPr="00F569AB">
        <w:rPr>
          <w:rFonts w:ascii="Verdana" w:hAnsi="Verdana"/>
          <w:b/>
          <w:bCs/>
        </w:rPr>
        <w:t>Descriptores</w:t>
      </w:r>
      <w:r>
        <w:rPr>
          <w:rFonts w:ascii="Verdana" w:hAnsi="Verdana"/>
          <w:b/>
          <w:bCs/>
        </w:rPr>
        <w:tab/>
      </w:r>
      <w:r>
        <w:rPr>
          <w:rFonts w:ascii="Verdana" w:hAnsi="Verdana"/>
          <w:b/>
          <w:bCs/>
        </w:rPr>
        <w:tab/>
      </w:r>
      <w:r w:rsidRPr="00F569AB">
        <w:rPr>
          <w:rFonts w:ascii="Verdana" w:hAnsi="Verdana"/>
        </w:rPr>
        <w:t>Obligación de expedir factura</w:t>
      </w:r>
    </w:p>
    <w:p w14:paraId="7FE1F2FA" w14:textId="77777777" w:rsidR="00F569AB" w:rsidRDefault="00F569AB" w:rsidP="00F569AB">
      <w:pPr>
        <w:pStyle w:val="Sinespaciado"/>
        <w:jc w:val="both"/>
        <w:rPr>
          <w:rFonts w:ascii="Verdana" w:hAnsi="Verdana"/>
        </w:rPr>
      </w:pPr>
      <w:r w:rsidRPr="00F569AB">
        <w:rPr>
          <w:rFonts w:ascii="Verdana" w:hAnsi="Verdana"/>
          <w:b/>
          <w:bCs/>
        </w:rPr>
        <w:t>Fuentes formales</w:t>
      </w:r>
      <w:r>
        <w:rPr>
          <w:rFonts w:ascii="Verdana" w:hAnsi="Verdana"/>
          <w:b/>
          <w:bCs/>
        </w:rPr>
        <w:tab/>
      </w:r>
      <w:r w:rsidRPr="00F569AB">
        <w:rPr>
          <w:rFonts w:ascii="Verdana" w:hAnsi="Verdana"/>
        </w:rPr>
        <w:t>Decreto 358 de 2020</w:t>
      </w:r>
    </w:p>
    <w:p w14:paraId="6C684085" w14:textId="25070A10" w:rsidR="008F6BD4" w:rsidRDefault="00F569AB" w:rsidP="00F569AB">
      <w:pPr>
        <w:pStyle w:val="Sinespaciado"/>
        <w:ind w:left="2124" w:firstLine="708"/>
        <w:jc w:val="both"/>
        <w:rPr>
          <w:rFonts w:ascii="Verdana" w:hAnsi="Verdana"/>
        </w:rPr>
      </w:pPr>
      <w:r w:rsidRPr="00F569AB">
        <w:rPr>
          <w:rFonts w:ascii="Verdana" w:hAnsi="Verdana"/>
        </w:rPr>
        <w:t>Resolución 000042 de 2020.</w:t>
      </w:r>
    </w:p>
    <w:p w14:paraId="1A19DC69" w14:textId="6D295E64" w:rsidR="00F569AB" w:rsidRPr="00F569AB" w:rsidRDefault="00F569AB" w:rsidP="00F569AB">
      <w:pPr>
        <w:pStyle w:val="Sinespaciado"/>
        <w:ind w:left="2124" w:firstLine="708"/>
        <w:jc w:val="both"/>
        <w:rPr>
          <w:rFonts w:ascii="Verdana" w:hAnsi="Verdana"/>
        </w:rPr>
      </w:pPr>
      <w:r w:rsidRPr="00F569AB">
        <w:rPr>
          <w:rFonts w:ascii="Verdana" w:hAnsi="Verdana"/>
        </w:rPr>
        <w:t>Artículos 615, 616-1 y 617 del Estatuto Tributario</w:t>
      </w:r>
    </w:p>
    <w:p w14:paraId="7AC02DBD" w14:textId="77777777" w:rsidR="00F569AB" w:rsidRDefault="00F569AB" w:rsidP="00F569AB">
      <w:pPr>
        <w:pStyle w:val="Sinespaciado"/>
        <w:jc w:val="both"/>
        <w:rPr>
          <w:rFonts w:ascii="Verdana" w:hAnsi="Verdana"/>
        </w:rPr>
      </w:pPr>
    </w:p>
    <w:p w14:paraId="768023BA" w14:textId="67170FA5" w:rsidR="008F6BD4" w:rsidRPr="00F569AB" w:rsidRDefault="00F569AB" w:rsidP="00F569AB">
      <w:pPr>
        <w:pStyle w:val="Sinespaciado"/>
        <w:jc w:val="both"/>
        <w:rPr>
          <w:rFonts w:ascii="Verdana" w:hAnsi="Verdana"/>
        </w:rPr>
      </w:pPr>
      <w:r w:rsidRPr="00F569AB">
        <w:rPr>
          <w:rFonts w:ascii="Verdana" w:hAnsi="Verdana"/>
        </w:rPr>
        <w:t>Cordial saludo,</w:t>
      </w:r>
    </w:p>
    <w:p w14:paraId="71DA9F32" w14:textId="77777777" w:rsidR="00F569AB" w:rsidRDefault="00F569AB" w:rsidP="00F569AB">
      <w:pPr>
        <w:pStyle w:val="Sinespaciado"/>
        <w:jc w:val="both"/>
        <w:rPr>
          <w:rFonts w:ascii="Verdana" w:hAnsi="Verdana"/>
        </w:rPr>
      </w:pPr>
    </w:p>
    <w:p w14:paraId="2CE788B0" w14:textId="39A7B514" w:rsidR="008F6BD4" w:rsidRPr="00F569AB" w:rsidRDefault="00F569AB" w:rsidP="00F569AB">
      <w:pPr>
        <w:pStyle w:val="Sinespaciado"/>
        <w:jc w:val="both"/>
        <w:rPr>
          <w:rFonts w:ascii="Verdana" w:hAnsi="Verdana"/>
        </w:rPr>
      </w:pPr>
      <w:r w:rsidRPr="00F569AB">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A169BC9" w14:textId="77777777" w:rsidR="00F569AB" w:rsidRDefault="00F569AB" w:rsidP="00F569AB">
      <w:pPr>
        <w:pStyle w:val="Sinespaciado"/>
        <w:jc w:val="both"/>
        <w:rPr>
          <w:rFonts w:ascii="Verdana" w:hAnsi="Verdana"/>
        </w:rPr>
      </w:pPr>
    </w:p>
    <w:p w14:paraId="497393FD" w14:textId="6B1A46AF" w:rsidR="008F6BD4" w:rsidRPr="00F569AB" w:rsidRDefault="00F569AB" w:rsidP="00F569AB">
      <w:pPr>
        <w:pStyle w:val="Sinespaciado"/>
        <w:jc w:val="both"/>
        <w:rPr>
          <w:rFonts w:ascii="Verdana" w:hAnsi="Verdana"/>
        </w:rPr>
      </w:pPr>
      <w:r w:rsidRPr="00F569AB">
        <w:rPr>
          <w:rFonts w:ascii="Verdana" w:hAnsi="Verdana"/>
        </w:rPr>
        <w:t>Mediante el radicado de la referencia, el peticionario plantea varios interrogantes los cuales se atenderán en el orden en que fueron propuestos, y versan sobre la obligación de facturar enmarcada en el caso de la Dirección de Gestión de Comercio Exterior del Ministerio de Comercio Industria y Turismo, dependencia que percibe ingresos por diferentes conceptos, entre estos, la venta de bases de datos y el cobro de la expedición de licencias de importación.</w:t>
      </w:r>
    </w:p>
    <w:p w14:paraId="7FF5E47B" w14:textId="77777777" w:rsidR="00F569AB" w:rsidRDefault="00F569AB" w:rsidP="00F569AB">
      <w:pPr>
        <w:pStyle w:val="Sinespaciado"/>
        <w:jc w:val="both"/>
        <w:rPr>
          <w:rStyle w:val="Cuerpodeltexto321"/>
          <w:rFonts w:ascii="Verdana" w:hAnsi="Verdana"/>
          <w:sz w:val="24"/>
          <w:szCs w:val="24"/>
        </w:rPr>
      </w:pPr>
    </w:p>
    <w:p w14:paraId="720138C2" w14:textId="2D4219C6" w:rsidR="008F6BD4" w:rsidRPr="00F569AB" w:rsidRDefault="00F569AB" w:rsidP="00F569AB">
      <w:pPr>
        <w:pStyle w:val="Sinespaciado"/>
        <w:numPr>
          <w:ilvl w:val="0"/>
          <w:numId w:val="3"/>
        </w:numPr>
        <w:jc w:val="both"/>
        <w:rPr>
          <w:rFonts w:ascii="Verdana" w:hAnsi="Verdana"/>
        </w:rPr>
      </w:pPr>
      <w:r w:rsidRPr="00F569AB">
        <w:rPr>
          <w:rStyle w:val="Cuerpodeltexto321"/>
          <w:rFonts w:ascii="Verdana" w:hAnsi="Verdana"/>
          <w:sz w:val="24"/>
          <w:szCs w:val="24"/>
        </w:rPr>
        <w:t>¿Los ingresos percibidos por la DGCE, se consideran tasas, contribuciones o venta de bienes y servicios? teniendo en cuenta que las funciones que desarrolla están enmarcadas dentro de la actividad económica CIUU 8412 que corresponde a “Actividades ejecutivas de la administración pública 0,80%”, según inscripción en el RUT y concepto emitido por la Oficina Asesora Jurídica del Ministerio de Comercio, Industria y Turismo, a través de memorando electrónico OAJ-2020- 000393 del 17 de julio de 2020:</w:t>
      </w:r>
    </w:p>
    <w:p w14:paraId="3C0AE6CF" w14:textId="77777777" w:rsidR="00F569AB" w:rsidRDefault="00F569AB" w:rsidP="00F569AB">
      <w:pPr>
        <w:pStyle w:val="Sinespaciado"/>
        <w:jc w:val="both"/>
        <w:rPr>
          <w:rFonts w:ascii="Verdana" w:hAnsi="Verdana"/>
        </w:rPr>
      </w:pPr>
    </w:p>
    <w:p w14:paraId="67FE3740" w14:textId="476F2A90" w:rsidR="008F6BD4" w:rsidRPr="00F569AB" w:rsidRDefault="00F569AB" w:rsidP="00F569AB">
      <w:pPr>
        <w:pStyle w:val="Sinespaciado"/>
        <w:jc w:val="both"/>
        <w:rPr>
          <w:rFonts w:ascii="Verdana" w:hAnsi="Verdana"/>
        </w:rPr>
      </w:pPr>
      <w:r w:rsidRPr="00F569AB">
        <w:rPr>
          <w:rFonts w:ascii="Verdana" w:hAnsi="Verdana"/>
        </w:rPr>
        <w:t xml:space="preserve">Para efectos de determinar la procedencia o no de la obligación de expedir factura de venta o documento equivalente, debe tenerse en cuenta que la </w:t>
      </w:r>
      <w:r w:rsidRPr="00F569AB">
        <w:rPr>
          <w:rFonts w:ascii="Verdana" w:hAnsi="Verdana"/>
        </w:rPr>
        <w:lastRenderedPageBreak/>
        <w:t>venta de bienes o prestación de servicios como operación económica, por regla general debe ser facturada y causa el impuesto sobre las</w:t>
      </w:r>
      <w:r>
        <w:rPr>
          <w:rFonts w:ascii="Verdana" w:hAnsi="Verdana"/>
        </w:rPr>
        <w:t xml:space="preserve"> </w:t>
      </w:r>
      <w:r w:rsidRPr="00F569AB">
        <w:rPr>
          <w:rFonts w:ascii="Verdana" w:hAnsi="Verdana"/>
        </w:rPr>
        <w:t>ventas -IVA, de conformidad con los artículos 420, 615, 616-1 y 617 del Estatuto Tributario. Sobre el particular, se adjunta el oficio No. 902604 del 24 de junio de 2020.</w:t>
      </w:r>
    </w:p>
    <w:p w14:paraId="125D8C65" w14:textId="77777777" w:rsidR="00F569AB" w:rsidRDefault="00F569AB" w:rsidP="00F569AB">
      <w:pPr>
        <w:pStyle w:val="Sinespaciado"/>
        <w:jc w:val="both"/>
        <w:rPr>
          <w:rFonts w:ascii="Verdana" w:hAnsi="Verdana"/>
        </w:rPr>
      </w:pPr>
    </w:p>
    <w:p w14:paraId="1E9A8724" w14:textId="0EC0B7F3" w:rsidR="008F6BD4" w:rsidRPr="00F569AB" w:rsidRDefault="00F569AB" w:rsidP="00F569AB">
      <w:pPr>
        <w:pStyle w:val="Sinespaciado"/>
        <w:jc w:val="both"/>
        <w:rPr>
          <w:rFonts w:ascii="Verdana" w:hAnsi="Verdana"/>
        </w:rPr>
      </w:pPr>
      <w:r w:rsidRPr="00F569AB">
        <w:rPr>
          <w:rFonts w:ascii="Verdana" w:hAnsi="Verdana"/>
        </w:rPr>
        <w:t>Por el contrario, el cobro de tasas o contribuciones no deriva la obligación de expedir factura de venta o documento equivalente, y tampoco causa el impuesto sobre las ventas siempre y cuando se cumplan los supuestos del artículo 1.3.1.13.6 del Decreto 1625 de 2016. Sobre este particular, este Despacho se ha pronunciado con oficio No. 026648 de 2019, el cual se adjunta para mayor conocimiento.</w:t>
      </w:r>
    </w:p>
    <w:p w14:paraId="04B4B974" w14:textId="77777777" w:rsidR="00F569AB" w:rsidRDefault="00F569AB" w:rsidP="00F569AB">
      <w:pPr>
        <w:pStyle w:val="Sinespaciado"/>
        <w:jc w:val="both"/>
        <w:rPr>
          <w:rFonts w:ascii="Verdana" w:hAnsi="Verdana"/>
        </w:rPr>
      </w:pPr>
    </w:p>
    <w:p w14:paraId="293F3158" w14:textId="29DFAB20" w:rsidR="008F6BD4" w:rsidRPr="00F569AB" w:rsidRDefault="00F569AB" w:rsidP="00F569AB">
      <w:pPr>
        <w:pStyle w:val="Sinespaciado"/>
        <w:jc w:val="both"/>
        <w:rPr>
          <w:rFonts w:ascii="Verdana" w:hAnsi="Verdana"/>
        </w:rPr>
      </w:pPr>
      <w:r w:rsidRPr="00F569AB">
        <w:rPr>
          <w:rFonts w:ascii="Verdana" w:hAnsi="Verdana"/>
        </w:rPr>
        <w:t>Así las cosas, la determinación de la calidad de tasa, contribución o venta de bienes y servicios corresponde a cada entidad, teniendo en cuenta que la competencia de este Despacho se limita a absolver las consultas respecto a la interpretación y aplicación de las normas tributarias de competencia de la DIAN.</w:t>
      </w:r>
    </w:p>
    <w:p w14:paraId="1228DB62" w14:textId="77777777" w:rsidR="00F569AB" w:rsidRDefault="00F569AB" w:rsidP="00F569AB">
      <w:pPr>
        <w:pStyle w:val="Sinespaciado"/>
        <w:jc w:val="both"/>
        <w:rPr>
          <w:rStyle w:val="Cuerpodeltexto321"/>
          <w:rFonts w:ascii="Verdana" w:hAnsi="Verdana"/>
          <w:sz w:val="24"/>
          <w:szCs w:val="24"/>
        </w:rPr>
      </w:pPr>
    </w:p>
    <w:p w14:paraId="7854B875" w14:textId="3A03912A" w:rsidR="008F6BD4" w:rsidRPr="00F569AB" w:rsidRDefault="00F569AB" w:rsidP="00F569AB">
      <w:pPr>
        <w:pStyle w:val="Sinespaciado"/>
        <w:numPr>
          <w:ilvl w:val="0"/>
          <w:numId w:val="3"/>
        </w:numPr>
        <w:jc w:val="both"/>
        <w:rPr>
          <w:rFonts w:ascii="Verdana" w:hAnsi="Verdana"/>
        </w:rPr>
      </w:pPr>
      <w:r w:rsidRPr="00F569AB">
        <w:rPr>
          <w:rStyle w:val="Cuerpodeltexto321"/>
          <w:rFonts w:ascii="Verdana" w:hAnsi="Verdana"/>
          <w:sz w:val="24"/>
          <w:szCs w:val="24"/>
        </w:rPr>
        <w:t>¿Es el Ministerio de Comercio, Industria y Turismo sujeto pasivo del impuesto de Industria y Comercio y del Impuesto a las Ventas?</w:t>
      </w:r>
    </w:p>
    <w:p w14:paraId="2285C6FC" w14:textId="77777777" w:rsidR="00F569AB" w:rsidRDefault="00F569AB" w:rsidP="00F569AB">
      <w:pPr>
        <w:pStyle w:val="Sinespaciado"/>
        <w:jc w:val="both"/>
        <w:rPr>
          <w:rFonts w:ascii="Verdana" w:hAnsi="Verdana"/>
        </w:rPr>
      </w:pPr>
    </w:p>
    <w:p w14:paraId="6535693F" w14:textId="35E4B879" w:rsidR="008F6BD4" w:rsidRPr="00F569AB" w:rsidRDefault="00F569AB" w:rsidP="00F569AB">
      <w:pPr>
        <w:pStyle w:val="Sinespaciado"/>
        <w:jc w:val="both"/>
        <w:rPr>
          <w:rFonts w:ascii="Verdana" w:hAnsi="Verdana"/>
        </w:rPr>
      </w:pPr>
      <w:r w:rsidRPr="00F569AB">
        <w:rPr>
          <w:rFonts w:ascii="Verdana" w:hAnsi="Verdana"/>
        </w:rPr>
        <w:t>De conformidad con el artículo 338 de la Constitución Política y lo previsto en el artículo 420 del Estatuto Tributario, el sujeto pasivo del impuesto sobre las ventas puede ser de dos tipos, i) económico y ii) jurídico, estos han sido definidos por la doctrina de esta entidad en el Concepto Unificado del Impuesto sobre las ventas No. 00001 de 2003, así:</w:t>
      </w:r>
    </w:p>
    <w:p w14:paraId="1670B8BF" w14:textId="77777777" w:rsidR="00F569AB" w:rsidRDefault="00F569AB" w:rsidP="00F569AB">
      <w:pPr>
        <w:pStyle w:val="Sinespaciado"/>
        <w:jc w:val="both"/>
        <w:rPr>
          <w:rFonts w:ascii="Verdana" w:hAnsi="Verdana"/>
        </w:rPr>
      </w:pPr>
    </w:p>
    <w:p w14:paraId="4D1382C2" w14:textId="48540AE8" w:rsidR="008F6BD4" w:rsidRPr="00F569AB" w:rsidRDefault="00F569AB" w:rsidP="00F569AB">
      <w:pPr>
        <w:pStyle w:val="Sinespaciado"/>
        <w:ind w:left="708"/>
        <w:jc w:val="both"/>
        <w:rPr>
          <w:rFonts w:ascii="Verdana" w:hAnsi="Verdana"/>
          <w:i/>
          <w:iCs/>
        </w:rPr>
      </w:pPr>
      <w:r>
        <w:rPr>
          <w:rFonts w:ascii="Verdana" w:hAnsi="Verdana"/>
          <w:i/>
          <w:iCs/>
        </w:rPr>
        <w:t>“</w:t>
      </w:r>
      <w:r w:rsidRPr="00F569AB">
        <w:rPr>
          <w:rFonts w:ascii="Verdana" w:hAnsi="Verdana"/>
          <w:i/>
          <w:iCs/>
        </w:rPr>
        <w:t>Sujeto Pasivo Económico: Persona que adquiere bienes o servicios gravados y que en últimas es quien soporta el pago del gravamen.</w:t>
      </w:r>
    </w:p>
    <w:p w14:paraId="59DEEEFF" w14:textId="77777777" w:rsidR="00F569AB" w:rsidRDefault="00F569AB" w:rsidP="00F569AB">
      <w:pPr>
        <w:pStyle w:val="Sinespaciado"/>
        <w:ind w:left="708"/>
        <w:jc w:val="both"/>
        <w:rPr>
          <w:rFonts w:ascii="Verdana" w:hAnsi="Verdana"/>
          <w:i/>
          <w:iCs/>
        </w:rPr>
      </w:pPr>
    </w:p>
    <w:p w14:paraId="008C2366" w14:textId="5B334B5C" w:rsidR="008F6BD4" w:rsidRPr="00F569AB" w:rsidRDefault="00F569AB" w:rsidP="00F569AB">
      <w:pPr>
        <w:pStyle w:val="Sinespaciado"/>
        <w:ind w:left="708"/>
        <w:jc w:val="both"/>
        <w:rPr>
          <w:rFonts w:ascii="Verdana" w:hAnsi="Verdana"/>
        </w:rPr>
      </w:pPr>
      <w:r w:rsidRPr="00F569AB">
        <w:rPr>
          <w:rFonts w:ascii="Verdana" w:hAnsi="Verdana"/>
          <w:i/>
          <w:iCs/>
        </w:rPr>
        <w:t>Sujeto Pasivo de Derecho: Es el responsable del recaudo del impuesto y quien se encuentra obligado a responder por el mismo al Estado, mediante la presentación de la correspondiente declaración del impuesto sobre las ventas”.</w:t>
      </w:r>
    </w:p>
    <w:p w14:paraId="4C9EFBE4" w14:textId="77777777" w:rsidR="00F569AB" w:rsidRDefault="00F569AB" w:rsidP="00F569AB">
      <w:pPr>
        <w:pStyle w:val="Sinespaciado"/>
        <w:jc w:val="both"/>
        <w:rPr>
          <w:rFonts w:ascii="Verdana" w:hAnsi="Verdana"/>
        </w:rPr>
      </w:pPr>
    </w:p>
    <w:p w14:paraId="1B36A825" w14:textId="5883A006" w:rsidR="008F6BD4" w:rsidRPr="00F569AB" w:rsidRDefault="00F569AB" w:rsidP="00F569AB">
      <w:pPr>
        <w:pStyle w:val="Sinespaciado"/>
        <w:jc w:val="both"/>
        <w:rPr>
          <w:rFonts w:ascii="Verdana" w:hAnsi="Verdana"/>
        </w:rPr>
      </w:pPr>
      <w:r w:rsidRPr="00F569AB">
        <w:rPr>
          <w:rFonts w:ascii="Verdana" w:hAnsi="Verdana"/>
        </w:rPr>
        <w:t>Así las cosas, los sujetos pasivos económicos del IVA, son quienes adquieren el bien o servicio y quienes en últimas soportan el pago de dicho impuesto.</w:t>
      </w:r>
    </w:p>
    <w:p w14:paraId="45030120" w14:textId="77777777" w:rsidR="00F569AB" w:rsidRDefault="00F569AB" w:rsidP="00F569AB">
      <w:pPr>
        <w:pStyle w:val="Sinespaciado"/>
        <w:jc w:val="both"/>
        <w:rPr>
          <w:rFonts w:ascii="Verdana" w:hAnsi="Verdana"/>
        </w:rPr>
      </w:pPr>
    </w:p>
    <w:p w14:paraId="1ADD4DBD" w14:textId="0A324162" w:rsidR="008F6BD4" w:rsidRPr="00F569AB" w:rsidRDefault="00F569AB" w:rsidP="00F569AB">
      <w:pPr>
        <w:pStyle w:val="Sinespaciado"/>
        <w:jc w:val="both"/>
        <w:rPr>
          <w:rFonts w:ascii="Verdana" w:hAnsi="Verdana"/>
        </w:rPr>
      </w:pPr>
      <w:r w:rsidRPr="00F569AB">
        <w:rPr>
          <w:rFonts w:ascii="Verdana" w:hAnsi="Verdana"/>
        </w:rPr>
        <w:t xml:space="preserve">De otro lado, los responsables del impuesto sobre las ventas, es decir, los sujetos pasivos jurídicos, son quienes realizan el hecho generador y tienen la </w:t>
      </w:r>
      <w:r w:rsidRPr="00F569AB">
        <w:rPr>
          <w:rFonts w:ascii="Verdana" w:hAnsi="Verdana"/>
        </w:rPr>
        <w:lastRenderedPageBreak/>
        <w:t>obligación de responder por el valor del impuesto, y en la normatividad vigente están determinados por quienes cumplan con los requisitos de que trata el artículo 437 del Estatuto Tributario.</w:t>
      </w:r>
    </w:p>
    <w:p w14:paraId="37042B0C" w14:textId="77777777" w:rsidR="00F569AB" w:rsidRDefault="00F569AB" w:rsidP="00F569AB">
      <w:pPr>
        <w:pStyle w:val="Sinespaciado"/>
        <w:jc w:val="both"/>
        <w:rPr>
          <w:rFonts w:ascii="Verdana" w:hAnsi="Verdana"/>
        </w:rPr>
      </w:pPr>
    </w:p>
    <w:p w14:paraId="36FC16C7" w14:textId="1F4F0F21" w:rsidR="008F6BD4" w:rsidRPr="00F569AB" w:rsidRDefault="00F569AB" w:rsidP="00F569AB">
      <w:pPr>
        <w:pStyle w:val="Sinespaciado"/>
        <w:jc w:val="both"/>
        <w:rPr>
          <w:rFonts w:ascii="Verdana" w:hAnsi="Verdana"/>
        </w:rPr>
      </w:pPr>
      <w:r w:rsidRPr="00F569AB">
        <w:rPr>
          <w:rFonts w:ascii="Verdana" w:hAnsi="Verdana"/>
        </w:rPr>
        <w:t>En consecuencia, se debe determinar, de acuerdo al alcance de sus operaciones, en cuales de ellas es el sujeto pasivo del impuesto sobre las ventas y de qué tipo.</w:t>
      </w:r>
    </w:p>
    <w:p w14:paraId="761B3230" w14:textId="77777777" w:rsidR="00F569AB" w:rsidRDefault="00F569AB" w:rsidP="00F569AB">
      <w:pPr>
        <w:pStyle w:val="Sinespaciado"/>
        <w:jc w:val="both"/>
        <w:rPr>
          <w:rStyle w:val="Cuerpodeltexto321"/>
          <w:rFonts w:ascii="Verdana" w:hAnsi="Verdana"/>
          <w:sz w:val="24"/>
          <w:szCs w:val="24"/>
        </w:rPr>
      </w:pPr>
    </w:p>
    <w:p w14:paraId="00029A97" w14:textId="22826D19" w:rsidR="008F6BD4" w:rsidRPr="00F569AB" w:rsidRDefault="00F569AB" w:rsidP="00F569AB">
      <w:pPr>
        <w:pStyle w:val="Sinespaciado"/>
        <w:numPr>
          <w:ilvl w:val="0"/>
          <w:numId w:val="3"/>
        </w:numPr>
        <w:jc w:val="both"/>
        <w:rPr>
          <w:rFonts w:ascii="Verdana" w:hAnsi="Verdana"/>
        </w:rPr>
      </w:pPr>
      <w:r w:rsidRPr="00F569AB">
        <w:rPr>
          <w:rStyle w:val="Cuerpodeltexto321"/>
          <w:rFonts w:ascii="Verdana" w:hAnsi="Verdana"/>
          <w:sz w:val="24"/>
          <w:szCs w:val="24"/>
        </w:rPr>
        <w:t>Desde el punto de vista tributario,</w:t>
      </w:r>
      <w:r>
        <w:rPr>
          <w:rStyle w:val="Cuerpodeltexto321"/>
          <w:rFonts w:ascii="Verdana" w:hAnsi="Verdana"/>
          <w:sz w:val="24"/>
          <w:szCs w:val="24"/>
        </w:rPr>
        <w:t xml:space="preserve"> </w:t>
      </w:r>
      <w:r w:rsidRPr="00F569AB">
        <w:rPr>
          <w:rStyle w:val="Cuerpodeltexto321"/>
          <w:rFonts w:ascii="Verdana" w:hAnsi="Verdana"/>
          <w:sz w:val="24"/>
          <w:szCs w:val="24"/>
        </w:rPr>
        <w:t>el documento generado electrónicamente por el botón de pago PSE, puede considerarse equivalente a la factura, teniendo en cuenta que éste no está contemplado en la Resolución 000042 del 2020, sin embargo, genera un consecutivo automático. O se debe solicitar resolución de numeración a la DIAN?</w:t>
      </w:r>
    </w:p>
    <w:p w14:paraId="1BF004B0" w14:textId="77777777" w:rsidR="00F569AB" w:rsidRDefault="00F569AB" w:rsidP="00F569AB">
      <w:pPr>
        <w:pStyle w:val="Sinespaciado"/>
        <w:jc w:val="both"/>
        <w:rPr>
          <w:rFonts w:ascii="Verdana" w:hAnsi="Verdana"/>
        </w:rPr>
      </w:pPr>
    </w:p>
    <w:p w14:paraId="443668DD" w14:textId="77777777" w:rsidR="00F569AB" w:rsidRDefault="00F569AB" w:rsidP="00F569AB">
      <w:pPr>
        <w:pStyle w:val="Sinespaciado"/>
        <w:jc w:val="both"/>
        <w:rPr>
          <w:rFonts w:ascii="Verdana" w:hAnsi="Verdana"/>
        </w:rPr>
      </w:pPr>
      <w:r w:rsidRPr="00F569AB">
        <w:rPr>
          <w:rFonts w:ascii="Verdana" w:hAnsi="Verdana"/>
        </w:rPr>
        <w:t>Sobre este asunto se informa que los documentos equivalentes a la factura de venta están dispuestos en el artículo 1.6.1.4.6 del Decreto 1625 de 2016, sustituido por el Decreto 358 de 2020. Estando sus requisitos determinados en el artículo 13 de la Resolución 000042 de 2020.</w:t>
      </w:r>
    </w:p>
    <w:p w14:paraId="21928097" w14:textId="77777777" w:rsidR="00F569AB" w:rsidRDefault="00F569AB" w:rsidP="00F569AB">
      <w:pPr>
        <w:pStyle w:val="Sinespaciado"/>
        <w:jc w:val="both"/>
        <w:rPr>
          <w:rFonts w:ascii="Verdana" w:hAnsi="Verdana"/>
        </w:rPr>
      </w:pPr>
    </w:p>
    <w:p w14:paraId="06D0F754" w14:textId="01D6C4F7" w:rsidR="008F6BD4" w:rsidRPr="00F569AB" w:rsidRDefault="00F569AB" w:rsidP="00F569AB">
      <w:pPr>
        <w:pStyle w:val="Sinespaciado"/>
        <w:jc w:val="both"/>
        <w:rPr>
          <w:rFonts w:ascii="Verdana" w:hAnsi="Verdana"/>
        </w:rPr>
      </w:pPr>
      <w:r w:rsidRPr="00F569AB">
        <w:rPr>
          <w:rStyle w:val="Cuerpodeltexto1210ptoSinnegrita"/>
          <w:rFonts w:ascii="Verdana" w:hAnsi="Verdana"/>
          <w:b w:val="0"/>
          <w:bCs w:val="0"/>
          <w:sz w:val="24"/>
          <w:szCs w:val="24"/>
        </w:rPr>
        <w:t xml:space="preserve">Por lo tanto, ningún documento distinto a los dispuestos por las normas reseñadas previamente tendrá la condición de docuemento </w:t>
      </w:r>
      <w:r>
        <w:rPr>
          <w:rStyle w:val="Cuerpodeltexto1210ptoSinnegrita"/>
          <w:rFonts w:ascii="Verdana" w:hAnsi="Verdana"/>
          <w:b w:val="0"/>
          <w:bCs w:val="0"/>
          <w:sz w:val="24"/>
          <w:szCs w:val="24"/>
        </w:rPr>
        <w:t xml:space="preserve">(sic) </w:t>
      </w:r>
      <w:r w:rsidRPr="00F569AB">
        <w:rPr>
          <w:rStyle w:val="Cuerpodeltexto1210ptoSinnegrita"/>
          <w:rFonts w:ascii="Verdana" w:hAnsi="Verdana"/>
          <w:b w:val="0"/>
          <w:bCs w:val="0"/>
          <w:sz w:val="24"/>
          <w:szCs w:val="24"/>
        </w:rPr>
        <w:t>equivalente a la factura de venta.</w:t>
      </w:r>
    </w:p>
    <w:p w14:paraId="17E775D9" w14:textId="77777777" w:rsidR="00F569AB" w:rsidRDefault="00F569AB" w:rsidP="00F569AB">
      <w:pPr>
        <w:pStyle w:val="Sinespaciado"/>
        <w:jc w:val="both"/>
        <w:rPr>
          <w:rStyle w:val="Cuerpodeltexto1210ptoSinnegrita"/>
          <w:rFonts w:ascii="Verdana" w:hAnsi="Verdana"/>
          <w:b w:val="0"/>
          <w:bCs w:val="0"/>
          <w:sz w:val="24"/>
          <w:szCs w:val="24"/>
        </w:rPr>
      </w:pPr>
    </w:p>
    <w:p w14:paraId="19ACF51C" w14:textId="274EDFAB" w:rsidR="008F6BD4" w:rsidRPr="00F569AB" w:rsidRDefault="00F569AB" w:rsidP="00F569AB">
      <w:pPr>
        <w:pStyle w:val="Sinespaciado"/>
        <w:jc w:val="both"/>
        <w:rPr>
          <w:rFonts w:ascii="Verdana" w:hAnsi="Verdana"/>
        </w:rPr>
      </w:pPr>
      <w:r w:rsidRPr="00F569AB">
        <w:rPr>
          <w:rStyle w:val="Cuerpodeltexto1210ptoSinnegrita"/>
          <w:rFonts w:ascii="Verdana" w:hAnsi="Verdana"/>
          <w:b w:val="0"/>
          <w:bCs w:val="0"/>
          <w:sz w:val="24"/>
          <w:szCs w:val="24"/>
        </w:rPr>
        <w:t>De modo que, si el sujeto obligado a facturar no cuenta con un documento equivalente para el tipo de venta o prestación de servicios que efectúa, deberá expedir factura electrónica de venta de acuerdo con el calendario de implementación que se dispone en el artículo 20 de la Resolución 000042 de 2020.</w:t>
      </w:r>
    </w:p>
    <w:p w14:paraId="22B274B5" w14:textId="77777777" w:rsidR="00F569AB" w:rsidRDefault="00F569AB" w:rsidP="00F569AB">
      <w:pPr>
        <w:pStyle w:val="Sinespaciado"/>
        <w:jc w:val="both"/>
        <w:rPr>
          <w:rFonts w:ascii="Verdana" w:hAnsi="Verdana"/>
        </w:rPr>
      </w:pPr>
    </w:p>
    <w:p w14:paraId="1B43F15D" w14:textId="77593B0A" w:rsidR="008F6BD4" w:rsidRPr="00F569AB" w:rsidRDefault="00F569AB" w:rsidP="00F569AB">
      <w:pPr>
        <w:pStyle w:val="Sinespaciado"/>
        <w:numPr>
          <w:ilvl w:val="0"/>
          <w:numId w:val="3"/>
        </w:numPr>
        <w:jc w:val="both"/>
        <w:rPr>
          <w:rFonts w:ascii="Verdana" w:hAnsi="Verdana"/>
          <w:b/>
          <w:bCs/>
          <w:i/>
          <w:iCs/>
        </w:rPr>
      </w:pPr>
      <w:r w:rsidRPr="00F569AB">
        <w:rPr>
          <w:rFonts w:ascii="Verdana" w:hAnsi="Verdana"/>
          <w:b/>
          <w:bCs/>
          <w:i/>
          <w:iCs/>
        </w:rPr>
        <w:t>De no ser posible generar facturación electrónica por SIIF Nación en el corto plazo, debido a la complejidad y el volumen de operaciones diarias que se canalizan por el botón de pagos. Se puede continuar manejando por PSE y, este documento tendrá validez para los importadores y exportadores, como deducible de costos y gastos?</w:t>
      </w:r>
    </w:p>
    <w:p w14:paraId="702C8FBA" w14:textId="77777777" w:rsidR="00F569AB" w:rsidRDefault="00F569AB" w:rsidP="00F569AB">
      <w:pPr>
        <w:pStyle w:val="Sinespaciado"/>
        <w:jc w:val="both"/>
        <w:rPr>
          <w:rStyle w:val="Cuerpodeltexto1210ptoSinnegrita"/>
          <w:rFonts w:ascii="Verdana" w:hAnsi="Verdana"/>
          <w:b w:val="0"/>
          <w:bCs w:val="0"/>
          <w:sz w:val="24"/>
          <w:szCs w:val="24"/>
        </w:rPr>
      </w:pPr>
    </w:p>
    <w:p w14:paraId="3E1B7C65" w14:textId="77777777" w:rsidR="00F569AB" w:rsidRDefault="00F569AB" w:rsidP="00F569AB">
      <w:pPr>
        <w:pStyle w:val="Sinespaciado"/>
        <w:jc w:val="both"/>
        <w:rPr>
          <w:rStyle w:val="Cuerpodeltexto1210ptoSinnegrita"/>
          <w:rFonts w:ascii="Verdana" w:hAnsi="Verdana"/>
          <w:b w:val="0"/>
          <w:bCs w:val="0"/>
          <w:sz w:val="24"/>
          <w:szCs w:val="24"/>
        </w:rPr>
      </w:pPr>
      <w:r w:rsidRPr="00F569AB">
        <w:rPr>
          <w:rStyle w:val="Cuerpodeltexto1210ptoSinnegrita"/>
          <w:rFonts w:ascii="Verdana" w:hAnsi="Verdana"/>
          <w:b w:val="0"/>
          <w:bCs w:val="0"/>
          <w:sz w:val="24"/>
          <w:szCs w:val="24"/>
        </w:rPr>
        <w:t>Por favor remitirse a la respuesta anterior. Adicionalmente, se informa que serán soporte de costos, gastos e impuestos descontables, de conformidad con lo dispuesto en el artículo 771-2 del Estatuto Tributario y los artículos 11, 12 y 13 de la Resolución 00042 de 2020, la factura de venta y los documentos equivalentes.</w:t>
      </w:r>
    </w:p>
    <w:p w14:paraId="4C9C5993" w14:textId="2F019C34" w:rsidR="008F6BD4" w:rsidRPr="00F569AB" w:rsidRDefault="00F569AB" w:rsidP="00F569AB">
      <w:pPr>
        <w:pStyle w:val="Sinespaciado"/>
        <w:jc w:val="both"/>
        <w:rPr>
          <w:rFonts w:ascii="Verdana" w:hAnsi="Verdana"/>
        </w:rPr>
      </w:pPr>
      <w:r w:rsidRPr="00F569AB">
        <w:rPr>
          <w:rStyle w:val="Cuerpodeltexto1210ptoSinnegrita"/>
          <w:rFonts w:ascii="Verdana" w:hAnsi="Verdana"/>
          <w:b w:val="0"/>
          <w:bCs w:val="0"/>
          <w:sz w:val="24"/>
          <w:szCs w:val="24"/>
        </w:rPr>
        <w:lastRenderedPageBreak/>
        <w:t xml:space="preserve">Acerca de las inquietudes planteadas respecto al impuesto de industria y comercio, se informa que este despacho no ostenta competencia para pronunciarse sobre el mismo, por tratarse de un impuesto del orden </w:t>
      </w:r>
      <w:r>
        <w:rPr>
          <w:rStyle w:val="Cuerpodeltexto1210ptoSinnegrita"/>
          <w:rFonts w:ascii="Verdana" w:hAnsi="Verdana"/>
          <w:b w:val="0"/>
          <w:bCs w:val="0"/>
          <w:sz w:val="24"/>
          <w:szCs w:val="24"/>
        </w:rPr>
        <w:t>territorial (sic)</w:t>
      </w:r>
      <w:r w:rsidRPr="00F569AB">
        <w:rPr>
          <w:rStyle w:val="Cuerpodeltexto1210ptoSinnegrita"/>
          <w:rFonts w:ascii="Verdana" w:hAnsi="Verdana"/>
          <w:b w:val="0"/>
          <w:bCs w:val="0"/>
          <w:sz w:val="24"/>
          <w:szCs w:val="24"/>
        </w:rPr>
        <w:t>. Por ende, se trasladan los interrogantes 5, 6, 7 y 8 a la Dirección General de Apoyo Fiscal de</w:t>
      </w:r>
      <w:r>
        <w:rPr>
          <w:rStyle w:val="Cuerpodeltexto1210ptoSinnegrita"/>
          <w:rFonts w:ascii="Verdana" w:hAnsi="Verdana"/>
          <w:b w:val="0"/>
          <w:bCs w:val="0"/>
          <w:sz w:val="24"/>
          <w:szCs w:val="24"/>
        </w:rPr>
        <w:t>l</w:t>
      </w:r>
      <w:r w:rsidRPr="00F569AB">
        <w:rPr>
          <w:rStyle w:val="Cuerpodeltexto1210ptoSinnegrita"/>
          <w:rFonts w:ascii="Verdana" w:hAnsi="Verdana"/>
          <w:b w:val="0"/>
          <w:bCs w:val="0"/>
          <w:sz w:val="24"/>
          <w:szCs w:val="24"/>
        </w:rPr>
        <w:t xml:space="preserve"> Ministerio de Hacienda y Crédito Público.</w:t>
      </w:r>
    </w:p>
    <w:p w14:paraId="6AC1C823" w14:textId="77777777" w:rsidR="00F569AB" w:rsidRDefault="00F569AB" w:rsidP="00F569AB">
      <w:pPr>
        <w:pStyle w:val="Sinespaciado"/>
        <w:jc w:val="both"/>
        <w:rPr>
          <w:rStyle w:val="Cuerpodeltexto1210ptoSinnegrita"/>
          <w:rFonts w:ascii="Verdana" w:hAnsi="Verdana"/>
          <w:b w:val="0"/>
          <w:bCs w:val="0"/>
          <w:sz w:val="24"/>
          <w:szCs w:val="24"/>
        </w:rPr>
      </w:pPr>
    </w:p>
    <w:p w14:paraId="252539D7" w14:textId="3C46A5E2" w:rsidR="008F6BD4" w:rsidRPr="00F569AB" w:rsidRDefault="00F569AB" w:rsidP="00F569AB">
      <w:pPr>
        <w:pStyle w:val="Sinespaciado"/>
        <w:jc w:val="both"/>
        <w:rPr>
          <w:rFonts w:ascii="Verdana" w:hAnsi="Verdana"/>
        </w:rPr>
      </w:pPr>
      <w:r w:rsidRPr="00F569AB">
        <w:rPr>
          <w:rStyle w:val="Cuerpodeltexto1210ptoSinnegrita"/>
          <w:rFonts w:ascii="Verdana" w:hAnsi="Verdana"/>
          <w:b w:val="0"/>
          <w:bCs w:val="0"/>
          <w:sz w:val="24"/>
          <w:szCs w:val="24"/>
        </w:rPr>
        <w:t xml:space="preserve">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t>
      </w:r>
      <w:r w:rsidRPr="00F569AB">
        <w:rPr>
          <w:rStyle w:val="Cuerpodeltexto12Sinnegrita"/>
          <w:rFonts w:ascii="Verdana" w:eastAsia="Microsoft Sans Serif" w:hAnsi="Verdana" w:cs="Microsoft Sans Serif"/>
          <w:b w:val="0"/>
          <w:bCs w:val="0"/>
          <w:sz w:val="24"/>
          <w:szCs w:val="24"/>
          <w:lang w:val="es-ES" w:eastAsia="es-ES" w:bidi="es-ES"/>
        </w:rPr>
        <w:t>www.dian.gov.co</w:t>
      </w:r>
      <w:r w:rsidRPr="00F569AB">
        <w:rPr>
          <w:rStyle w:val="Cuerpodeltexto12Sinnegrita"/>
          <w:rFonts w:ascii="Verdana" w:hAnsi="Verdana"/>
          <w:b w:val="0"/>
          <w:bCs w:val="0"/>
          <w:sz w:val="24"/>
          <w:szCs w:val="24"/>
        </w:rPr>
        <w:t xml:space="preserve">, </w:t>
      </w:r>
      <w:r w:rsidRPr="00F569AB">
        <w:rPr>
          <w:rStyle w:val="Cuerpodeltexto1210ptoSinnegrita"/>
          <w:rFonts w:ascii="Verdana" w:hAnsi="Verdana"/>
          <w:b w:val="0"/>
          <w:bCs w:val="0"/>
          <w:sz w:val="24"/>
          <w:szCs w:val="24"/>
        </w:rPr>
        <w:t>la base de conceptos en materia tributaria, aduanera y cambiar</w:t>
      </w:r>
      <w:r>
        <w:rPr>
          <w:rStyle w:val="Cuerpodeltexto1210ptoSinnegrita"/>
          <w:rFonts w:ascii="Verdana" w:hAnsi="Verdana"/>
          <w:b w:val="0"/>
          <w:bCs w:val="0"/>
          <w:sz w:val="24"/>
          <w:szCs w:val="24"/>
        </w:rPr>
        <w:t>ia</w:t>
      </w:r>
      <w:r w:rsidRPr="00F569AB">
        <w:rPr>
          <w:rStyle w:val="Cuerpodeltexto1210ptoSinnegrita"/>
          <w:rFonts w:ascii="Verdana" w:hAnsi="Verdana"/>
          <w:b w:val="0"/>
          <w:bCs w:val="0"/>
          <w:sz w:val="24"/>
          <w:szCs w:val="24"/>
        </w:rPr>
        <w:t xml:space="preserve"> expedidos desde el año 2001, la cual se puede ingresar por el icono de “Normatividad” - “técnica”-, dando click en el link “Doctrina Dirección de Gestión Jurídica”.</w:t>
      </w:r>
    </w:p>
    <w:p w14:paraId="74CAA204" w14:textId="77777777" w:rsidR="00F569AB" w:rsidRDefault="00F569AB" w:rsidP="00F569AB">
      <w:pPr>
        <w:pStyle w:val="Sinespaciado"/>
        <w:jc w:val="both"/>
        <w:rPr>
          <w:rStyle w:val="Cuerpodeltexto1210ptoSinnegrita"/>
          <w:rFonts w:ascii="Verdana" w:hAnsi="Verdana"/>
          <w:b w:val="0"/>
          <w:bCs w:val="0"/>
          <w:sz w:val="24"/>
          <w:szCs w:val="24"/>
        </w:rPr>
      </w:pPr>
    </w:p>
    <w:p w14:paraId="1CF5F793" w14:textId="77777777" w:rsidR="00F569AB" w:rsidRDefault="00F569AB" w:rsidP="00F569AB">
      <w:pPr>
        <w:pStyle w:val="Sinespaciado"/>
        <w:jc w:val="both"/>
        <w:rPr>
          <w:rStyle w:val="Cuerpodeltexto1210ptoSinnegrita"/>
          <w:rFonts w:ascii="Verdana" w:hAnsi="Verdana"/>
          <w:b w:val="0"/>
          <w:bCs w:val="0"/>
          <w:sz w:val="24"/>
          <w:szCs w:val="24"/>
        </w:rPr>
      </w:pPr>
    </w:p>
    <w:p w14:paraId="2028B3FD" w14:textId="1CB66965" w:rsidR="008F6BD4" w:rsidRPr="00F569AB" w:rsidRDefault="00F569AB" w:rsidP="00F569AB">
      <w:pPr>
        <w:pStyle w:val="Sinespaciado"/>
        <w:jc w:val="both"/>
        <w:rPr>
          <w:rFonts w:ascii="Verdana" w:hAnsi="Verdana"/>
        </w:rPr>
      </w:pPr>
      <w:r w:rsidRPr="00F569AB">
        <w:rPr>
          <w:rStyle w:val="Cuerpodeltexto1210ptoSinnegrita"/>
          <w:rFonts w:ascii="Verdana" w:hAnsi="Verdana"/>
          <w:b w:val="0"/>
          <w:bCs w:val="0"/>
          <w:sz w:val="24"/>
          <w:szCs w:val="24"/>
        </w:rPr>
        <w:t>Atentamente,</w:t>
      </w:r>
    </w:p>
    <w:p w14:paraId="01EC4818" w14:textId="77777777" w:rsidR="00F569AB" w:rsidRDefault="00F569AB" w:rsidP="00F569AB">
      <w:pPr>
        <w:pStyle w:val="Sinespaciado"/>
        <w:jc w:val="both"/>
        <w:rPr>
          <w:rFonts w:ascii="Verdana" w:hAnsi="Verdana"/>
        </w:rPr>
      </w:pPr>
    </w:p>
    <w:p w14:paraId="096157E8" w14:textId="77777777" w:rsidR="00F569AB" w:rsidRDefault="00F569AB" w:rsidP="00F569AB">
      <w:pPr>
        <w:pStyle w:val="Sinespaciado"/>
        <w:jc w:val="both"/>
        <w:rPr>
          <w:rFonts w:ascii="Verdana" w:hAnsi="Verdana"/>
        </w:rPr>
      </w:pPr>
    </w:p>
    <w:p w14:paraId="2CF0B4AC" w14:textId="77777777" w:rsidR="00F569AB" w:rsidRDefault="00F569AB" w:rsidP="00F569AB">
      <w:pPr>
        <w:pStyle w:val="Sinespaciado"/>
        <w:jc w:val="both"/>
        <w:rPr>
          <w:rFonts w:ascii="Verdana" w:hAnsi="Verdana"/>
        </w:rPr>
      </w:pPr>
    </w:p>
    <w:p w14:paraId="548DC44E" w14:textId="76762184" w:rsidR="008F6BD4" w:rsidRPr="00F569AB" w:rsidRDefault="00F569AB" w:rsidP="00F569AB">
      <w:pPr>
        <w:pStyle w:val="Sinespaciado"/>
        <w:jc w:val="both"/>
        <w:rPr>
          <w:rFonts w:ascii="Verdana" w:hAnsi="Verdana"/>
          <w:b/>
          <w:bCs/>
        </w:rPr>
      </w:pPr>
      <w:r w:rsidRPr="00F569AB">
        <w:rPr>
          <w:rFonts w:ascii="Verdana" w:hAnsi="Verdana"/>
          <w:b/>
          <w:bCs/>
        </w:rPr>
        <w:t>PABLO EMILIO MENDOZA VELILLÁ</w:t>
      </w:r>
    </w:p>
    <w:p w14:paraId="40FE12DC" w14:textId="77777777" w:rsidR="00F569AB" w:rsidRDefault="00F569AB" w:rsidP="00F569AB">
      <w:pPr>
        <w:pStyle w:val="Sinespaciado"/>
        <w:jc w:val="both"/>
        <w:rPr>
          <w:rStyle w:val="Cuerpodeltexto1210ptoSinnegrita"/>
          <w:rFonts w:ascii="Verdana" w:hAnsi="Verdana"/>
          <w:b w:val="0"/>
          <w:bCs w:val="0"/>
          <w:sz w:val="24"/>
          <w:szCs w:val="24"/>
        </w:rPr>
      </w:pPr>
      <w:r w:rsidRPr="00F569AB">
        <w:rPr>
          <w:rStyle w:val="Cuerpodeltexto1210ptoSinnegrita"/>
          <w:rFonts w:ascii="Verdana" w:hAnsi="Verdana"/>
          <w:b w:val="0"/>
          <w:bCs w:val="0"/>
          <w:sz w:val="24"/>
          <w:szCs w:val="24"/>
        </w:rPr>
        <w:t>Subdirector de Gestión Normativa y</w:t>
      </w:r>
      <w:r>
        <w:rPr>
          <w:rStyle w:val="Cuerpodeltexto1210ptoSinnegrita"/>
          <w:rFonts w:ascii="Verdana" w:hAnsi="Verdana"/>
          <w:b w:val="0"/>
          <w:bCs w:val="0"/>
          <w:sz w:val="24"/>
          <w:szCs w:val="24"/>
        </w:rPr>
        <w:t xml:space="preserve"> </w:t>
      </w:r>
      <w:r w:rsidRPr="00F569AB">
        <w:rPr>
          <w:rStyle w:val="Cuerpodeltexto1210ptoSinnegrita"/>
          <w:rFonts w:ascii="Verdana" w:hAnsi="Verdana"/>
          <w:b w:val="0"/>
          <w:bCs w:val="0"/>
          <w:sz w:val="24"/>
          <w:szCs w:val="24"/>
        </w:rPr>
        <w:t>Doctrina</w:t>
      </w:r>
    </w:p>
    <w:p w14:paraId="00D98EAC" w14:textId="77777777" w:rsidR="00F569AB" w:rsidRDefault="00F569AB" w:rsidP="00F569AB">
      <w:pPr>
        <w:pStyle w:val="Sinespaciado"/>
        <w:jc w:val="both"/>
        <w:rPr>
          <w:rStyle w:val="Cuerpodeltexto1210ptoSinnegrita"/>
          <w:rFonts w:ascii="Verdana" w:hAnsi="Verdana"/>
          <w:b w:val="0"/>
          <w:bCs w:val="0"/>
          <w:sz w:val="24"/>
          <w:szCs w:val="24"/>
        </w:rPr>
      </w:pPr>
      <w:r w:rsidRPr="00F569AB">
        <w:rPr>
          <w:rStyle w:val="Cuerpodeltexto1210ptoSinnegrita"/>
          <w:rFonts w:ascii="Verdana" w:hAnsi="Verdana"/>
          <w:b w:val="0"/>
          <w:bCs w:val="0"/>
          <w:sz w:val="24"/>
          <w:szCs w:val="24"/>
        </w:rPr>
        <w:t>Dirección de Gestión Jurídic</w:t>
      </w:r>
      <w:r>
        <w:rPr>
          <w:rStyle w:val="Cuerpodeltexto1210ptoSinnegrita"/>
          <w:rFonts w:ascii="Verdana" w:hAnsi="Verdana"/>
          <w:b w:val="0"/>
          <w:bCs w:val="0"/>
          <w:sz w:val="24"/>
          <w:szCs w:val="24"/>
        </w:rPr>
        <w:t>a</w:t>
      </w:r>
    </w:p>
    <w:p w14:paraId="25CE32E6" w14:textId="77777777" w:rsidR="00F569AB" w:rsidRDefault="00F569AB" w:rsidP="00F569AB">
      <w:pPr>
        <w:pStyle w:val="Sinespaciado"/>
        <w:jc w:val="both"/>
        <w:rPr>
          <w:rStyle w:val="Cuerpodeltexto1210ptoSinnegrita"/>
          <w:rFonts w:ascii="Verdana" w:hAnsi="Verdana"/>
          <w:b w:val="0"/>
          <w:bCs w:val="0"/>
          <w:sz w:val="24"/>
          <w:szCs w:val="24"/>
        </w:rPr>
      </w:pPr>
      <w:r w:rsidRPr="00F569AB">
        <w:rPr>
          <w:rStyle w:val="Cuerpodeltexto1210ptoSinnegrita"/>
          <w:rFonts w:ascii="Verdana" w:hAnsi="Verdana"/>
          <w:b w:val="0"/>
          <w:bCs w:val="0"/>
          <w:sz w:val="24"/>
          <w:szCs w:val="24"/>
        </w:rPr>
        <w:t>UAE-Dirección de Impuestos y Aduanas Nacionales</w:t>
      </w:r>
    </w:p>
    <w:p w14:paraId="6170EB06" w14:textId="68552736" w:rsidR="008F6BD4" w:rsidRPr="00F569AB" w:rsidRDefault="00F569AB" w:rsidP="00F569AB">
      <w:pPr>
        <w:pStyle w:val="Sinespaciado"/>
        <w:jc w:val="both"/>
        <w:rPr>
          <w:rFonts w:ascii="Verdana" w:hAnsi="Verdana"/>
        </w:rPr>
      </w:pPr>
      <w:r w:rsidRPr="00F569AB">
        <w:rPr>
          <w:rStyle w:val="Cuerpodeltexto1210ptoSinnegrita"/>
          <w:rFonts w:ascii="Verdana" w:hAnsi="Verdana"/>
          <w:b w:val="0"/>
          <w:bCs w:val="0"/>
          <w:sz w:val="24"/>
          <w:szCs w:val="24"/>
        </w:rPr>
        <w:t>Cra. 8 N° 6C-38 Piso 4, Edificio San Agustín, Bogotá D.C.</w:t>
      </w:r>
    </w:p>
    <w:p w14:paraId="375897ED" w14:textId="77777777" w:rsidR="00F569AB" w:rsidRDefault="00F569AB" w:rsidP="00F569AB">
      <w:pPr>
        <w:pStyle w:val="Sinespaciado"/>
        <w:jc w:val="both"/>
        <w:rPr>
          <w:rFonts w:ascii="Verdana" w:hAnsi="Verdana"/>
        </w:rPr>
      </w:pPr>
    </w:p>
    <w:p w14:paraId="32A1BBB7" w14:textId="72836F7A" w:rsidR="008F6BD4" w:rsidRPr="00F569AB" w:rsidRDefault="00F569AB" w:rsidP="00F569AB">
      <w:pPr>
        <w:pStyle w:val="Sinespaciado"/>
        <w:jc w:val="both"/>
        <w:rPr>
          <w:rFonts w:ascii="Verdana" w:hAnsi="Verdana"/>
          <w:sz w:val="20"/>
          <w:szCs w:val="20"/>
        </w:rPr>
      </w:pPr>
      <w:r w:rsidRPr="00F569AB">
        <w:rPr>
          <w:rFonts w:ascii="Verdana" w:hAnsi="Verdana"/>
          <w:sz w:val="20"/>
          <w:szCs w:val="20"/>
        </w:rPr>
        <w:t>Adjunto: Oficios Nos. 026648 de 2019 y 902604 de 2020</w:t>
      </w:r>
    </w:p>
    <w:sectPr w:rsidR="008F6BD4" w:rsidRPr="00F569AB" w:rsidSect="00F569AB">
      <w:headerReference w:type="default" r:id="rId7"/>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32112" w14:textId="77777777" w:rsidR="00E13253" w:rsidRDefault="00E13253">
      <w:r>
        <w:separator/>
      </w:r>
    </w:p>
  </w:endnote>
  <w:endnote w:type="continuationSeparator" w:id="0">
    <w:p w14:paraId="6565D84B" w14:textId="77777777" w:rsidR="00E13253" w:rsidRDefault="00E1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432E1" w14:textId="77777777" w:rsidR="00E13253" w:rsidRDefault="00E13253"/>
  </w:footnote>
  <w:footnote w:type="continuationSeparator" w:id="0">
    <w:p w14:paraId="3E5FDCD9" w14:textId="77777777" w:rsidR="00E13253" w:rsidRDefault="00E13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1F7B" w14:textId="77777777" w:rsidR="008F6BD4" w:rsidRDefault="008F6B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4B21B2"/>
    <w:multiLevelType w:val="multilevel"/>
    <w:tmpl w:val="BAF4DB68"/>
    <w:lvl w:ilvl="0">
      <w:start w:val="1"/>
      <w:numFmt w:val="decimal"/>
      <w:lvlText w:val="%1."/>
      <w:lvlJc w:val="left"/>
      <w:rPr>
        <w:rFonts w:ascii="Arial" w:eastAsia="Arial" w:hAnsi="Arial" w:cs="Arial"/>
        <w:b/>
        <w:bCs/>
        <w:i/>
        <w:iCs/>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E2414B"/>
    <w:multiLevelType w:val="hybridMultilevel"/>
    <w:tmpl w:val="0896A99A"/>
    <w:lvl w:ilvl="0" w:tplc="7D3E4D46">
      <w:start w:val="1"/>
      <w:numFmt w:val="decimal"/>
      <w:lvlText w:val="%1."/>
      <w:lvlJc w:val="left"/>
      <w:pPr>
        <w:ind w:left="720" w:hanging="360"/>
      </w:pPr>
      <w:rPr>
        <w:rFonts w:eastAsia="Arial" w:cs="Arial"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3FC4D94"/>
    <w:multiLevelType w:val="multilevel"/>
    <w:tmpl w:val="D5526456"/>
    <w:lvl w:ilvl="0">
      <w:start w:val="2"/>
      <w:numFmt w:val="decimal"/>
      <w:lvlText w:val="%1."/>
      <w:lvlJc w:val="left"/>
      <w:rPr>
        <w:rFonts w:ascii="Arial" w:eastAsia="Arial" w:hAnsi="Arial" w:cs="Arial"/>
        <w:b w:val="0"/>
        <w:bCs w:val="0"/>
        <w:i/>
        <w:iCs/>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D4"/>
    <w:rsid w:val="001E016F"/>
    <w:rsid w:val="008A57D7"/>
    <w:rsid w:val="008F6BD4"/>
    <w:rsid w:val="00E13253"/>
    <w:rsid w:val="00F569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A5164"/>
  <w15:docId w15:val="{497B0FEC-2820-42DA-BC6E-2180AAD6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5">
    <w:name w:val="Cuerpo del texto (5)_"/>
    <w:basedOn w:val="Fuentedeprrafopredeter"/>
    <w:link w:val="Cuerpodeltexto50"/>
    <w:rPr>
      <w:rFonts w:ascii="Arial" w:eastAsia="Arial" w:hAnsi="Arial" w:cs="Arial"/>
      <w:b w:val="0"/>
      <w:bCs w:val="0"/>
      <w:i w:val="0"/>
      <w:iCs w:val="0"/>
      <w:smallCaps w:val="0"/>
      <w:strike w:val="0"/>
      <w:sz w:val="19"/>
      <w:szCs w:val="19"/>
      <w:u w:val="none"/>
    </w:rPr>
  </w:style>
  <w:style w:type="character" w:customStyle="1" w:styleId="Encabezamientoopiedepgina">
    <w:name w:val="Encabezamiento o pie de página_"/>
    <w:basedOn w:val="Fuentedeprrafopredeter"/>
    <w:link w:val="Encabezamientoopiedepgina0"/>
    <w:rPr>
      <w:rFonts w:ascii="Tahoma" w:eastAsia="Tahoma" w:hAnsi="Tahoma" w:cs="Tahoma"/>
      <w:b w:val="0"/>
      <w:bCs w:val="0"/>
      <w:i w:val="0"/>
      <w:iCs w:val="0"/>
      <w:smallCaps w:val="0"/>
      <w:strike w:val="0"/>
      <w:sz w:val="16"/>
      <w:szCs w:val="16"/>
      <w:u w:val="none"/>
    </w:rPr>
  </w:style>
  <w:style w:type="character" w:customStyle="1" w:styleId="EncabezamientoopiedepginaArial10pto">
    <w:name w:val="Encabezamiento o pie de página + Arial;10 pto"/>
    <w:basedOn w:val="Encabezamientoopiedepgina"/>
    <w:rPr>
      <w:rFonts w:ascii="Arial" w:eastAsia="Arial" w:hAnsi="Arial" w:cs="Arial"/>
      <w:b w:val="0"/>
      <w:bCs w:val="0"/>
      <w:i w:val="0"/>
      <w:iCs w:val="0"/>
      <w:smallCaps w:val="0"/>
      <w:strike w:val="0"/>
      <w:color w:val="000000"/>
      <w:spacing w:val="0"/>
      <w:w w:val="100"/>
      <w:position w:val="0"/>
      <w:sz w:val="20"/>
      <w:szCs w:val="20"/>
      <w:u w:val="none"/>
      <w:lang w:val="es-ES" w:eastAsia="es-ES" w:bidi="es-ES"/>
    </w:rPr>
  </w:style>
  <w:style w:type="character" w:customStyle="1" w:styleId="Cuerpodeltexto32">
    <w:name w:val="Cuerpo del texto (32)_"/>
    <w:basedOn w:val="Fuentedeprrafopredeter"/>
    <w:link w:val="Cuerpodeltexto320"/>
    <w:rPr>
      <w:rFonts w:ascii="Arial" w:eastAsia="Arial" w:hAnsi="Arial" w:cs="Arial"/>
      <w:b/>
      <w:bCs/>
      <w:i/>
      <w:iCs/>
      <w:smallCaps w:val="0"/>
      <w:strike w:val="0"/>
      <w:sz w:val="19"/>
      <w:szCs w:val="19"/>
      <w:u w:val="none"/>
    </w:rPr>
  </w:style>
  <w:style w:type="character" w:customStyle="1" w:styleId="Cuerpodeltexto321">
    <w:name w:val="Cuerpo del texto (32)"/>
    <w:basedOn w:val="Cuerpodeltexto32"/>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32SinnegritaSincursiva">
    <w:name w:val="Cuerpo del texto (32) + Sin negrita;Sin cursiva"/>
    <w:basedOn w:val="Cuerpodeltexto32"/>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44">
    <w:name w:val="Cuerpo del texto (44)_"/>
    <w:basedOn w:val="Fuentedeprrafopredeter"/>
    <w:link w:val="Cuerpodeltexto440"/>
    <w:rPr>
      <w:rFonts w:ascii="Arial" w:eastAsia="Arial" w:hAnsi="Arial" w:cs="Arial"/>
      <w:b w:val="0"/>
      <w:bCs w:val="0"/>
      <w:i/>
      <w:iCs/>
      <w:smallCaps w:val="0"/>
      <w:strike w:val="0"/>
      <w:sz w:val="20"/>
      <w:szCs w:val="20"/>
      <w:u w:val="none"/>
    </w:rPr>
  </w:style>
  <w:style w:type="character" w:customStyle="1" w:styleId="Cuerpodeltexto12">
    <w:name w:val="Cuerpo del texto (12)_"/>
    <w:basedOn w:val="Fuentedeprrafopredeter"/>
    <w:link w:val="Cuerpodeltexto120"/>
    <w:rPr>
      <w:rFonts w:ascii="Arial" w:eastAsia="Arial" w:hAnsi="Arial" w:cs="Arial"/>
      <w:b/>
      <w:bCs/>
      <w:i w:val="0"/>
      <w:iCs w:val="0"/>
      <w:smallCaps w:val="0"/>
      <w:strike w:val="0"/>
      <w:sz w:val="19"/>
      <w:szCs w:val="19"/>
      <w:u w:val="none"/>
    </w:rPr>
  </w:style>
  <w:style w:type="character" w:customStyle="1" w:styleId="Cuerpodeltexto1210ptoSinnegrita">
    <w:name w:val="Cuerpo del texto (12) + 10 pto;Sin negrita"/>
    <w:basedOn w:val="Cuerpodeltexto12"/>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Cuerpodeltexto2">
    <w:name w:val="Cuerpo del texto (2)_"/>
    <w:basedOn w:val="Fuentedeprrafopredeter"/>
    <w:link w:val="Cuerpodeltexto20"/>
    <w:rPr>
      <w:rFonts w:ascii="Arial" w:eastAsia="Arial" w:hAnsi="Arial" w:cs="Arial"/>
      <w:b w:val="0"/>
      <w:bCs w:val="0"/>
      <w:i/>
      <w:iCs/>
      <w:smallCaps w:val="0"/>
      <w:strike w:val="0"/>
      <w:sz w:val="20"/>
      <w:szCs w:val="20"/>
      <w:u w:val="none"/>
    </w:rPr>
  </w:style>
  <w:style w:type="character" w:customStyle="1" w:styleId="Cuerpodeltexto12Sinnegrita">
    <w:name w:val="Cuerpo del texto (12) + Sin negrita"/>
    <w:basedOn w:val="Cuerpodeltexto12"/>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Cuerpodeltexto33">
    <w:name w:val="Cuerpo del texto (33)_"/>
    <w:basedOn w:val="Fuentedeprrafopredeter"/>
    <w:link w:val="Cuerpodeltexto330"/>
    <w:rPr>
      <w:rFonts w:ascii="Arial" w:eastAsia="Arial" w:hAnsi="Arial" w:cs="Arial"/>
      <w:b/>
      <w:bCs/>
      <w:i w:val="0"/>
      <w:iCs w:val="0"/>
      <w:smallCaps w:val="0"/>
      <w:strike w:val="0"/>
      <w:sz w:val="18"/>
      <w:szCs w:val="18"/>
      <w:u w:val="none"/>
    </w:rPr>
  </w:style>
  <w:style w:type="character" w:customStyle="1" w:styleId="Cuerpodeltexto43">
    <w:name w:val="Cuerpo del texto (43)_"/>
    <w:basedOn w:val="Fuentedeprrafopredeter"/>
    <w:link w:val="Cuerpodeltexto430"/>
    <w:rPr>
      <w:rFonts w:ascii="Arial" w:eastAsia="Arial" w:hAnsi="Arial" w:cs="Arial"/>
      <w:b w:val="0"/>
      <w:bCs w:val="0"/>
      <w:i w:val="0"/>
      <w:iCs w:val="0"/>
      <w:smallCaps w:val="0"/>
      <w:strike w:val="0"/>
      <w:sz w:val="16"/>
      <w:szCs w:val="16"/>
      <w:u w:val="none"/>
    </w:rPr>
  </w:style>
  <w:style w:type="paragraph" w:customStyle="1" w:styleId="Cuerpodeltexto50">
    <w:name w:val="Cuerpo del texto (5)"/>
    <w:basedOn w:val="Normal"/>
    <w:link w:val="Cuerpodeltexto5"/>
    <w:pPr>
      <w:shd w:val="clear" w:color="auto" w:fill="FFFFFF"/>
      <w:spacing w:after="420" w:line="0" w:lineRule="atLeast"/>
      <w:ind w:hanging="160"/>
      <w:jc w:val="both"/>
    </w:pPr>
    <w:rPr>
      <w:rFonts w:ascii="Arial" w:eastAsia="Arial" w:hAnsi="Arial" w:cs="Arial"/>
      <w:sz w:val="19"/>
      <w:szCs w:val="19"/>
    </w:rPr>
  </w:style>
  <w:style w:type="paragraph" w:customStyle="1" w:styleId="Encabezamientoopiedepgina0">
    <w:name w:val="Encabezamiento o pie de página"/>
    <w:basedOn w:val="Normal"/>
    <w:link w:val="Encabezamientoopiedepgina"/>
    <w:pPr>
      <w:shd w:val="clear" w:color="auto" w:fill="FFFFFF"/>
      <w:spacing w:line="234" w:lineRule="exact"/>
      <w:jc w:val="both"/>
    </w:pPr>
    <w:rPr>
      <w:rFonts w:ascii="Tahoma" w:eastAsia="Tahoma" w:hAnsi="Tahoma" w:cs="Tahoma"/>
      <w:sz w:val="16"/>
      <w:szCs w:val="16"/>
    </w:rPr>
  </w:style>
  <w:style w:type="paragraph" w:customStyle="1" w:styleId="Cuerpodeltexto320">
    <w:name w:val="Cuerpo del texto (32)"/>
    <w:basedOn w:val="Normal"/>
    <w:link w:val="Cuerpodeltexto32"/>
    <w:pPr>
      <w:shd w:val="clear" w:color="auto" w:fill="FFFFFF"/>
      <w:spacing w:before="180" w:after="180" w:line="212" w:lineRule="exact"/>
      <w:ind w:hanging="260"/>
      <w:jc w:val="both"/>
    </w:pPr>
    <w:rPr>
      <w:rFonts w:ascii="Arial" w:eastAsia="Arial" w:hAnsi="Arial" w:cs="Arial"/>
      <w:b/>
      <w:bCs/>
      <w:i/>
      <w:iCs/>
      <w:sz w:val="19"/>
      <w:szCs w:val="19"/>
    </w:rPr>
  </w:style>
  <w:style w:type="paragraph" w:customStyle="1" w:styleId="Cuerpodeltexto440">
    <w:name w:val="Cuerpo del texto (44)"/>
    <w:basedOn w:val="Normal"/>
    <w:link w:val="Cuerpodeltexto44"/>
    <w:pPr>
      <w:shd w:val="clear" w:color="auto" w:fill="FFFFFF"/>
      <w:spacing w:after="180" w:line="248" w:lineRule="exact"/>
      <w:jc w:val="both"/>
    </w:pPr>
    <w:rPr>
      <w:rFonts w:ascii="Arial" w:eastAsia="Arial" w:hAnsi="Arial" w:cs="Arial"/>
      <w:i/>
      <w:iCs/>
      <w:sz w:val="20"/>
      <w:szCs w:val="20"/>
    </w:rPr>
  </w:style>
  <w:style w:type="paragraph" w:customStyle="1" w:styleId="Cuerpodeltexto120">
    <w:name w:val="Cuerpo del texto (12)"/>
    <w:basedOn w:val="Normal"/>
    <w:link w:val="Cuerpodeltexto12"/>
    <w:pPr>
      <w:shd w:val="clear" w:color="auto" w:fill="FFFFFF"/>
      <w:spacing w:before="180" w:after="180" w:line="223" w:lineRule="exact"/>
      <w:ind w:hanging="400"/>
      <w:jc w:val="both"/>
    </w:pPr>
    <w:rPr>
      <w:rFonts w:ascii="Arial" w:eastAsia="Arial" w:hAnsi="Arial" w:cs="Arial"/>
      <w:b/>
      <w:bCs/>
      <w:sz w:val="19"/>
      <w:szCs w:val="19"/>
    </w:rPr>
  </w:style>
  <w:style w:type="paragraph" w:customStyle="1" w:styleId="Cuerpodeltexto20">
    <w:name w:val="Cuerpo del texto (2)"/>
    <w:basedOn w:val="Normal"/>
    <w:link w:val="Cuerpodeltexto2"/>
    <w:pPr>
      <w:shd w:val="clear" w:color="auto" w:fill="FFFFFF"/>
      <w:spacing w:before="180" w:after="480" w:line="230" w:lineRule="exact"/>
      <w:jc w:val="both"/>
    </w:pPr>
    <w:rPr>
      <w:rFonts w:ascii="Arial" w:eastAsia="Arial" w:hAnsi="Arial" w:cs="Arial"/>
      <w:i/>
      <w:iCs/>
      <w:sz w:val="20"/>
      <w:szCs w:val="20"/>
    </w:rPr>
  </w:style>
  <w:style w:type="paragraph" w:customStyle="1" w:styleId="Cuerpodeltexto330">
    <w:name w:val="Cuerpo del texto (33)"/>
    <w:basedOn w:val="Normal"/>
    <w:link w:val="Cuerpodeltexto33"/>
    <w:pPr>
      <w:shd w:val="clear" w:color="auto" w:fill="FFFFFF"/>
      <w:spacing w:before="1320" w:line="212" w:lineRule="exact"/>
      <w:jc w:val="both"/>
    </w:pPr>
    <w:rPr>
      <w:rFonts w:ascii="Arial" w:eastAsia="Arial" w:hAnsi="Arial" w:cs="Arial"/>
      <w:b/>
      <w:bCs/>
      <w:sz w:val="18"/>
      <w:szCs w:val="18"/>
    </w:rPr>
  </w:style>
  <w:style w:type="paragraph" w:customStyle="1" w:styleId="Cuerpodeltexto430">
    <w:name w:val="Cuerpo del texto (43)"/>
    <w:basedOn w:val="Normal"/>
    <w:link w:val="Cuerpodeltexto43"/>
    <w:pPr>
      <w:shd w:val="clear" w:color="auto" w:fill="FFFFFF"/>
      <w:spacing w:before="180" w:line="0" w:lineRule="atLeast"/>
      <w:jc w:val="both"/>
    </w:pPr>
    <w:rPr>
      <w:rFonts w:ascii="Arial" w:eastAsia="Arial" w:hAnsi="Arial" w:cs="Arial"/>
      <w:sz w:val="16"/>
      <w:szCs w:val="16"/>
    </w:rPr>
  </w:style>
  <w:style w:type="paragraph" w:styleId="Sinespaciado">
    <w:name w:val="No Spacing"/>
    <w:uiPriority w:val="1"/>
    <w:qFormat/>
    <w:rsid w:val="00F569AB"/>
    <w:rPr>
      <w:color w:val="000000"/>
    </w:rPr>
  </w:style>
  <w:style w:type="paragraph" w:styleId="Encabezado">
    <w:name w:val="header"/>
    <w:basedOn w:val="Normal"/>
    <w:link w:val="EncabezadoCar"/>
    <w:uiPriority w:val="99"/>
    <w:unhideWhenUsed/>
    <w:rsid w:val="00F569AB"/>
    <w:pPr>
      <w:tabs>
        <w:tab w:val="center" w:pos="4419"/>
        <w:tab w:val="right" w:pos="8838"/>
      </w:tabs>
    </w:pPr>
  </w:style>
  <w:style w:type="character" w:customStyle="1" w:styleId="EncabezadoCar">
    <w:name w:val="Encabezado Car"/>
    <w:basedOn w:val="Fuentedeprrafopredeter"/>
    <w:link w:val="Encabezado"/>
    <w:uiPriority w:val="99"/>
    <w:rsid w:val="00F569AB"/>
    <w:rPr>
      <w:color w:val="000000"/>
    </w:rPr>
  </w:style>
  <w:style w:type="paragraph" w:styleId="Piedepgina">
    <w:name w:val="footer"/>
    <w:basedOn w:val="Normal"/>
    <w:link w:val="PiedepginaCar"/>
    <w:uiPriority w:val="99"/>
    <w:unhideWhenUsed/>
    <w:rsid w:val="00F569AB"/>
    <w:pPr>
      <w:tabs>
        <w:tab w:val="center" w:pos="4419"/>
        <w:tab w:val="right" w:pos="8838"/>
      </w:tabs>
    </w:pPr>
  </w:style>
  <w:style w:type="character" w:customStyle="1" w:styleId="PiedepginaCar">
    <w:name w:val="Pie de página Car"/>
    <w:basedOn w:val="Fuentedeprrafopredeter"/>
    <w:link w:val="Piedepgina"/>
    <w:uiPriority w:val="99"/>
    <w:rsid w:val="00F569A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1146</Words>
  <Characters>6308</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CNETCO</dc:creator>
  <cp:lastModifiedBy>CNETCO</cp:lastModifiedBy>
  <cp:revision>2</cp:revision>
  <dcterms:created xsi:type="dcterms:W3CDTF">2020-11-01T00:20:00Z</dcterms:created>
  <dcterms:modified xsi:type="dcterms:W3CDTF">2020-11-01T00:20:00Z</dcterms:modified>
</cp:coreProperties>
</file>