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67FF" w14:textId="7DF2B2F6" w:rsidR="006F5325" w:rsidRPr="00A70E93" w:rsidRDefault="00A70E93" w:rsidP="00A70E93">
      <w:pPr>
        <w:pStyle w:val="Sinespaciado"/>
        <w:jc w:val="both"/>
        <w:rPr>
          <w:rFonts w:ascii="Verdana" w:hAnsi="Verdana"/>
          <w:b/>
          <w:bCs/>
        </w:rPr>
      </w:pPr>
      <w:r w:rsidRPr="00A70E93">
        <w:rPr>
          <w:rFonts w:ascii="Verdana" w:hAnsi="Verdana"/>
          <w:b/>
          <w:bCs/>
        </w:rPr>
        <w:t>CONCEPTO 1182 DEL 28 DE SEPTIEMBRE DE 2020</w:t>
      </w:r>
    </w:p>
    <w:p w14:paraId="62C8755C" w14:textId="6F0F50EF" w:rsidR="00A70E93" w:rsidRPr="00A70E93" w:rsidRDefault="00A70E93" w:rsidP="00A70E93">
      <w:pPr>
        <w:pStyle w:val="Sinespaciado"/>
        <w:jc w:val="both"/>
        <w:rPr>
          <w:rFonts w:ascii="Verdana" w:hAnsi="Verdana"/>
          <w:b/>
          <w:bCs/>
        </w:rPr>
      </w:pPr>
      <w:r w:rsidRPr="00A70E93">
        <w:rPr>
          <w:rFonts w:ascii="Verdana" w:hAnsi="Verdana"/>
          <w:b/>
          <w:bCs/>
        </w:rPr>
        <w:t>DIRECCIÓN DE IMPUESTOS Y ADUANAS NACIONALES</w:t>
      </w:r>
    </w:p>
    <w:p w14:paraId="2CB88D3C" w14:textId="77777777" w:rsidR="006F5325" w:rsidRPr="00A70E93" w:rsidRDefault="006F5325" w:rsidP="00A70E93">
      <w:pPr>
        <w:pStyle w:val="Sinespaciado"/>
        <w:jc w:val="both"/>
        <w:rPr>
          <w:rFonts w:ascii="Verdana" w:hAnsi="Verdana"/>
        </w:rPr>
      </w:pPr>
    </w:p>
    <w:p w14:paraId="3F0F0A58" w14:textId="59FA28C0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3F0C99C0" w14:textId="77777777" w:rsidR="006F5325" w:rsidRPr="00A70E93" w:rsidRDefault="006F5325" w:rsidP="00A70E93">
      <w:pPr>
        <w:pStyle w:val="Sinespaciado"/>
        <w:jc w:val="both"/>
        <w:rPr>
          <w:rFonts w:ascii="Verdana" w:hAnsi="Verdana"/>
        </w:rPr>
      </w:pPr>
    </w:p>
    <w:p w14:paraId="53BD5BEB" w14:textId="220B99F5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  <w:b/>
          <w:bCs/>
        </w:rPr>
        <w:t>Tema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A70E93">
        <w:rPr>
          <w:rFonts w:ascii="Verdana" w:hAnsi="Verdana"/>
        </w:rPr>
        <w:t>Procedimiento tributario</w:t>
      </w:r>
    </w:p>
    <w:p w14:paraId="227C2469" w14:textId="4894EA15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  <w:b/>
          <w:bCs/>
        </w:rPr>
        <w:t>Descriptores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A70E93">
        <w:rPr>
          <w:rFonts w:ascii="Verdana" w:hAnsi="Verdana"/>
        </w:rPr>
        <w:t>Poderes especiales</w:t>
      </w:r>
    </w:p>
    <w:p w14:paraId="0F8D820D" w14:textId="533F8CB9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  <w:b/>
          <w:bCs/>
        </w:rPr>
        <w:t>Fuentes formales</w:t>
      </w:r>
      <w:r>
        <w:rPr>
          <w:rFonts w:ascii="Verdana" w:hAnsi="Verdana"/>
          <w:b/>
          <w:bCs/>
        </w:rPr>
        <w:tab/>
      </w:r>
      <w:r w:rsidRPr="00A70E93">
        <w:rPr>
          <w:rFonts w:ascii="Verdana" w:hAnsi="Verdana"/>
        </w:rPr>
        <w:t>Decreto Legislativo 806 de 2020</w:t>
      </w:r>
    </w:p>
    <w:p w14:paraId="58724938" w14:textId="77777777" w:rsidR="00A70E93" w:rsidRDefault="00A70E93" w:rsidP="00A70E93">
      <w:pPr>
        <w:pStyle w:val="Sinespaciado"/>
        <w:ind w:left="2124" w:firstLine="708"/>
        <w:jc w:val="both"/>
        <w:rPr>
          <w:rFonts w:ascii="Verdana" w:hAnsi="Verdana"/>
        </w:rPr>
      </w:pPr>
      <w:r w:rsidRPr="00A70E93">
        <w:rPr>
          <w:rFonts w:ascii="Verdana" w:hAnsi="Verdana"/>
        </w:rPr>
        <w:t>Artículo 5 del Decreto</w:t>
      </w:r>
      <w:r>
        <w:rPr>
          <w:rFonts w:ascii="Verdana" w:hAnsi="Verdana"/>
        </w:rPr>
        <w:t xml:space="preserve"> </w:t>
      </w:r>
      <w:r w:rsidRPr="00A70E93">
        <w:rPr>
          <w:rFonts w:ascii="Verdana" w:hAnsi="Verdana"/>
        </w:rPr>
        <w:t>Ley 019 de 2012</w:t>
      </w:r>
    </w:p>
    <w:p w14:paraId="42C2DF26" w14:textId="02E2F8E0" w:rsidR="006F5325" w:rsidRPr="00A70E93" w:rsidRDefault="00A70E93" w:rsidP="00A70E93">
      <w:pPr>
        <w:pStyle w:val="Sinespaciado"/>
        <w:ind w:left="2124" w:firstLine="708"/>
        <w:jc w:val="both"/>
        <w:rPr>
          <w:rFonts w:ascii="Verdana" w:hAnsi="Verdana"/>
        </w:rPr>
      </w:pPr>
      <w:r w:rsidRPr="00A70E93">
        <w:rPr>
          <w:rFonts w:ascii="Verdana" w:hAnsi="Verdana"/>
        </w:rPr>
        <w:t>Artículo 74 de la Ley 1564 de 2012</w:t>
      </w:r>
    </w:p>
    <w:p w14:paraId="62C21DAF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48F79802" w14:textId="336FCAC1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Cordial saludo</w:t>
      </w:r>
    </w:p>
    <w:p w14:paraId="4722646E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5D8F7172" w14:textId="4BF9BF08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2B56D75A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630011C1" w14:textId="0D73B797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Mediante el radicado de la referencia, el peticionario realiza las siguientes consultas, las cuales serán resueltas por este Despacho en el orden en que fueron propuestas, así:</w:t>
      </w:r>
    </w:p>
    <w:p w14:paraId="64E859E9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bookmarkStart w:id="0" w:name="bookmark0"/>
    </w:p>
    <w:p w14:paraId="14B6162C" w14:textId="5D553134" w:rsidR="006F5325" w:rsidRPr="00A70E93" w:rsidRDefault="00A70E93" w:rsidP="00A70E93">
      <w:pPr>
        <w:pStyle w:val="Sinespaciado"/>
        <w:numPr>
          <w:ilvl w:val="0"/>
          <w:numId w:val="2"/>
        </w:numPr>
        <w:jc w:val="both"/>
        <w:rPr>
          <w:rFonts w:ascii="Verdana" w:hAnsi="Verdana"/>
          <w:b/>
          <w:bCs/>
        </w:rPr>
      </w:pPr>
      <w:r w:rsidRPr="00A70E93">
        <w:rPr>
          <w:rFonts w:ascii="Verdana" w:hAnsi="Verdana"/>
          <w:b/>
          <w:bCs/>
        </w:rPr>
        <w:t>¿Son v</w:t>
      </w:r>
      <w:r>
        <w:rPr>
          <w:rFonts w:ascii="Verdana" w:hAnsi="Verdana"/>
          <w:b/>
          <w:bCs/>
        </w:rPr>
        <w:t>á</w:t>
      </w:r>
      <w:r w:rsidRPr="00A70E93">
        <w:rPr>
          <w:rFonts w:ascii="Verdana" w:hAnsi="Verdana"/>
          <w:b/>
          <w:bCs/>
        </w:rPr>
        <w:t>lidos los poderes especiales para la interposición de recursos ante la DIAN, a los cuales se les hubiese impreso la firma digital de que trata la Ley 527 de 1999?</w:t>
      </w:r>
      <w:bookmarkEnd w:id="0"/>
    </w:p>
    <w:p w14:paraId="4007EDF9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287D4F88" w14:textId="284D7ED8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En primer lugar, es pertinente resaltar que (i) la presentación de escritos y recursos de que trata el artículo 559 del Estatuto Tributario y (ii) los requisitos legales que deben contener los poderes especiales para las actuaciones y procedimientos ante la DIAN, son asuntos diferentes.</w:t>
      </w:r>
    </w:p>
    <w:p w14:paraId="62D65FBC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6A60DB10" w14:textId="2CFFAC2F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Respecto a la presentación de escritos y recursos de que trata el artículo 559 del Estatuto Tributario, ésta se puede realizar en forma personal o el</w:t>
      </w:r>
      <w:r>
        <w:rPr>
          <w:rFonts w:ascii="Verdana" w:hAnsi="Verdana"/>
        </w:rPr>
        <w:t>e</w:t>
      </w:r>
      <w:r w:rsidRPr="00A70E93">
        <w:rPr>
          <w:rFonts w:ascii="Verdana" w:hAnsi="Verdana"/>
        </w:rPr>
        <w:t>ctr</w:t>
      </w:r>
      <w:r>
        <w:rPr>
          <w:rFonts w:ascii="Verdana" w:hAnsi="Verdana"/>
        </w:rPr>
        <w:t>ó</w:t>
      </w:r>
      <w:r w:rsidRPr="00A70E93">
        <w:rPr>
          <w:rFonts w:ascii="Verdana" w:hAnsi="Verdana"/>
        </w:rPr>
        <w:t>nica, y debe interpretarse en armonía con el artículo 724 del mismo estatuto. Sin embargo, debe tenerse en cuenta que, dado que la presentación electrónica de los escritos y recursos a</w:t>
      </w:r>
      <w:r>
        <w:rPr>
          <w:rFonts w:ascii="Verdana" w:hAnsi="Verdana"/>
        </w:rPr>
        <w:t>ú</w:t>
      </w:r>
      <w:r w:rsidRPr="00A70E93">
        <w:rPr>
          <w:rFonts w:ascii="Verdana" w:hAnsi="Verdana"/>
        </w:rPr>
        <w:t xml:space="preserve">n no se ha regulado en los términos previstos en el numeral 2 del artículo 559 del Estatuto Tributario, </w:t>
      </w:r>
      <w:r w:rsidRPr="00A70E93">
        <w:rPr>
          <w:rStyle w:val="Cuerpodeltexto51"/>
          <w:rFonts w:ascii="Verdana" w:hAnsi="Verdana"/>
          <w:sz w:val="24"/>
          <w:szCs w:val="24"/>
        </w:rPr>
        <w:t>solamente procede la presentación personal</w:t>
      </w:r>
      <w:r w:rsidRPr="00A70E93">
        <w:rPr>
          <w:rFonts w:ascii="Verdana" w:hAnsi="Verdana"/>
        </w:rPr>
        <w:t xml:space="preserve">. Sobre este asunto, </w:t>
      </w:r>
      <w:r w:rsidRPr="00A70E93">
        <w:rPr>
          <w:rFonts w:ascii="Verdana" w:hAnsi="Verdana"/>
        </w:rPr>
        <w:lastRenderedPageBreak/>
        <w:t>este Despacho se pronunció mediante Oficio No. 061350 de 2014 y Concepto 001350 de 2019.</w:t>
      </w:r>
    </w:p>
    <w:p w14:paraId="4C80AAC5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20C0D9AB" w14:textId="677D49AF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 xml:space="preserve">Tema diferente son los requisitos legales que deben cumplir los poderes especiales para las actuaciones y procedimientos ante la Administración Tributaria, para lo cual se sugiere la lectura del artículo 74 del Código General del Proceso y el artículo 5 del Decreto Ley 019 de 2012. De estas disposiciones normativas se desprende que se pueden conferir poderes especiales por mensaje de datos con firma digital, </w:t>
      </w:r>
      <w:r w:rsidRPr="00A70E93">
        <w:rPr>
          <w:rStyle w:val="Cuerpodeltexto51"/>
          <w:rFonts w:ascii="Verdana" w:hAnsi="Verdana"/>
          <w:sz w:val="24"/>
          <w:szCs w:val="24"/>
        </w:rPr>
        <w:t>pero éstos deben cumplir con la obligación de presentación personal en los términos previstos en las anteriores disposiciones</w:t>
      </w:r>
      <w:r w:rsidRPr="00A70E93">
        <w:rPr>
          <w:rFonts w:ascii="Verdana" w:hAnsi="Verdana"/>
        </w:rPr>
        <w:t>. Sobre este asunto, este Despacho se pronunció a través de Oficio No. 053699 de 2014.</w:t>
      </w:r>
    </w:p>
    <w:p w14:paraId="29CBD151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bookmarkStart w:id="1" w:name="bookmark1"/>
    </w:p>
    <w:p w14:paraId="216B3B55" w14:textId="18BE90D9" w:rsidR="006F5325" w:rsidRPr="00A70E93" w:rsidRDefault="00A70E93" w:rsidP="00A70E93">
      <w:pPr>
        <w:pStyle w:val="Sinespaciado"/>
        <w:numPr>
          <w:ilvl w:val="0"/>
          <w:numId w:val="2"/>
        </w:numPr>
        <w:jc w:val="both"/>
        <w:rPr>
          <w:rFonts w:ascii="Verdana" w:hAnsi="Verdana"/>
          <w:b/>
          <w:bCs/>
        </w:rPr>
      </w:pPr>
      <w:r w:rsidRPr="00A70E93">
        <w:rPr>
          <w:rFonts w:ascii="Verdana" w:hAnsi="Verdana"/>
          <w:b/>
          <w:bCs/>
        </w:rPr>
        <w:t>¿La DIAN dará aplicación a lo establecido en el artículo 5° del Decreto Legislativo 806 de 2020?</w:t>
      </w:r>
      <w:bookmarkEnd w:id="1"/>
    </w:p>
    <w:p w14:paraId="5653F6FF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29CFE6ED" w14:textId="2D41F4AA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El artículo 5° del Decreto Legislativo 806 de 2020 establece que:</w:t>
      </w:r>
    </w:p>
    <w:p w14:paraId="618199E0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27DACAAC" w14:textId="0C55D528" w:rsidR="006F5325" w:rsidRPr="00A70E93" w:rsidRDefault="00A70E93" w:rsidP="00A70E93">
      <w:pPr>
        <w:pStyle w:val="Sinespaciado"/>
        <w:ind w:left="708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  <w:sz w:val="22"/>
          <w:szCs w:val="22"/>
        </w:rPr>
        <w:t>“</w:t>
      </w:r>
      <w:r w:rsidRPr="00A70E93">
        <w:rPr>
          <w:rFonts w:ascii="Verdana" w:hAnsi="Verdana"/>
          <w:i/>
          <w:iCs/>
          <w:sz w:val="22"/>
          <w:szCs w:val="22"/>
        </w:rPr>
        <w:t xml:space="preserve">Artículo 5°. Poderes. Los poderes especiales </w:t>
      </w:r>
      <w:r w:rsidRPr="00A70E93">
        <w:rPr>
          <w:rStyle w:val="Cuerpodeltexto441"/>
          <w:rFonts w:ascii="Verdana" w:hAnsi="Verdana"/>
          <w:sz w:val="22"/>
          <w:szCs w:val="22"/>
        </w:rPr>
        <w:t>para cualquier actuación judicial</w:t>
      </w:r>
      <w:r w:rsidRPr="00A70E93">
        <w:rPr>
          <w:rFonts w:ascii="Verdana" w:hAnsi="Verdana"/>
          <w:i/>
          <w:iCs/>
          <w:sz w:val="22"/>
          <w:szCs w:val="22"/>
        </w:rPr>
        <w:t xml:space="preserve"> se podrán conferir mediante mensaje de datos, sin firma manuscrita o digital, con la sola antefirma, se presumirán auténticos y no requerirán de ninguna presentación personal o reconocimiento.</w:t>
      </w:r>
    </w:p>
    <w:p w14:paraId="3272A82C" w14:textId="77777777" w:rsidR="00A70E93" w:rsidRDefault="00A70E93" w:rsidP="00A70E93">
      <w:pPr>
        <w:pStyle w:val="Sinespaciado"/>
        <w:ind w:left="708"/>
        <w:jc w:val="both"/>
        <w:rPr>
          <w:rFonts w:ascii="Verdana" w:hAnsi="Verdana"/>
          <w:i/>
          <w:iCs/>
          <w:sz w:val="22"/>
          <w:szCs w:val="22"/>
        </w:rPr>
      </w:pPr>
    </w:p>
    <w:p w14:paraId="0F9DE149" w14:textId="53DF23F1" w:rsidR="006F5325" w:rsidRPr="00A70E93" w:rsidRDefault="00A70E93" w:rsidP="00A70E93">
      <w:pPr>
        <w:pStyle w:val="Sinespaciado"/>
        <w:ind w:left="708"/>
        <w:jc w:val="both"/>
        <w:rPr>
          <w:rFonts w:ascii="Verdana" w:hAnsi="Verdana"/>
          <w:sz w:val="22"/>
          <w:szCs w:val="22"/>
        </w:rPr>
      </w:pPr>
      <w:r w:rsidRPr="00A70E93">
        <w:rPr>
          <w:rFonts w:ascii="Verdana" w:hAnsi="Verdana"/>
          <w:i/>
          <w:iCs/>
          <w:sz w:val="22"/>
          <w:szCs w:val="22"/>
        </w:rPr>
        <w:t xml:space="preserve">En el poder se indicará expresamente la dirección de correo electrónico del apoderado </w:t>
      </w:r>
      <w:r w:rsidRPr="00A70E93">
        <w:rPr>
          <w:rStyle w:val="Cuerpodeltexto441"/>
          <w:rFonts w:ascii="Verdana" w:hAnsi="Verdana"/>
          <w:sz w:val="22"/>
          <w:szCs w:val="22"/>
        </w:rPr>
        <w:t>que deberá coincidir con la inscrita en el Registro Nacional de Abogados</w:t>
      </w:r>
      <w:r w:rsidRPr="00A70E93">
        <w:rPr>
          <w:rFonts w:ascii="Verdana" w:hAnsi="Verdana"/>
          <w:sz w:val="22"/>
          <w:szCs w:val="22"/>
        </w:rPr>
        <w:t>.</w:t>
      </w:r>
    </w:p>
    <w:p w14:paraId="6C66F876" w14:textId="77777777" w:rsidR="00A70E93" w:rsidRDefault="00A70E93" w:rsidP="00A70E93">
      <w:pPr>
        <w:pStyle w:val="Sinespaciado"/>
        <w:ind w:left="708"/>
        <w:jc w:val="both"/>
        <w:rPr>
          <w:rFonts w:ascii="Verdana" w:hAnsi="Verdana"/>
          <w:i/>
          <w:iCs/>
          <w:sz w:val="22"/>
          <w:szCs w:val="22"/>
        </w:rPr>
      </w:pPr>
    </w:p>
    <w:p w14:paraId="36D854DC" w14:textId="4556C2E0" w:rsidR="006F5325" w:rsidRPr="00A70E93" w:rsidRDefault="00A70E93" w:rsidP="00A70E93">
      <w:pPr>
        <w:pStyle w:val="Sinespaciado"/>
        <w:ind w:left="708"/>
        <w:jc w:val="both"/>
        <w:rPr>
          <w:rFonts w:ascii="Verdana" w:hAnsi="Verdana"/>
        </w:rPr>
      </w:pPr>
      <w:r w:rsidRPr="00A70E93">
        <w:rPr>
          <w:rFonts w:ascii="Verdana" w:hAnsi="Verdana"/>
          <w:i/>
          <w:iCs/>
          <w:sz w:val="22"/>
          <w:szCs w:val="22"/>
        </w:rPr>
        <w:t>Los poderes otorgados por personas inscritas en el registro mercantil, deberán ser remitidos desde la dirección de correo electrónico inscrita para recibir notificaciones judiciales.”</w:t>
      </w:r>
    </w:p>
    <w:p w14:paraId="18F8DA01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243C3D43" w14:textId="2C7ED688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 xml:space="preserve">La anterior disposición normativa </w:t>
      </w:r>
      <w:r w:rsidRPr="00A70E93">
        <w:rPr>
          <w:rFonts w:ascii="Verdana" w:hAnsi="Verdana"/>
          <w:u w:val="single"/>
        </w:rPr>
        <w:t>no</w:t>
      </w:r>
      <w:r w:rsidRPr="00A70E93">
        <w:rPr>
          <w:rFonts w:ascii="Verdana" w:hAnsi="Verdana"/>
        </w:rPr>
        <w:t xml:space="preserve"> aplica para las actuaciones y procedimientos ante la DIAN, teniendo en cuenta que ésta consagra una disposición particular para las </w:t>
      </w:r>
      <w:r w:rsidRPr="00A70E93">
        <w:rPr>
          <w:rStyle w:val="Cuerpodeltexto51"/>
          <w:rFonts w:ascii="Verdana" w:hAnsi="Verdana"/>
          <w:sz w:val="24"/>
          <w:szCs w:val="24"/>
        </w:rPr>
        <w:t>actuaciones judiciales</w:t>
      </w:r>
      <w:r w:rsidRPr="00A70E93">
        <w:rPr>
          <w:rFonts w:ascii="Verdana" w:hAnsi="Verdana"/>
        </w:rPr>
        <w:t>.</w:t>
      </w:r>
    </w:p>
    <w:p w14:paraId="51A245EE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3606F5CD" w14:textId="2946E128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En los anteriores términos se resuelve su solicitud y finalmente le manifestamos que la Dirección de Impuestos y Aduanas Nacionales-DIAN-, con el fin de facilitar a los contribuyentes, usuarios y público en general el acceso directo a sus pronunciamientos doctrinarios, ha publicado en su página de internet www.dian.gov.co</w:t>
      </w:r>
      <w:r w:rsidRPr="00A70E93">
        <w:rPr>
          <w:rFonts w:ascii="Verdana" w:hAnsi="Verdana"/>
          <w:lang w:val="en-US" w:eastAsia="en-US" w:bidi="en-US"/>
        </w:rPr>
        <w:t xml:space="preserve">, </w:t>
      </w:r>
      <w:r w:rsidRPr="00A70E93">
        <w:rPr>
          <w:rFonts w:ascii="Verdana" w:hAnsi="Verdana"/>
        </w:rPr>
        <w:t>la base de conceptos en materia tributaria, aduanera y cambiaria expedidos desde el año 2001, la cual se puede ingresar por el icono de “Normatividad” -</w:t>
      </w:r>
      <w:r>
        <w:rPr>
          <w:rFonts w:ascii="Verdana" w:hAnsi="Verdana"/>
        </w:rPr>
        <w:t xml:space="preserve"> </w:t>
      </w:r>
      <w:r w:rsidRPr="00A70E93">
        <w:rPr>
          <w:rFonts w:ascii="Verdana" w:hAnsi="Verdana"/>
        </w:rPr>
        <w:t>“Doctrina”</w:t>
      </w:r>
      <w:r w:rsidRPr="00A70E93">
        <w:rPr>
          <w:rFonts w:ascii="Verdana" w:hAnsi="Verdana"/>
        </w:rPr>
        <w:softHyphen/>
        <w:t>, dando click en el link “Doctrina Dirección de Gestión Jurídica”.</w:t>
      </w:r>
    </w:p>
    <w:p w14:paraId="441097BC" w14:textId="77777777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lastRenderedPageBreak/>
        <w:t>Atentamente,</w:t>
      </w:r>
    </w:p>
    <w:p w14:paraId="4C23FC58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bookmarkStart w:id="2" w:name="bookmark2"/>
    </w:p>
    <w:p w14:paraId="2D3E63A4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769A5E30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4B99CE1B" w14:textId="4D815B5A" w:rsidR="006F5325" w:rsidRPr="00A70E93" w:rsidRDefault="00A70E93" w:rsidP="00A70E93">
      <w:pPr>
        <w:pStyle w:val="Sinespaciado"/>
        <w:jc w:val="both"/>
        <w:rPr>
          <w:rFonts w:ascii="Verdana" w:hAnsi="Verdana"/>
          <w:b/>
          <w:bCs/>
        </w:rPr>
      </w:pPr>
      <w:r w:rsidRPr="00A70E93">
        <w:rPr>
          <w:rFonts w:ascii="Verdana" w:hAnsi="Verdana"/>
          <w:b/>
          <w:bCs/>
        </w:rPr>
        <w:t>PABLO EMILIO MENDOZA VELILLA</w:t>
      </w:r>
      <w:bookmarkEnd w:id="2"/>
    </w:p>
    <w:p w14:paraId="21D4F402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Subdirector de Gestión Normativa y Doctrina</w:t>
      </w:r>
    </w:p>
    <w:p w14:paraId="5AE13F66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Dirección de Gestión Jurídica</w:t>
      </w:r>
    </w:p>
    <w:p w14:paraId="6684AE3C" w14:textId="336F962E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UAE-DIAN</w:t>
      </w:r>
    </w:p>
    <w:p w14:paraId="34A38857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Car. 8 N° 6C-38 Piso 4, Edificio San Agustín</w:t>
      </w:r>
    </w:p>
    <w:p w14:paraId="0B1D1821" w14:textId="48C12489" w:rsidR="006F5325" w:rsidRPr="00A70E93" w:rsidRDefault="00A70E93" w:rsidP="00A70E93">
      <w:pPr>
        <w:pStyle w:val="Sinespaciado"/>
        <w:jc w:val="both"/>
        <w:rPr>
          <w:rFonts w:ascii="Verdana" w:hAnsi="Verdana"/>
        </w:rPr>
      </w:pPr>
      <w:r w:rsidRPr="00A70E93">
        <w:rPr>
          <w:rFonts w:ascii="Verdana" w:hAnsi="Verdana"/>
        </w:rPr>
        <w:t>Bogotá D.C.</w:t>
      </w:r>
    </w:p>
    <w:p w14:paraId="54277906" w14:textId="77777777" w:rsidR="00A70E93" w:rsidRDefault="00A70E93" w:rsidP="00A70E93">
      <w:pPr>
        <w:pStyle w:val="Sinespaciado"/>
        <w:jc w:val="both"/>
        <w:rPr>
          <w:rFonts w:ascii="Verdana" w:hAnsi="Verdana"/>
        </w:rPr>
      </w:pPr>
    </w:p>
    <w:p w14:paraId="763365C7" w14:textId="00B25304" w:rsidR="006F5325" w:rsidRPr="00A70E93" w:rsidRDefault="00A70E93" w:rsidP="00A70E93">
      <w:pPr>
        <w:pStyle w:val="Sinespaciado"/>
        <w:jc w:val="both"/>
        <w:rPr>
          <w:rFonts w:ascii="Verdana" w:hAnsi="Verdana"/>
          <w:sz w:val="20"/>
          <w:szCs w:val="20"/>
        </w:rPr>
      </w:pPr>
      <w:r w:rsidRPr="00A70E93">
        <w:rPr>
          <w:rFonts w:ascii="Verdana" w:hAnsi="Verdana"/>
          <w:sz w:val="20"/>
          <w:szCs w:val="20"/>
        </w:rPr>
        <w:t>Se adjunta: Oficio No. 061350 de 2014, Oficio No. 053699 de 2014 y Concepto 001350 de 2019.</w:t>
      </w:r>
    </w:p>
    <w:sectPr w:rsidR="006F5325" w:rsidRPr="00A70E93" w:rsidSect="00A70E93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69CF1" w14:textId="77777777" w:rsidR="00582747" w:rsidRDefault="00582747">
      <w:r>
        <w:separator/>
      </w:r>
    </w:p>
  </w:endnote>
  <w:endnote w:type="continuationSeparator" w:id="0">
    <w:p w14:paraId="5DD851BB" w14:textId="77777777" w:rsidR="00582747" w:rsidRDefault="0058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C1D4" w14:textId="77777777" w:rsidR="00582747" w:rsidRDefault="00582747"/>
  </w:footnote>
  <w:footnote w:type="continuationSeparator" w:id="0">
    <w:p w14:paraId="34AB4071" w14:textId="77777777" w:rsidR="00582747" w:rsidRDefault="00582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D06"/>
    <w:multiLevelType w:val="multilevel"/>
    <w:tmpl w:val="EF8ED8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67CF2"/>
    <w:multiLevelType w:val="hybridMultilevel"/>
    <w:tmpl w:val="2F982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25"/>
    <w:rsid w:val="002B267A"/>
    <w:rsid w:val="00582747"/>
    <w:rsid w:val="006F5325"/>
    <w:rsid w:val="00A70E93"/>
    <w:rsid w:val="00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93D"/>
  <w15:docId w15:val="{9EBD0856-E1E4-4588-AA14-F271DBD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tulo13">
    <w:name w:val="Título #1 (3)_"/>
    <w:basedOn w:val="Fuentedeprrafopredeter"/>
    <w:link w:val="Ttulo1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 w:eastAsia="es-ES" w:bidi="es-ES"/>
    </w:rPr>
  </w:style>
  <w:style w:type="character" w:customStyle="1" w:styleId="Cuerpodeltexto44">
    <w:name w:val="Cuerpo del texto (44)_"/>
    <w:basedOn w:val="Fuentedeprrafopredeter"/>
    <w:link w:val="Cuerpodeltexto4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41">
    <w:name w:val="Cuerpo del texto (44)"/>
    <w:basedOn w:val="Cuerpodeltexto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52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uerpodeltexto14">
    <w:name w:val="Cuerpo del texto (14)_"/>
    <w:basedOn w:val="Fuentedeprrafopredeter"/>
    <w:link w:val="Cuerpodeltexto1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after="420" w:line="0" w:lineRule="atLeast"/>
      <w:ind w:hanging="160"/>
      <w:jc w:val="both"/>
    </w:pPr>
    <w:rPr>
      <w:rFonts w:ascii="Arial" w:eastAsia="Arial" w:hAnsi="Arial" w:cs="Arial"/>
      <w:sz w:val="19"/>
      <w:szCs w:val="19"/>
    </w:rPr>
  </w:style>
  <w:style w:type="paragraph" w:customStyle="1" w:styleId="Ttulo130">
    <w:name w:val="Título #1 (3)"/>
    <w:basedOn w:val="Normal"/>
    <w:link w:val="Ttulo13"/>
    <w:pPr>
      <w:shd w:val="clear" w:color="auto" w:fill="FFFFFF"/>
      <w:spacing w:before="1140" w:line="227" w:lineRule="exact"/>
      <w:ind w:hanging="400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uerpodeltexto440">
    <w:name w:val="Cuerpo del texto (44)"/>
    <w:basedOn w:val="Normal"/>
    <w:link w:val="Cuerpodeltexto44"/>
    <w:pPr>
      <w:shd w:val="clear" w:color="auto" w:fill="FFFFFF"/>
      <w:spacing w:after="180"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after="300" w:line="173" w:lineRule="exact"/>
    </w:pPr>
    <w:rPr>
      <w:rFonts w:ascii="Arial" w:eastAsia="Arial" w:hAnsi="Arial" w:cs="Arial"/>
      <w:sz w:val="15"/>
      <w:szCs w:val="15"/>
    </w:rPr>
  </w:style>
  <w:style w:type="paragraph" w:styleId="Sinespaciado">
    <w:name w:val="No Spacing"/>
    <w:uiPriority w:val="1"/>
    <w:qFormat/>
    <w:rsid w:val="00A70E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CNETCO</dc:creator>
  <cp:lastModifiedBy>CNETCO</cp:lastModifiedBy>
  <cp:revision>2</cp:revision>
  <dcterms:created xsi:type="dcterms:W3CDTF">2020-11-01T00:02:00Z</dcterms:created>
  <dcterms:modified xsi:type="dcterms:W3CDTF">2020-11-01T00:02:00Z</dcterms:modified>
</cp:coreProperties>
</file>