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3CAC7" w14:textId="77777777" w:rsidR="0071405C" w:rsidRDefault="0071405C" w:rsidP="0071405C">
      <w:pPr>
        <w:shd w:val="clear" w:color="auto" w:fill="FFFFFF"/>
        <w:jc w:val="center"/>
        <w:rPr>
          <w:rFonts w:eastAsia="Times New Roman" w:cs="Times New Roman"/>
          <w:b/>
          <w:bCs/>
          <w:color w:val="212529"/>
          <w:szCs w:val="24"/>
          <w:lang w:eastAsia="es-ES"/>
        </w:rPr>
      </w:pPr>
      <w:r w:rsidRPr="0071405C">
        <w:rPr>
          <w:rFonts w:eastAsia="Times New Roman" w:cs="Times New Roman"/>
          <w:b/>
          <w:bCs/>
          <w:color w:val="212529"/>
          <w:szCs w:val="24"/>
          <w:lang w:eastAsia="es-ES"/>
        </w:rPr>
        <w:t xml:space="preserve">OFICIO </w:t>
      </w:r>
      <w:proofErr w:type="spellStart"/>
      <w:r w:rsidRPr="0071405C">
        <w:rPr>
          <w:rFonts w:eastAsia="Times New Roman" w:cs="Times New Roman"/>
          <w:b/>
          <w:bCs/>
          <w:color w:val="212529"/>
          <w:szCs w:val="24"/>
          <w:lang w:eastAsia="es-ES"/>
        </w:rPr>
        <w:t>Nº</w:t>
      </w:r>
      <w:proofErr w:type="spellEnd"/>
      <w:r w:rsidRPr="0071405C">
        <w:rPr>
          <w:rFonts w:eastAsia="Times New Roman" w:cs="Times New Roman"/>
          <w:b/>
          <w:bCs/>
          <w:color w:val="212529"/>
          <w:szCs w:val="24"/>
          <w:lang w:eastAsia="es-ES"/>
        </w:rPr>
        <w:t xml:space="preserve"> 0289 [004887]</w:t>
      </w:r>
    </w:p>
    <w:p w14:paraId="53508442" w14:textId="1C7A7C4B" w:rsidR="0071405C" w:rsidRPr="0071405C" w:rsidRDefault="0071405C" w:rsidP="0071405C">
      <w:pPr>
        <w:shd w:val="clear" w:color="auto" w:fill="FFFFFF"/>
        <w:jc w:val="center"/>
        <w:rPr>
          <w:rFonts w:eastAsia="Times New Roman" w:cs="Times New Roman"/>
          <w:b/>
          <w:bCs/>
          <w:color w:val="212529"/>
          <w:szCs w:val="24"/>
          <w:lang w:eastAsia="es-ES"/>
        </w:rPr>
      </w:pPr>
      <w:r w:rsidRPr="0071405C">
        <w:rPr>
          <w:rFonts w:eastAsia="Times New Roman" w:cs="Times New Roman"/>
          <w:b/>
          <w:bCs/>
          <w:color w:val="212529"/>
          <w:szCs w:val="24"/>
          <w:lang w:eastAsia="es-ES"/>
        </w:rPr>
        <w:t>09-03-2020</w:t>
      </w:r>
    </w:p>
    <w:p w14:paraId="52EEB81C" w14:textId="77777777" w:rsidR="0071405C" w:rsidRPr="0071405C" w:rsidRDefault="0071405C" w:rsidP="0071405C">
      <w:pPr>
        <w:shd w:val="clear" w:color="auto" w:fill="FFFFFF"/>
        <w:jc w:val="center"/>
        <w:rPr>
          <w:rFonts w:eastAsia="Times New Roman" w:cs="Times New Roman"/>
          <w:b/>
          <w:bCs/>
          <w:color w:val="212529"/>
          <w:szCs w:val="24"/>
          <w:lang w:eastAsia="es-ES"/>
        </w:rPr>
      </w:pPr>
      <w:r w:rsidRPr="0071405C">
        <w:rPr>
          <w:rFonts w:eastAsia="Times New Roman" w:cs="Times New Roman"/>
          <w:b/>
          <w:bCs/>
          <w:color w:val="212529"/>
          <w:szCs w:val="24"/>
          <w:lang w:eastAsia="es-ES"/>
        </w:rPr>
        <w:t>DIAN</w:t>
      </w:r>
    </w:p>
    <w:p w14:paraId="2B19E5BC" w14:textId="77777777" w:rsidR="0071405C" w:rsidRPr="0071405C" w:rsidRDefault="0071405C" w:rsidP="0071405C">
      <w:pPr>
        <w:shd w:val="clear" w:color="auto" w:fill="FFFFFF"/>
        <w:spacing w:after="100" w:afterAutospacing="1"/>
        <w:rPr>
          <w:rFonts w:eastAsia="Times New Roman" w:cs="Times New Roman"/>
          <w:b/>
          <w:bCs/>
          <w:color w:val="212529"/>
          <w:szCs w:val="24"/>
          <w:lang w:eastAsia="es-ES"/>
        </w:rPr>
      </w:pPr>
      <w:r w:rsidRPr="0071405C">
        <w:rPr>
          <w:rFonts w:eastAsia="Times New Roman" w:cs="Times New Roman"/>
          <w:b/>
          <w:bCs/>
          <w:color w:val="212529"/>
          <w:szCs w:val="24"/>
          <w:lang w:eastAsia="es-ES"/>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91"/>
        <w:gridCol w:w="36"/>
        <w:gridCol w:w="36"/>
        <w:gridCol w:w="7593"/>
      </w:tblGrid>
      <w:tr w:rsidR="0071405C" w:rsidRPr="0071405C" w14:paraId="060042A2" w14:textId="77777777" w:rsidTr="0071405C">
        <w:tc>
          <w:tcPr>
            <w:tcW w:w="0" w:type="auto"/>
            <w:shd w:val="clear" w:color="auto" w:fill="FFFFFF"/>
            <w:vAlign w:val="center"/>
            <w:hideMark/>
          </w:tcPr>
          <w:p w14:paraId="1B8F35CA" w14:textId="77777777" w:rsidR="0071405C" w:rsidRPr="0071405C" w:rsidRDefault="0071405C" w:rsidP="0071405C">
            <w:pPr>
              <w:rPr>
                <w:rFonts w:eastAsia="Times New Roman" w:cs="Times New Roman"/>
                <w:color w:val="212529"/>
                <w:szCs w:val="24"/>
                <w:lang w:eastAsia="es-ES"/>
              </w:rPr>
            </w:pPr>
            <w:r w:rsidRPr="0071405C">
              <w:rPr>
                <w:rFonts w:eastAsia="Times New Roman" w:cs="Times New Roman"/>
                <w:b/>
                <w:bCs/>
                <w:color w:val="212529"/>
                <w:szCs w:val="24"/>
                <w:lang w:eastAsia="es-ES"/>
              </w:rPr>
              <w:t>Tema</w:t>
            </w:r>
          </w:p>
        </w:tc>
        <w:tc>
          <w:tcPr>
            <w:tcW w:w="0" w:type="auto"/>
            <w:shd w:val="clear" w:color="auto" w:fill="FFFFFF"/>
            <w:vAlign w:val="center"/>
            <w:hideMark/>
          </w:tcPr>
          <w:p w14:paraId="600F4DB7" w14:textId="77777777" w:rsidR="0071405C" w:rsidRPr="0071405C" w:rsidRDefault="0071405C" w:rsidP="0071405C">
            <w:pPr>
              <w:rPr>
                <w:rFonts w:eastAsia="Times New Roman" w:cs="Times New Roman"/>
                <w:color w:val="212529"/>
                <w:szCs w:val="24"/>
                <w:lang w:eastAsia="es-ES"/>
              </w:rPr>
            </w:pPr>
          </w:p>
        </w:tc>
        <w:tc>
          <w:tcPr>
            <w:tcW w:w="0" w:type="auto"/>
            <w:shd w:val="clear" w:color="auto" w:fill="FFFFFF"/>
            <w:vAlign w:val="center"/>
            <w:hideMark/>
          </w:tcPr>
          <w:p w14:paraId="46253C53" w14:textId="77777777" w:rsidR="0071405C" w:rsidRPr="0071405C" w:rsidRDefault="0071405C" w:rsidP="0071405C">
            <w:pPr>
              <w:rPr>
                <w:rFonts w:eastAsia="Times New Roman" w:cs="Times New Roman"/>
                <w:szCs w:val="24"/>
                <w:lang w:eastAsia="es-ES"/>
              </w:rPr>
            </w:pPr>
          </w:p>
        </w:tc>
        <w:tc>
          <w:tcPr>
            <w:tcW w:w="0" w:type="auto"/>
            <w:shd w:val="clear" w:color="auto" w:fill="FFFFFF"/>
            <w:vAlign w:val="center"/>
            <w:hideMark/>
          </w:tcPr>
          <w:p w14:paraId="1D8803A3" w14:textId="77777777" w:rsidR="0071405C" w:rsidRPr="0071405C" w:rsidRDefault="0071405C" w:rsidP="0071405C">
            <w:pPr>
              <w:rPr>
                <w:rFonts w:eastAsia="Times New Roman" w:cs="Times New Roman"/>
                <w:color w:val="212529"/>
                <w:szCs w:val="24"/>
                <w:lang w:eastAsia="es-ES"/>
              </w:rPr>
            </w:pPr>
            <w:r w:rsidRPr="0071405C">
              <w:rPr>
                <w:rFonts w:eastAsia="Times New Roman" w:cs="Times New Roman"/>
                <w:color w:val="212529"/>
                <w:szCs w:val="24"/>
                <w:lang w:eastAsia="es-ES"/>
              </w:rPr>
              <w:t>Impuesto a las ventas</w:t>
            </w:r>
          </w:p>
        </w:tc>
      </w:tr>
      <w:tr w:rsidR="0071405C" w:rsidRPr="0071405C" w14:paraId="2A15A836" w14:textId="77777777" w:rsidTr="0071405C">
        <w:tc>
          <w:tcPr>
            <w:tcW w:w="0" w:type="auto"/>
            <w:shd w:val="clear" w:color="auto" w:fill="FFFFFF"/>
            <w:vAlign w:val="center"/>
            <w:hideMark/>
          </w:tcPr>
          <w:p w14:paraId="53090017" w14:textId="77777777" w:rsidR="0071405C" w:rsidRPr="0071405C" w:rsidRDefault="0071405C" w:rsidP="0071405C">
            <w:pPr>
              <w:rPr>
                <w:rFonts w:eastAsia="Times New Roman" w:cs="Times New Roman"/>
                <w:color w:val="212529"/>
                <w:szCs w:val="24"/>
                <w:lang w:eastAsia="es-ES"/>
              </w:rPr>
            </w:pPr>
            <w:r w:rsidRPr="0071405C">
              <w:rPr>
                <w:rFonts w:eastAsia="Times New Roman" w:cs="Times New Roman"/>
                <w:b/>
                <w:bCs/>
                <w:color w:val="212529"/>
                <w:szCs w:val="24"/>
                <w:lang w:eastAsia="es-ES"/>
              </w:rPr>
              <w:t>Descriptores</w:t>
            </w:r>
          </w:p>
        </w:tc>
        <w:tc>
          <w:tcPr>
            <w:tcW w:w="0" w:type="auto"/>
            <w:shd w:val="clear" w:color="auto" w:fill="FFFFFF"/>
            <w:vAlign w:val="center"/>
            <w:hideMark/>
          </w:tcPr>
          <w:p w14:paraId="1B5557E3" w14:textId="77777777" w:rsidR="0071405C" w:rsidRPr="0071405C" w:rsidRDefault="0071405C" w:rsidP="0071405C">
            <w:pPr>
              <w:rPr>
                <w:rFonts w:eastAsia="Times New Roman" w:cs="Times New Roman"/>
                <w:color w:val="212529"/>
                <w:szCs w:val="24"/>
                <w:lang w:eastAsia="es-ES"/>
              </w:rPr>
            </w:pPr>
          </w:p>
        </w:tc>
        <w:tc>
          <w:tcPr>
            <w:tcW w:w="0" w:type="auto"/>
            <w:shd w:val="clear" w:color="auto" w:fill="FFFFFF"/>
            <w:vAlign w:val="center"/>
            <w:hideMark/>
          </w:tcPr>
          <w:p w14:paraId="341957AA" w14:textId="77777777" w:rsidR="0071405C" w:rsidRPr="0071405C" w:rsidRDefault="0071405C" w:rsidP="0071405C">
            <w:pPr>
              <w:rPr>
                <w:rFonts w:eastAsia="Times New Roman" w:cs="Times New Roman"/>
                <w:szCs w:val="24"/>
                <w:lang w:eastAsia="es-ES"/>
              </w:rPr>
            </w:pPr>
          </w:p>
        </w:tc>
        <w:tc>
          <w:tcPr>
            <w:tcW w:w="0" w:type="auto"/>
            <w:shd w:val="clear" w:color="auto" w:fill="FFFFFF"/>
            <w:vAlign w:val="center"/>
            <w:hideMark/>
          </w:tcPr>
          <w:p w14:paraId="4B44D113" w14:textId="4C6D9611" w:rsidR="0071405C" w:rsidRPr="0071405C" w:rsidRDefault="0071405C" w:rsidP="0071405C">
            <w:pPr>
              <w:rPr>
                <w:rFonts w:eastAsia="Times New Roman" w:cs="Times New Roman"/>
                <w:color w:val="212529"/>
                <w:szCs w:val="24"/>
                <w:lang w:eastAsia="es-ES"/>
              </w:rPr>
            </w:pPr>
            <w:r w:rsidRPr="0071405C">
              <w:rPr>
                <w:rFonts w:eastAsia="Times New Roman" w:cs="Times New Roman"/>
                <w:color w:val="212529"/>
                <w:szCs w:val="24"/>
                <w:lang w:eastAsia="es-ES"/>
              </w:rPr>
              <w:t>Bienes Exentos</w:t>
            </w:r>
            <w:r>
              <w:rPr>
                <w:rFonts w:eastAsia="Times New Roman" w:cs="Times New Roman"/>
                <w:color w:val="212529"/>
                <w:szCs w:val="24"/>
                <w:lang w:eastAsia="es-ES"/>
              </w:rPr>
              <w:t xml:space="preserve">: </w:t>
            </w:r>
            <w:r w:rsidRPr="0071405C">
              <w:rPr>
                <w:rFonts w:eastAsia="Times New Roman" w:cs="Times New Roman"/>
                <w:color w:val="212529"/>
                <w:szCs w:val="24"/>
                <w:lang w:eastAsia="es-ES"/>
              </w:rPr>
              <w:t>BIENES EXENTOS CON DERECHO A DEVOLUCIÓN BIMESTRAL.</w:t>
            </w:r>
          </w:p>
        </w:tc>
      </w:tr>
      <w:tr w:rsidR="0071405C" w:rsidRPr="0071405C" w14:paraId="7081B9CF" w14:textId="77777777" w:rsidTr="0071405C">
        <w:tc>
          <w:tcPr>
            <w:tcW w:w="0" w:type="auto"/>
            <w:shd w:val="clear" w:color="auto" w:fill="FFFFFF"/>
            <w:vAlign w:val="center"/>
            <w:hideMark/>
          </w:tcPr>
          <w:p w14:paraId="1BE2DF15" w14:textId="77777777" w:rsidR="0071405C" w:rsidRPr="0071405C" w:rsidRDefault="0071405C" w:rsidP="0071405C">
            <w:pPr>
              <w:rPr>
                <w:rFonts w:eastAsia="Times New Roman" w:cs="Times New Roman"/>
                <w:color w:val="212529"/>
                <w:szCs w:val="24"/>
                <w:lang w:eastAsia="es-ES"/>
              </w:rPr>
            </w:pPr>
            <w:r w:rsidRPr="0071405C">
              <w:rPr>
                <w:rFonts w:eastAsia="Times New Roman" w:cs="Times New Roman"/>
                <w:b/>
                <w:bCs/>
                <w:color w:val="212529"/>
                <w:szCs w:val="24"/>
                <w:lang w:eastAsia="es-ES"/>
              </w:rPr>
              <w:t>Fuentes formales</w:t>
            </w:r>
          </w:p>
        </w:tc>
        <w:tc>
          <w:tcPr>
            <w:tcW w:w="0" w:type="auto"/>
            <w:shd w:val="clear" w:color="auto" w:fill="FFFFFF"/>
            <w:vAlign w:val="center"/>
            <w:hideMark/>
          </w:tcPr>
          <w:p w14:paraId="6994FCB2" w14:textId="77777777" w:rsidR="0071405C" w:rsidRPr="0071405C" w:rsidRDefault="0071405C" w:rsidP="0071405C">
            <w:pPr>
              <w:rPr>
                <w:rFonts w:eastAsia="Times New Roman" w:cs="Times New Roman"/>
                <w:color w:val="212529"/>
                <w:szCs w:val="24"/>
                <w:lang w:eastAsia="es-ES"/>
              </w:rPr>
            </w:pPr>
          </w:p>
        </w:tc>
        <w:tc>
          <w:tcPr>
            <w:tcW w:w="0" w:type="auto"/>
            <w:shd w:val="clear" w:color="auto" w:fill="FFFFFF"/>
            <w:vAlign w:val="center"/>
            <w:hideMark/>
          </w:tcPr>
          <w:p w14:paraId="13AF313A" w14:textId="77777777" w:rsidR="0071405C" w:rsidRPr="0071405C" w:rsidRDefault="0071405C" w:rsidP="0071405C">
            <w:pPr>
              <w:rPr>
                <w:rFonts w:eastAsia="Times New Roman" w:cs="Times New Roman"/>
                <w:szCs w:val="24"/>
                <w:lang w:eastAsia="es-ES"/>
              </w:rPr>
            </w:pPr>
          </w:p>
        </w:tc>
        <w:tc>
          <w:tcPr>
            <w:tcW w:w="0" w:type="auto"/>
            <w:shd w:val="clear" w:color="auto" w:fill="FFFFFF"/>
            <w:vAlign w:val="center"/>
            <w:hideMark/>
          </w:tcPr>
          <w:p w14:paraId="43003B83" w14:textId="2322F95F" w:rsidR="0071405C" w:rsidRPr="0071405C" w:rsidRDefault="0071405C" w:rsidP="0071405C">
            <w:pPr>
              <w:rPr>
                <w:rFonts w:eastAsia="Times New Roman" w:cs="Times New Roman"/>
                <w:color w:val="212529"/>
                <w:szCs w:val="24"/>
                <w:lang w:eastAsia="es-ES"/>
              </w:rPr>
            </w:pPr>
            <w:r w:rsidRPr="0071405C">
              <w:rPr>
                <w:rFonts w:eastAsia="Times New Roman" w:cs="Times New Roman"/>
                <w:color w:val="212529"/>
                <w:szCs w:val="24"/>
                <w:lang w:eastAsia="es-ES"/>
              </w:rPr>
              <w:t>Artículos 479, 481, 869 y 869-1 del Estatuto Tributario</w:t>
            </w:r>
            <w:r>
              <w:rPr>
                <w:rFonts w:eastAsia="Times New Roman" w:cs="Times New Roman"/>
                <w:color w:val="212529"/>
                <w:szCs w:val="24"/>
                <w:lang w:eastAsia="es-ES"/>
              </w:rPr>
              <w:t xml:space="preserve"> </w:t>
            </w:r>
            <w:r w:rsidRPr="0071405C">
              <w:rPr>
                <w:rFonts w:eastAsia="Times New Roman" w:cs="Times New Roman"/>
                <w:color w:val="212529"/>
                <w:szCs w:val="24"/>
                <w:lang w:eastAsia="es-ES"/>
              </w:rPr>
              <w:t>Artículo 5 de la Ley 67 de 1979</w:t>
            </w:r>
          </w:p>
          <w:p w14:paraId="7AF7E854" w14:textId="77777777" w:rsidR="0071405C" w:rsidRPr="0071405C" w:rsidRDefault="0071405C" w:rsidP="0071405C">
            <w:pPr>
              <w:spacing w:after="100" w:afterAutospacing="1"/>
              <w:rPr>
                <w:rFonts w:eastAsia="Times New Roman" w:cs="Times New Roman"/>
                <w:color w:val="212529"/>
                <w:szCs w:val="24"/>
                <w:lang w:eastAsia="es-ES"/>
              </w:rPr>
            </w:pPr>
            <w:r w:rsidRPr="0071405C">
              <w:rPr>
                <w:rFonts w:eastAsia="Times New Roman" w:cs="Times New Roman"/>
                <w:color w:val="212529"/>
                <w:szCs w:val="24"/>
                <w:lang w:eastAsia="es-ES"/>
              </w:rPr>
              <w:t>Artículos 65, 68 y 69 del Decreto 1165 de 2019</w:t>
            </w:r>
          </w:p>
          <w:p w14:paraId="1398D342" w14:textId="77777777" w:rsidR="0071405C" w:rsidRPr="0071405C" w:rsidRDefault="0071405C" w:rsidP="0071405C">
            <w:pPr>
              <w:spacing w:after="100" w:afterAutospacing="1"/>
              <w:rPr>
                <w:rFonts w:eastAsia="Times New Roman" w:cs="Times New Roman"/>
                <w:color w:val="212529"/>
                <w:szCs w:val="24"/>
                <w:lang w:eastAsia="es-ES"/>
              </w:rPr>
            </w:pPr>
            <w:r w:rsidRPr="0071405C">
              <w:rPr>
                <w:rFonts w:eastAsia="Times New Roman" w:cs="Times New Roman"/>
                <w:color w:val="212529"/>
                <w:szCs w:val="24"/>
                <w:lang w:eastAsia="es-ES"/>
              </w:rPr>
              <w:t>Concepto 00001 de 2003, Unificado de IVA</w:t>
            </w:r>
          </w:p>
          <w:p w14:paraId="68ED3E73" w14:textId="77777777" w:rsidR="0071405C" w:rsidRPr="0071405C" w:rsidRDefault="0071405C" w:rsidP="0071405C">
            <w:pPr>
              <w:spacing w:after="100" w:afterAutospacing="1"/>
              <w:rPr>
                <w:rFonts w:eastAsia="Times New Roman" w:cs="Times New Roman"/>
                <w:color w:val="212529"/>
                <w:szCs w:val="24"/>
                <w:lang w:eastAsia="es-ES"/>
              </w:rPr>
            </w:pPr>
            <w:r w:rsidRPr="0071405C">
              <w:rPr>
                <w:rFonts w:eastAsia="Times New Roman" w:cs="Times New Roman"/>
                <w:color w:val="212529"/>
                <w:szCs w:val="24"/>
                <w:lang w:eastAsia="es-ES"/>
              </w:rPr>
              <w:t>Oficio 031029 del 17 de diciembre de 2019</w:t>
            </w:r>
          </w:p>
        </w:tc>
      </w:tr>
    </w:tbl>
    <w:p w14:paraId="3BC239F4" w14:textId="77777777" w:rsidR="0071405C" w:rsidRPr="0071405C" w:rsidRDefault="0071405C" w:rsidP="0071405C">
      <w:pPr>
        <w:shd w:val="clear" w:color="auto" w:fill="FFFFFF"/>
        <w:spacing w:after="100" w:afterAutospacing="1"/>
        <w:rPr>
          <w:rFonts w:eastAsia="Times New Roman" w:cs="Times New Roman"/>
          <w:color w:val="212529"/>
          <w:szCs w:val="24"/>
          <w:lang w:eastAsia="es-ES"/>
        </w:rPr>
      </w:pPr>
      <w:r w:rsidRPr="0071405C">
        <w:rPr>
          <w:rFonts w:eastAsia="Times New Roman" w:cs="Times New Roman"/>
          <w:color w:val="212529"/>
          <w:szCs w:val="24"/>
          <w:lang w:eastAsia="es-ES"/>
        </w:rPr>
        <w:t> </w:t>
      </w:r>
    </w:p>
    <w:p w14:paraId="253613F1" w14:textId="77777777" w:rsidR="0071405C" w:rsidRPr="0071405C" w:rsidRDefault="0071405C" w:rsidP="0071405C">
      <w:pPr>
        <w:shd w:val="clear" w:color="auto" w:fill="FFFFFF"/>
        <w:spacing w:after="100" w:afterAutospacing="1"/>
        <w:rPr>
          <w:rFonts w:eastAsia="Times New Roman" w:cs="Times New Roman"/>
          <w:color w:val="212529"/>
          <w:szCs w:val="24"/>
          <w:lang w:eastAsia="es-ES"/>
        </w:rPr>
      </w:pPr>
      <w:r w:rsidRPr="0071405C">
        <w:rPr>
          <w:rFonts w:eastAsia="Times New Roman" w:cs="Times New Roman"/>
          <w:color w:val="212529"/>
          <w:szCs w:val="24"/>
          <w:lang w:eastAsia="es-ES"/>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0FFA604A" w14:textId="25F06ADB" w:rsidR="0071405C" w:rsidRPr="0071405C" w:rsidRDefault="0071405C" w:rsidP="0071405C">
      <w:pPr>
        <w:shd w:val="clear" w:color="auto" w:fill="FFFFFF"/>
        <w:spacing w:after="100" w:afterAutospacing="1"/>
        <w:rPr>
          <w:rFonts w:eastAsia="Times New Roman" w:cs="Times New Roman"/>
          <w:color w:val="212529"/>
          <w:szCs w:val="24"/>
          <w:lang w:eastAsia="es-ES"/>
        </w:rPr>
      </w:pPr>
      <w:r w:rsidRPr="0071405C">
        <w:rPr>
          <w:rFonts w:eastAsia="Times New Roman" w:cs="Times New Roman"/>
          <w:color w:val="212529"/>
          <w:szCs w:val="24"/>
          <w:lang w:eastAsia="es-ES"/>
        </w:rPr>
        <w:t>Mediante el radicado de la referencia, remite la Subdirección de Comercio Exterior la segunda pregunta formulada por el peticionario, la cual con fundamento en lo establecido en los artículos 479 y 481 (literal b) del Estatuto Tributario y los artículos 3, 65, 68 del Decreto 1165 de 2019 plantea:</w:t>
      </w:r>
    </w:p>
    <w:p w14:paraId="004CF04B" w14:textId="1D1DD621" w:rsidR="0071405C" w:rsidRPr="0071405C" w:rsidRDefault="0071405C" w:rsidP="0071405C">
      <w:pPr>
        <w:shd w:val="clear" w:color="auto" w:fill="FFFFFF"/>
        <w:spacing w:after="100" w:afterAutospacing="1"/>
        <w:rPr>
          <w:rFonts w:eastAsia="Times New Roman" w:cs="Times New Roman"/>
          <w:b/>
          <w:bCs/>
          <w:color w:val="212529"/>
          <w:szCs w:val="24"/>
          <w:lang w:eastAsia="es-ES"/>
        </w:rPr>
      </w:pPr>
      <w:r w:rsidRPr="0071405C">
        <w:rPr>
          <w:rFonts w:eastAsia="Times New Roman" w:cs="Times New Roman"/>
          <w:b/>
          <w:bCs/>
          <w:i/>
          <w:iCs/>
          <w:color w:val="212529"/>
          <w:szCs w:val="24"/>
          <w:lang w:eastAsia="es-ES"/>
        </w:rPr>
        <w:t>“¿Cuándo la sociedad de comercialización internacional adquiere mercancías nacionalizadas, puede adquirirlos exentos del IVA, y con los demás beneficios indicados en el artículo 68 del Decreto 1165 de 2019?”</w:t>
      </w:r>
    </w:p>
    <w:p w14:paraId="1C1B737A" w14:textId="1FAC78A9" w:rsidR="0071405C" w:rsidRPr="0071405C" w:rsidRDefault="0071405C" w:rsidP="0071405C">
      <w:pPr>
        <w:shd w:val="clear" w:color="auto" w:fill="FFFFFF"/>
        <w:spacing w:after="100" w:afterAutospacing="1"/>
        <w:rPr>
          <w:rFonts w:eastAsia="Times New Roman" w:cs="Times New Roman"/>
          <w:color w:val="212529"/>
          <w:szCs w:val="24"/>
          <w:lang w:eastAsia="es-ES"/>
        </w:rPr>
      </w:pPr>
      <w:r w:rsidRPr="0071405C">
        <w:rPr>
          <w:rFonts w:eastAsia="Times New Roman" w:cs="Times New Roman"/>
          <w:color w:val="212529"/>
          <w:szCs w:val="24"/>
          <w:lang w:eastAsia="es-ES"/>
        </w:rPr>
        <w:t>Sobre el particular, las consideraciones de este Despacho son las siguientes:</w:t>
      </w:r>
    </w:p>
    <w:p w14:paraId="6429BFB9" w14:textId="77777777" w:rsidR="0071405C" w:rsidRPr="0071405C" w:rsidRDefault="0071405C" w:rsidP="0071405C">
      <w:pPr>
        <w:shd w:val="clear" w:color="auto" w:fill="FFFFFF"/>
        <w:spacing w:after="100" w:afterAutospacing="1"/>
        <w:rPr>
          <w:rFonts w:eastAsia="Times New Roman" w:cs="Times New Roman"/>
          <w:color w:val="212529"/>
          <w:szCs w:val="24"/>
          <w:lang w:eastAsia="es-ES"/>
        </w:rPr>
      </w:pPr>
      <w:r w:rsidRPr="0071405C">
        <w:rPr>
          <w:rFonts w:eastAsia="Times New Roman" w:cs="Times New Roman"/>
          <w:color w:val="212529"/>
          <w:szCs w:val="24"/>
          <w:lang w:eastAsia="es-ES"/>
        </w:rPr>
        <w:t>La consulta requiere el análisis de los artículos 479 y 481 (literal b) del Estatuto Tributario, los cuales se citan a continuación:</w:t>
      </w:r>
    </w:p>
    <w:p w14:paraId="30AD0316" w14:textId="77777777" w:rsidR="0071405C" w:rsidRPr="0071405C" w:rsidRDefault="0071405C" w:rsidP="0071405C">
      <w:pPr>
        <w:shd w:val="clear" w:color="auto" w:fill="FFFFFF"/>
        <w:spacing w:after="100" w:afterAutospacing="1"/>
        <w:rPr>
          <w:rFonts w:eastAsia="Times New Roman" w:cs="Times New Roman"/>
          <w:color w:val="212529"/>
          <w:szCs w:val="24"/>
          <w:lang w:eastAsia="es-ES"/>
        </w:rPr>
      </w:pPr>
      <w:r w:rsidRPr="0071405C">
        <w:rPr>
          <w:rFonts w:eastAsia="Times New Roman" w:cs="Times New Roman"/>
          <w:i/>
          <w:iCs/>
          <w:color w:val="212529"/>
          <w:szCs w:val="24"/>
          <w:lang w:eastAsia="es-ES"/>
        </w:rPr>
        <w:t>“</w:t>
      </w:r>
      <w:r w:rsidRPr="0071405C">
        <w:rPr>
          <w:rFonts w:eastAsia="Times New Roman" w:cs="Times New Roman"/>
          <w:b/>
          <w:bCs/>
          <w:i/>
          <w:iCs/>
          <w:color w:val="212529"/>
          <w:szCs w:val="24"/>
          <w:lang w:eastAsia="es-ES"/>
        </w:rPr>
        <w:t>Artículo 479. Los bienes que se exporten son exentos.</w:t>
      </w:r>
      <w:r w:rsidRPr="0071405C">
        <w:rPr>
          <w:rFonts w:eastAsia="Times New Roman" w:cs="Times New Roman"/>
          <w:i/>
          <w:iCs/>
          <w:color w:val="212529"/>
          <w:szCs w:val="24"/>
          <w:lang w:eastAsia="es-ES"/>
        </w:rPr>
        <w:t xml:space="preserve"> También se encuentran exentos del impuesto, los bienes corporales muebles que se exporten; (el servicio de reencauche y los servicios de reparación a las embarcaciones marítimas y a los aerodinos, de bandera o matrícula </w:t>
      </w:r>
      <w:r w:rsidRPr="0071405C">
        <w:rPr>
          <w:rFonts w:eastAsia="Times New Roman" w:cs="Times New Roman"/>
          <w:i/>
          <w:iCs/>
          <w:color w:val="212529"/>
          <w:szCs w:val="24"/>
          <w:lang w:eastAsia="es-ES"/>
        </w:rPr>
        <w:lastRenderedPageBreak/>
        <w:t>extranjera), y la venta en el país de bienes de exportación a sociedades de comercialización internacional siempre que hayan de ser efectivamente exportados.</w:t>
      </w:r>
    </w:p>
    <w:p w14:paraId="0389ED32" w14:textId="2C68AE1F" w:rsidR="0071405C" w:rsidRPr="0071405C" w:rsidRDefault="0071405C" w:rsidP="0071405C">
      <w:pPr>
        <w:shd w:val="clear" w:color="auto" w:fill="FFFFFF"/>
        <w:spacing w:after="100" w:afterAutospacing="1"/>
        <w:rPr>
          <w:rFonts w:eastAsia="Times New Roman" w:cs="Times New Roman"/>
          <w:color w:val="212529"/>
          <w:szCs w:val="24"/>
          <w:lang w:eastAsia="es-ES"/>
        </w:rPr>
      </w:pPr>
      <w:r w:rsidRPr="0071405C">
        <w:rPr>
          <w:rFonts w:eastAsia="Times New Roman" w:cs="Times New Roman"/>
          <w:b/>
          <w:bCs/>
          <w:i/>
          <w:iCs/>
          <w:color w:val="212529"/>
          <w:szCs w:val="24"/>
          <w:lang w:eastAsia="es-ES"/>
        </w:rPr>
        <w:t>Artículo 481. Bienes exentos con derecho a devolución bimestral.</w:t>
      </w:r>
      <w:r w:rsidRPr="0071405C">
        <w:rPr>
          <w:rFonts w:eastAsia="Times New Roman" w:cs="Times New Roman"/>
          <w:i/>
          <w:iCs/>
          <w:color w:val="212529"/>
          <w:szCs w:val="24"/>
          <w:lang w:eastAsia="es-ES"/>
        </w:rPr>
        <w:t> Para efectos del impuesto sobre las ventas, únicamente conservarán la calidad de bienes y servicios exentos con derecho a devolución bimestral:</w:t>
      </w:r>
      <w:r w:rsidRPr="0071405C">
        <w:rPr>
          <w:rFonts w:eastAsia="Times New Roman" w:cs="Times New Roman"/>
          <w:color w:val="212529"/>
          <w:szCs w:val="24"/>
          <w:lang w:eastAsia="es-ES"/>
        </w:rPr>
        <w:t> </w:t>
      </w:r>
    </w:p>
    <w:p w14:paraId="5E1C88B8" w14:textId="01A49B5B" w:rsidR="0071405C" w:rsidRPr="0071405C" w:rsidRDefault="0071405C" w:rsidP="0071405C">
      <w:pPr>
        <w:shd w:val="clear" w:color="auto" w:fill="FFFFFF"/>
        <w:spacing w:after="100" w:afterAutospacing="1"/>
        <w:rPr>
          <w:rFonts w:eastAsia="Times New Roman" w:cs="Times New Roman"/>
          <w:color w:val="212529"/>
          <w:szCs w:val="24"/>
          <w:lang w:eastAsia="es-ES"/>
        </w:rPr>
      </w:pPr>
      <w:r w:rsidRPr="0071405C">
        <w:rPr>
          <w:rFonts w:eastAsia="Times New Roman" w:cs="Times New Roman"/>
          <w:i/>
          <w:iCs/>
          <w:color w:val="212529"/>
          <w:szCs w:val="24"/>
          <w:lang w:eastAsia="es-ES"/>
        </w:rPr>
        <w:t>(…)</w:t>
      </w:r>
    </w:p>
    <w:p w14:paraId="07B5D6C9" w14:textId="77777777" w:rsidR="0071405C" w:rsidRPr="0071405C" w:rsidRDefault="0071405C" w:rsidP="0071405C">
      <w:pPr>
        <w:numPr>
          <w:ilvl w:val="0"/>
          <w:numId w:val="1"/>
        </w:numPr>
        <w:shd w:val="clear" w:color="auto" w:fill="FFFFFF"/>
        <w:spacing w:before="100" w:beforeAutospacing="1" w:after="100" w:afterAutospacing="1"/>
        <w:rPr>
          <w:rFonts w:eastAsia="Times New Roman" w:cs="Times New Roman"/>
          <w:color w:val="212529"/>
          <w:szCs w:val="24"/>
          <w:lang w:eastAsia="es-ES"/>
        </w:rPr>
      </w:pPr>
      <w:r w:rsidRPr="0071405C">
        <w:rPr>
          <w:rFonts w:eastAsia="Times New Roman" w:cs="Times New Roman"/>
          <w:i/>
          <w:iCs/>
          <w:color w:val="212529"/>
          <w:szCs w:val="24"/>
          <w:lang w:eastAsia="es-ES"/>
        </w:rPr>
        <w:t xml:space="preserve">b) Los bienes corporales muebles que se vendan en el país a las sociedades de comercialización </w:t>
      </w:r>
      <w:proofErr w:type="spellStart"/>
      <w:proofErr w:type="gramStart"/>
      <w:r w:rsidRPr="0071405C">
        <w:rPr>
          <w:rFonts w:eastAsia="Times New Roman" w:cs="Times New Roman"/>
          <w:i/>
          <w:iCs/>
          <w:color w:val="212529"/>
          <w:szCs w:val="24"/>
          <w:lang w:eastAsia="es-ES"/>
        </w:rPr>
        <w:t>internacional,siempre</w:t>
      </w:r>
      <w:proofErr w:type="spellEnd"/>
      <w:proofErr w:type="gramEnd"/>
      <w:r w:rsidRPr="0071405C">
        <w:rPr>
          <w:rFonts w:eastAsia="Times New Roman" w:cs="Times New Roman"/>
          <w:i/>
          <w:iCs/>
          <w:color w:val="212529"/>
          <w:szCs w:val="24"/>
          <w:lang w:eastAsia="es-ES"/>
        </w:rPr>
        <w:t xml:space="preserve"> que hayan de ser efectivamente exportados directamente o una vez </w:t>
      </w:r>
      <w:proofErr w:type="spellStart"/>
      <w:r w:rsidRPr="0071405C">
        <w:rPr>
          <w:rFonts w:eastAsia="Times New Roman" w:cs="Times New Roman"/>
          <w:i/>
          <w:iCs/>
          <w:color w:val="212529"/>
          <w:szCs w:val="24"/>
          <w:lang w:eastAsia="es-ES"/>
        </w:rPr>
        <w:t>transformados,así</w:t>
      </w:r>
      <w:proofErr w:type="spellEnd"/>
      <w:r w:rsidRPr="0071405C">
        <w:rPr>
          <w:rFonts w:eastAsia="Times New Roman" w:cs="Times New Roman"/>
          <w:i/>
          <w:iCs/>
          <w:color w:val="212529"/>
          <w:szCs w:val="24"/>
          <w:lang w:eastAsia="es-ES"/>
        </w:rPr>
        <w:t xml:space="preserve"> como los servicios intermedios de la producción que se presten a tales sociedades, siempre y cuando el bien final sea efectivamente exportado (…)”</w:t>
      </w:r>
    </w:p>
    <w:p w14:paraId="65FD8B9F" w14:textId="77777777" w:rsidR="0071405C" w:rsidRPr="0071405C" w:rsidRDefault="0071405C" w:rsidP="0071405C">
      <w:pPr>
        <w:shd w:val="clear" w:color="auto" w:fill="FFFFFF"/>
        <w:spacing w:after="100" w:afterAutospacing="1"/>
        <w:rPr>
          <w:rFonts w:eastAsia="Times New Roman" w:cs="Times New Roman"/>
          <w:color w:val="212529"/>
          <w:szCs w:val="24"/>
          <w:lang w:eastAsia="es-ES"/>
        </w:rPr>
      </w:pPr>
      <w:r w:rsidRPr="0071405C">
        <w:rPr>
          <w:rFonts w:eastAsia="Times New Roman" w:cs="Times New Roman"/>
          <w:color w:val="212529"/>
          <w:szCs w:val="24"/>
          <w:lang w:eastAsia="es-ES"/>
        </w:rPr>
        <w:t> </w:t>
      </w:r>
    </w:p>
    <w:p w14:paraId="6778E0B2" w14:textId="5043400A" w:rsidR="0071405C" w:rsidRPr="0071405C" w:rsidRDefault="0071405C" w:rsidP="0071405C">
      <w:pPr>
        <w:shd w:val="clear" w:color="auto" w:fill="FFFFFF"/>
        <w:spacing w:after="100" w:afterAutospacing="1"/>
        <w:rPr>
          <w:rFonts w:eastAsia="Times New Roman" w:cs="Times New Roman"/>
          <w:color w:val="212529"/>
          <w:szCs w:val="24"/>
          <w:lang w:eastAsia="es-ES"/>
        </w:rPr>
      </w:pPr>
      <w:r w:rsidRPr="0071405C">
        <w:rPr>
          <w:rFonts w:eastAsia="Times New Roman" w:cs="Times New Roman"/>
          <w:color w:val="212529"/>
          <w:szCs w:val="24"/>
          <w:lang w:eastAsia="es-ES"/>
        </w:rPr>
        <w:t>Nótese como la norma sujeta el carácter de exento de los bienes a que estos sean efectivamente exportados, tema sobre el cual el artículo 5 de la Ley 67 de 1979 señala:</w:t>
      </w:r>
    </w:p>
    <w:p w14:paraId="2350E8E7" w14:textId="77777777" w:rsidR="0071405C" w:rsidRPr="0071405C" w:rsidRDefault="0071405C" w:rsidP="0071405C">
      <w:pPr>
        <w:shd w:val="clear" w:color="auto" w:fill="FFFFFF"/>
        <w:spacing w:after="100" w:afterAutospacing="1"/>
        <w:rPr>
          <w:rFonts w:eastAsia="Times New Roman" w:cs="Times New Roman"/>
          <w:color w:val="212529"/>
          <w:szCs w:val="24"/>
          <w:lang w:eastAsia="es-ES"/>
        </w:rPr>
      </w:pPr>
      <w:r w:rsidRPr="0071405C">
        <w:rPr>
          <w:rFonts w:eastAsia="Times New Roman" w:cs="Times New Roman"/>
          <w:i/>
          <w:iCs/>
          <w:color w:val="212529"/>
          <w:szCs w:val="24"/>
          <w:lang w:eastAsia="es-ES"/>
        </w:rPr>
        <w:t>“</w:t>
      </w:r>
      <w:r w:rsidRPr="0071405C">
        <w:rPr>
          <w:rFonts w:eastAsia="Times New Roman" w:cs="Times New Roman"/>
          <w:b/>
          <w:bCs/>
          <w:i/>
          <w:iCs/>
          <w:color w:val="212529"/>
          <w:szCs w:val="24"/>
          <w:lang w:eastAsia="es-ES"/>
        </w:rPr>
        <w:t>Artículo quinto.</w:t>
      </w:r>
      <w:r w:rsidRPr="0071405C">
        <w:rPr>
          <w:rFonts w:eastAsia="Times New Roman" w:cs="Times New Roman"/>
          <w:i/>
          <w:iCs/>
          <w:color w:val="212529"/>
          <w:szCs w:val="24"/>
          <w:lang w:eastAsia="es-ES"/>
        </w:rPr>
        <w:t> La realización de las exportaciones será de exclusiva responsabilidad de la Sociedad de Comercialización Internacional y, por lo tanto, si no se efectúan estas últimas dentro de la oportunidad y condiciones que señale el Gobierno Nacional, con base en el artículo 3o. de esta Ley, deberán las mencionadas sociedades pagar a favor del Fisco Nacional una suma igual al valor de los incentivos y exenciones que tanto ella como el productor se hubieran beneficiado, más el interés moratoria fiscal, sin perjuicio de las sanciones previstas en las normas ordinarias.”</w:t>
      </w:r>
    </w:p>
    <w:p w14:paraId="129301AA" w14:textId="347C03BE" w:rsidR="0071405C" w:rsidRPr="0071405C" w:rsidRDefault="0071405C" w:rsidP="0071405C">
      <w:pPr>
        <w:shd w:val="clear" w:color="auto" w:fill="FFFFFF"/>
        <w:spacing w:after="100" w:afterAutospacing="1"/>
        <w:rPr>
          <w:rFonts w:eastAsia="Times New Roman" w:cs="Times New Roman"/>
          <w:color w:val="212529"/>
          <w:szCs w:val="24"/>
          <w:lang w:eastAsia="es-ES"/>
        </w:rPr>
      </w:pPr>
      <w:r w:rsidRPr="0071405C">
        <w:rPr>
          <w:rFonts w:eastAsia="Times New Roman" w:cs="Times New Roman"/>
          <w:color w:val="212529"/>
          <w:szCs w:val="24"/>
          <w:lang w:eastAsia="es-ES"/>
        </w:rPr>
        <w:t>Con base en las normas antes citadas el Concepto 00001 de 2003, Unificado de IVA, páginas 89 y 90 señaló:</w:t>
      </w:r>
    </w:p>
    <w:p w14:paraId="2CB38AAF" w14:textId="77777777" w:rsidR="0071405C" w:rsidRPr="0071405C" w:rsidRDefault="0071405C" w:rsidP="0071405C">
      <w:pPr>
        <w:shd w:val="clear" w:color="auto" w:fill="FFFFFF"/>
        <w:spacing w:after="100" w:afterAutospacing="1"/>
        <w:rPr>
          <w:rFonts w:eastAsia="Times New Roman" w:cs="Times New Roman"/>
          <w:color w:val="212529"/>
          <w:szCs w:val="24"/>
          <w:lang w:eastAsia="es-ES"/>
        </w:rPr>
      </w:pPr>
      <w:r w:rsidRPr="0071405C">
        <w:rPr>
          <w:rFonts w:eastAsia="Times New Roman" w:cs="Times New Roman"/>
          <w:i/>
          <w:iCs/>
          <w:color w:val="212529"/>
          <w:szCs w:val="24"/>
          <w:lang w:eastAsia="es-ES"/>
        </w:rPr>
        <w:t>“(…)</w:t>
      </w:r>
    </w:p>
    <w:p w14:paraId="7EDC30B0" w14:textId="77777777" w:rsidR="0071405C" w:rsidRPr="0071405C" w:rsidRDefault="0071405C" w:rsidP="0071405C">
      <w:pPr>
        <w:shd w:val="clear" w:color="auto" w:fill="FFFFFF"/>
        <w:spacing w:after="100" w:afterAutospacing="1"/>
        <w:rPr>
          <w:rFonts w:eastAsia="Times New Roman" w:cs="Times New Roman"/>
          <w:color w:val="212529"/>
          <w:szCs w:val="24"/>
          <w:lang w:eastAsia="es-ES"/>
        </w:rPr>
      </w:pPr>
      <w:r w:rsidRPr="0071405C">
        <w:rPr>
          <w:rFonts w:eastAsia="Times New Roman" w:cs="Times New Roman"/>
          <w:i/>
          <w:iCs/>
          <w:color w:val="212529"/>
          <w:szCs w:val="24"/>
          <w:lang w:eastAsia="es-ES"/>
        </w:rPr>
        <w:t>En esta medida será responsabilidad de la Sociedad de Comercialización Internacional que adquiere los bienes mediante el C. P. la realización de las exportaciones, de tal forma que si no se efectúan dentro de la oportunidad y condiciones que señale el Gobierno Nacional, con base en los artículos 3o. y 5o. de la Ley 67 de 1979, «…deberán las mencionadas sociedades pagar al Fisco Nacional una suma igual al valor de los incentivos y exenciones de que tanto ella como el productor se hubieran beneficiado, más el interés moratorio fiscal, sin perjuicio de las sanciones previstas en las normas ordinarias.»</w:t>
      </w:r>
    </w:p>
    <w:p w14:paraId="4CEBB010" w14:textId="1917F5CF" w:rsidR="0071405C" w:rsidRPr="0071405C" w:rsidRDefault="0071405C" w:rsidP="0071405C">
      <w:pPr>
        <w:shd w:val="clear" w:color="auto" w:fill="FFFFFF"/>
        <w:spacing w:after="100" w:afterAutospacing="1"/>
        <w:rPr>
          <w:rFonts w:eastAsia="Times New Roman" w:cs="Times New Roman"/>
          <w:color w:val="212529"/>
          <w:szCs w:val="24"/>
          <w:lang w:eastAsia="es-ES"/>
        </w:rPr>
      </w:pPr>
      <w:r w:rsidRPr="0071405C">
        <w:rPr>
          <w:rFonts w:eastAsia="Times New Roman" w:cs="Times New Roman"/>
          <w:i/>
          <w:iCs/>
          <w:color w:val="212529"/>
          <w:szCs w:val="24"/>
          <w:lang w:eastAsia="es-ES"/>
        </w:rPr>
        <w:t>En tal virtud, atendiendo la finalidad de las normas estudiadas, se observa que es obligación de la Sociedad de Comercialización Internacional exportar directamente los bienes adquiridos de sus proveedores nacionales so pena de incurrir en las sanciones antes señaladas.</w:t>
      </w:r>
    </w:p>
    <w:p w14:paraId="6A8AF9E1" w14:textId="279B616A" w:rsidR="0071405C" w:rsidRPr="0071405C" w:rsidRDefault="0071405C" w:rsidP="0071405C">
      <w:pPr>
        <w:shd w:val="clear" w:color="auto" w:fill="FFFFFF"/>
        <w:spacing w:after="100" w:afterAutospacing="1"/>
        <w:rPr>
          <w:rFonts w:eastAsia="Times New Roman" w:cs="Times New Roman"/>
          <w:color w:val="212529"/>
          <w:szCs w:val="24"/>
          <w:lang w:eastAsia="es-ES"/>
        </w:rPr>
      </w:pPr>
      <w:r w:rsidRPr="0071405C">
        <w:rPr>
          <w:rFonts w:eastAsia="Times New Roman" w:cs="Times New Roman"/>
          <w:b/>
          <w:bCs/>
          <w:i/>
          <w:iCs/>
          <w:color w:val="212529"/>
          <w:szCs w:val="24"/>
          <w:lang w:eastAsia="es-ES"/>
        </w:rPr>
        <w:lastRenderedPageBreak/>
        <w:t>Por ello, si en lugar de realizar la exportación de los bienes adquiridos, los enajena nuevamente en el territorio nacional, adicional a considerar que podría incurrir en alguna irregularidad al no cumplir con su objeto social, no está dando estricto cumplimiento a las disposiciones antes señaladas, reguladoras de la materia. En consecuencia, no es posible considerar como exentos del Impuesto sobre las ventas los bienes corporales muebles que inicialmente fueron vendidos con la finalidad de ser efectivamente exportados por la Sociedad de Comercialización internacional que los adquirió.</w:t>
      </w:r>
    </w:p>
    <w:p w14:paraId="6F51ED3C" w14:textId="66C3E05D" w:rsidR="0071405C" w:rsidRPr="0071405C" w:rsidRDefault="0071405C" w:rsidP="0071405C">
      <w:pPr>
        <w:shd w:val="clear" w:color="auto" w:fill="FFFFFF"/>
        <w:spacing w:after="100" w:afterAutospacing="1"/>
        <w:rPr>
          <w:rFonts w:eastAsia="Times New Roman" w:cs="Times New Roman"/>
          <w:color w:val="212529"/>
          <w:szCs w:val="24"/>
          <w:lang w:eastAsia="es-ES"/>
        </w:rPr>
      </w:pPr>
      <w:r w:rsidRPr="0071405C">
        <w:rPr>
          <w:rFonts w:eastAsia="Times New Roman" w:cs="Times New Roman"/>
          <w:b/>
          <w:bCs/>
          <w:i/>
          <w:iCs/>
          <w:color w:val="212529"/>
          <w:szCs w:val="24"/>
          <w:lang w:eastAsia="es-ES"/>
        </w:rPr>
        <w:t xml:space="preserve">En el momento en el que la Comercializadora Internacional venda en el mercado nacional los bienes que originalmente iban a ser exportados, </w:t>
      </w:r>
      <w:proofErr w:type="gramStart"/>
      <w:r w:rsidRPr="0071405C">
        <w:rPr>
          <w:rFonts w:eastAsia="Times New Roman" w:cs="Times New Roman"/>
          <w:b/>
          <w:bCs/>
          <w:i/>
          <w:iCs/>
          <w:color w:val="212529"/>
          <w:szCs w:val="24"/>
          <w:lang w:eastAsia="es-ES"/>
        </w:rPr>
        <w:t>deberá</w:t>
      </w:r>
      <w:proofErr w:type="gramEnd"/>
      <w:r w:rsidRPr="0071405C">
        <w:rPr>
          <w:rFonts w:eastAsia="Times New Roman" w:cs="Times New Roman"/>
          <w:b/>
          <w:bCs/>
          <w:i/>
          <w:iCs/>
          <w:color w:val="212529"/>
          <w:szCs w:val="24"/>
          <w:lang w:eastAsia="es-ES"/>
        </w:rPr>
        <w:t xml:space="preserve"> facturar el impuesto sobre las ventas correspondiente a dicha operación (…) </w:t>
      </w:r>
      <w:r w:rsidRPr="0071405C">
        <w:rPr>
          <w:rFonts w:eastAsia="Times New Roman" w:cs="Times New Roman"/>
          <w:color w:val="212529"/>
          <w:szCs w:val="24"/>
          <w:lang w:eastAsia="es-ES"/>
        </w:rPr>
        <w:t>“</w:t>
      </w:r>
    </w:p>
    <w:p w14:paraId="67AEDEEC" w14:textId="5E5E7D11" w:rsidR="0071405C" w:rsidRPr="0071405C" w:rsidRDefault="0071405C" w:rsidP="0071405C">
      <w:pPr>
        <w:shd w:val="clear" w:color="auto" w:fill="FFFFFF"/>
        <w:spacing w:after="100" w:afterAutospacing="1"/>
        <w:rPr>
          <w:rFonts w:eastAsia="Times New Roman" w:cs="Times New Roman"/>
          <w:color w:val="212529"/>
          <w:szCs w:val="24"/>
          <w:lang w:eastAsia="es-ES"/>
        </w:rPr>
      </w:pPr>
      <w:r w:rsidRPr="0071405C">
        <w:rPr>
          <w:rFonts w:eastAsia="Times New Roman" w:cs="Times New Roman"/>
          <w:color w:val="212529"/>
          <w:szCs w:val="24"/>
          <w:lang w:eastAsia="es-ES"/>
        </w:rPr>
        <w:t>En este punto es oportuno mencionar la precisión que hace el oficio 031029 del 17 de diciembre de 2019, sobre cómo es el certificado del proveedor expedido por la comercializadora que efectivamente exportó la mercancía, el que permite que goce del beneficio tributario consagrado en los artículos 479 y 481 (b) del Estatuto Tributario.</w:t>
      </w:r>
    </w:p>
    <w:p w14:paraId="4CE589D1" w14:textId="565F5CD5" w:rsidR="0071405C" w:rsidRPr="0071405C" w:rsidRDefault="0071405C" w:rsidP="0071405C">
      <w:pPr>
        <w:shd w:val="clear" w:color="auto" w:fill="FFFFFF"/>
        <w:spacing w:after="100" w:afterAutospacing="1"/>
        <w:rPr>
          <w:rFonts w:eastAsia="Times New Roman" w:cs="Times New Roman"/>
          <w:color w:val="212529"/>
          <w:szCs w:val="24"/>
          <w:lang w:eastAsia="es-ES"/>
        </w:rPr>
      </w:pPr>
      <w:r w:rsidRPr="0071405C">
        <w:rPr>
          <w:rFonts w:eastAsia="Times New Roman" w:cs="Times New Roman"/>
          <w:color w:val="212529"/>
          <w:szCs w:val="24"/>
          <w:lang w:eastAsia="es-ES"/>
        </w:rPr>
        <w:t>Con base en lo anteriormente expuesto, este Despacho encuentra que las normas y doctrina citadas parten de la base que, para efectos del beneficio tributario, el bien exento con derecho a devolución bimestral debe efectivamente exportarse.</w:t>
      </w:r>
    </w:p>
    <w:p w14:paraId="1773AFAD" w14:textId="7AE388B4" w:rsidR="0071405C" w:rsidRPr="0071405C" w:rsidRDefault="0071405C" w:rsidP="0071405C">
      <w:pPr>
        <w:shd w:val="clear" w:color="auto" w:fill="FFFFFF"/>
        <w:spacing w:after="100" w:afterAutospacing="1"/>
        <w:rPr>
          <w:rFonts w:eastAsia="Times New Roman" w:cs="Times New Roman"/>
          <w:color w:val="212529"/>
          <w:szCs w:val="24"/>
          <w:lang w:eastAsia="es-ES"/>
        </w:rPr>
      </w:pPr>
      <w:r w:rsidRPr="0071405C">
        <w:rPr>
          <w:rFonts w:eastAsia="Times New Roman" w:cs="Times New Roman"/>
          <w:color w:val="212529"/>
          <w:szCs w:val="24"/>
          <w:lang w:eastAsia="es-ES"/>
        </w:rPr>
        <w:t>Tratándose del tipo de bien (aspecto materia de consulta por parte del peticionario) se resalta lo dispuesto en el artículo 65 del Decreto 1165 de 2019, que sobre el objeto de las sociedades de comercialización internacional señala:</w:t>
      </w:r>
    </w:p>
    <w:p w14:paraId="4C274E39" w14:textId="77777777" w:rsidR="0071405C" w:rsidRPr="0071405C" w:rsidRDefault="0071405C" w:rsidP="0071405C">
      <w:pPr>
        <w:shd w:val="clear" w:color="auto" w:fill="FFFFFF"/>
        <w:spacing w:after="100" w:afterAutospacing="1"/>
        <w:rPr>
          <w:rFonts w:eastAsia="Times New Roman" w:cs="Times New Roman"/>
          <w:color w:val="212529"/>
          <w:szCs w:val="24"/>
          <w:lang w:eastAsia="es-ES"/>
        </w:rPr>
      </w:pPr>
      <w:r w:rsidRPr="0071405C">
        <w:rPr>
          <w:rFonts w:eastAsia="Times New Roman" w:cs="Times New Roman"/>
          <w:i/>
          <w:iCs/>
          <w:color w:val="212529"/>
          <w:szCs w:val="24"/>
          <w:lang w:eastAsia="es-ES"/>
        </w:rPr>
        <w:t>“</w:t>
      </w:r>
      <w:r w:rsidRPr="0071405C">
        <w:rPr>
          <w:rFonts w:eastAsia="Times New Roman" w:cs="Times New Roman"/>
          <w:b/>
          <w:bCs/>
          <w:i/>
          <w:iCs/>
          <w:color w:val="212529"/>
          <w:szCs w:val="24"/>
          <w:lang w:eastAsia="es-ES"/>
        </w:rPr>
        <w:t>Artículo 65: Sociedades de comercialización internacional.</w:t>
      </w:r>
      <w:r w:rsidRPr="0071405C">
        <w:rPr>
          <w:rFonts w:eastAsia="Times New Roman" w:cs="Times New Roman"/>
          <w:i/>
          <w:iCs/>
          <w:color w:val="212529"/>
          <w:szCs w:val="24"/>
          <w:lang w:eastAsia="es-ES"/>
        </w:rPr>
        <w:t> Son aquellas personas jurídicas que tienen por </w:t>
      </w:r>
      <w:r w:rsidRPr="0071405C">
        <w:rPr>
          <w:rFonts w:eastAsia="Times New Roman" w:cs="Times New Roman"/>
          <w:b/>
          <w:bCs/>
          <w:i/>
          <w:iCs/>
          <w:color w:val="212529"/>
          <w:szCs w:val="24"/>
          <w:lang w:eastAsia="es-ES"/>
        </w:rPr>
        <w:t>objeto social principal la comercialización y venta de productos colombianos al exterior, adquiridos en el mercado interno o fabricados por productores socios de las mismas. </w:t>
      </w:r>
      <w:r w:rsidRPr="0071405C">
        <w:rPr>
          <w:rFonts w:eastAsia="Times New Roman" w:cs="Times New Roman"/>
          <w:i/>
          <w:iCs/>
          <w:color w:val="212529"/>
          <w:szCs w:val="24"/>
          <w:lang w:eastAsia="es-ES"/>
        </w:rPr>
        <w:t>En todo caso las demás actividades que desarrolle la empresa deberán estar siempre relacionadas con la ejecución del objeto social principal y la sostenibilidad económica y financiera de la empresa.</w:t>
      </w:r>
    </w:p>
    <w:p w14:paraId="202B9ECB" w14:textId="560928D9" w:rsidR="0071405C" w:rsidRPr="0071405C" w:rsidRDefault="0071405C" w:rsidP="0071405C">
      <w:pPr>
        <w:shd w:val="clear" w:color="auto" w:fill="FFFFFF"/>
        <w:spacing w:after="100" w:afterAutospacing="1"/>
        <w:rPr>
          <w:rFonts w:eastAsia="Times New Roman" w:cs="Times New Roman"/>
          <w:color w:val="212529"/>
          <w:szCs w:val="24"/>
          <w:lang w:eastAsia="es-ES"/>
        </w:rPr>
      </w:pPr>
      <w:r w:rsidRPr="0071405C">
        <w:rPr>
          <w:rFonts w:eastAsia="Times New Roman" w:cs="Times New Roman"/>
          <w:i/>
          <w:iCs/>
          <w:color w:val="212529"/>
          <w:szCs w:val="24"/>
          <w:lang w:eastAsia="es-ES"/>
        </w:rPr>
        <w:t>Estas sociedades, </w:t>
      </w:r>
      <w:r w:rsidRPr="0071405C">
        <w:rPr>
          <w:rFonts w:eastAsia="Times New Roman" w:cs="Times New Roman"/>
          <w:b/>
          <w:bCs/>
          <w:i/>
          <w:iCs/>
          <w:color w:val="212529"/>
          <w:szCs w:val="24"/>
          <w:lang w:eastAsia="es-ES"/>
        </w:rPr>
        <w:t>podrán contemplar entre sus actividades la importación de bienes o insumos para abastecer el mercado interno o para la fabricación de productos exportables</w:t>
      </w:r>
      <w:r w:rsidRPr="0071405C">
        <w:rPr>
          <w:rFonts w:eastAsia="Times New Roman" w:cs="Times New Roman"/>
          <w:i/>
          <w:iCs/>
          <w:color w:val="212529"/>
          <w:szCs w:val="24"/>
          <w:lang w:eastAsia="es-ES"/>
        </w:rPr>
        <w:t> y deberán utilizar en su razón social la expresión “Sociedad de Comercialización Internacional” o la sigla “C.I.”, una vez hayan sido autorizadas por el Ministerio de Comercio, Industria y Turismo y hayan obtenido la correspondiente aprobación y certificación de la garantía ante la Unidad Administrativa Especial Dirección de Impuestos y Aduanas Nacionales (DIAN)”</w:t>
      </w:r>
    </w:p>
    <w:p w14:paraId="39699FEE" w14:textId="5D768FDB" w:rsidR="0071405C" w:rsidRPr="0071405C" w:rsidRDefault="0071405C" w:rsidP="0071405C">
      <w:pPr>
        <w:shd w:val="clear" w:color="auto" w:fill="FFFFFF"/>
        <w:spacing w:after="100" w:afterAutospacing="1"/>
        <w:rPr>
          <w:rFonts w:eastAsia="Times New Roman" w:cs="Times New Roman"/>
          <w:color w:val="212529"/>
          <w:szCs w:val="24"/>
          <w:lang w:eastAsia="es-ES"/>
        </w:rPr>
      </w:pPr>
      <w:r w:rsidRPr="0071405C">
        <w:rPr>
          <w:rFonts w:eastAsia="Times New Roman" w:cs="Times New Roman"/>
          <w:color w:val="212529"/>
          <w:szCs w:val="24"/>
          <w:lang w:eastAsia="es-ES"/>
        </w:rPr>
        <w:t>Igualmente, se destaca lo contenido en los numerales 1 a 4 del artículo 69 de este Decreto, así:</w:t>
      </w:r>
    </w:p>
    <w:p w14:paraId="24294042" w14:textId="77777777" w:rsidR="0071405C" w:rsidRPr="0071405C" w:rsidRDefault="0071405C" w:rsidP="0071405C">
      <w:pPr>
        <w:shd w:val="clear" w:color="auto" w:fill="FFFFFF"/>
        <w:spacing w:after="100" w:afterAutospacing="1"/>
        <w:rPr>
          <w:rFonts w:eastAsia="Times New Roman" w:cs="Times New Roman"/>
          <w:color w:val="212529"/>
          <w:szCs w:val="24"/>
          <w:lang w:eastAsia="es-ES"/>
        </w:rPr>
      </w:pPr>
      <w:r w:rsidRPr="0071405C">
        <w:rPr>
          <w:rFonts w:eastAsia="Times New Roman" w:cs="Times New Roman"/>
          <w:i/>
          <w:iCs/>
          <w:color w:val="212529"/>
          <w:szCs w:val="24"/>
          <w:lang w:eastAsia="es-ES"/>
        </w:rPr>
        <w:lastRenderedPageBreak/>
        <w:t>“</w:t>
      </w:r>
      <w:r w:rsidRPr="0071405C">
        <w:rPr>
          <w:rFonts w:eastAsia="Times New Roman" w:cs="Times New Roman"/>
          <w:b/>
          <w:bCs/>
          <w:i/>
          <w:iCs/>
          <w:color w:val="212529"/>
          <w:szCs w:val="24"/>
          <w:lang w:eastAsia="es-ES"/>
        </w:rPr>
        <w:t>Artículo 69. Obligaciones.</w:t>
      </w:r>
      <w:r w:rsidRPr="0071405C">
        <w:rPr>
          <w:rFonts w:eastAsia="Times New Roman" w:cs="Times New Roman"/>
          <w:i/>
          <w:iCs/>
          <w:color w:val="212529"/>
          <w:szCs w:val="24"/>
          <w:lang w:eastAsia="es-ES"/>
        </w:rPr>
        <w:t> Las personas jurídicas autorizadas como Sociedades de Comercialización Internacional, en ejercicio de su actividad, tendrán las siguientes obligaciones:</w:t>
      </w:r>
    </w:p>
    <w:p w14:paraId="746FC25D" w14:textId="75AEBF9A" w:rsidR="0071405C" w:rsidRPr="0071405C" w:rsidRDefault="0071405C" w:rsidP="0071405C">
      <w:pPr>
        <w:numPr>
          <w:ilvl w:val="0"/>
          <w:numId w:val="2"/>
        </w:numPr>
        <w:shd w:val="clear" w:color="auto" w:fill="FFFFFF"/>
        <w:spacing w:before="100" w:beforeAutospacing="1" w:after="100" w:afterAutospacing="1"/>
        <w:rPr>
          <w:rFonts w:eastAsia="Times New Roman" w:cs="Times New Roman"/>
          <w:color w:val="212529"/>
          <w:szCs w:val="24"/>
          <w:lang w:eastAsia="es-ES"/>
        </w:rPr>
      </w:pPr>
      <w:r w:rsidRPr="0071405C">
        <w:rPr>
          <w:rFonts w:eastAsia="Times New Roman" w:cs="Times New Roman"/>
          <w:b/>
          <w:bCs/>
          <w:i/>
          <w:iCs/>
          <w:color w:val="212529"/>
          <w:szCs w:val="24"/>
          <w:lang w:eastAsia="es-ES"/>
        </w:rPr>
        <w:t xml:space="preserve">Fabricar o producir mercancías destinadas al mercado externo o comprarlas a los productores nacionales para posteriormente </w:t>
      </w:r>
      <w:proofErr w:type="spellStart"/>
      <w:r w:rsidRPr="0071405C">
        <w:rPr>
          <w:rFonts w:eastAsia="Times New Roman" w:cs="Times New Roman"/>
          <w:b/>
          <w:bCs/>
          <w:i/>
          <w:iCs/>
          <w:color w:val="212529"/>
          <w:szCs w:val="24"/>
          <w:lang w:eastAsia="es-ES"/>
        </w:rPr>
        <w:t>exportarlas</w:t>
      </w:r>
      <w:r w:rsidRPr="0071405C">
        <w:rPr>
          <w:rFonts w:eastAsia="Times New Roman" w:cs="Times New Roman"/>
          <w:i/>
          <w:iCs/>
          <w:color w:val="212529"/>
          <w:szCs w:val="24"/>
          <w:lang w:eastAsia="es-ES"/>
        </w:rPr>
        <w:t>dentro</w:t>
      </w:r>
      <w:proofErr w:type="spellEnd"/>
      <w:r w:rsidRPr="0071405C">
        <w:rPr>
          <w:rFonts w:eastAsia="Times New Roman" w:cs="Times New Roman"/>
          <w:i/>
          <w:iCs/>
          <w:color w:val="212529"/>
          <w:szCs w:val="24"/>
          <w:lang w:eastAsia="es-ES"/>
        </w:rPr>
        <w:t xml:space="preserve"> de los términos y condiciones que establezca la Unidad Administrativa Especial Dirección de Impuestos y Aduanas Nacionales (DIAN) mediante resolución de carácter general.</w:t>
      </w:r>
    </w:p>
    <w:p w14:paraId="69797F9B" w14:textId="77777777" w:rsidR="0071405C" w:rsidRPr="0071405C" w:rsidRDefault="0071405C" w:rsidP="0071405C">
      <w:pPr>
        <w:numPr>
          <w:ilvl w:val="0"/>
          <w:numId w:val="2"/>
        </w:numPr>
        <w:shd w:val="clear" w:color="auto" w:fill="FFFFFF"/>
        <w:spacing w:before="100" w:beforeAutospacing="1" w:after="100" w:afterAutospacing="1"/>
        <w:rPr>
          <w:rFonts w:eastAsia="Times New Roman" w:cs="Times New Roman"/>
          <w:color w:val="212529"/>
          <w:szCs w:val="24"/>
          <w:lang w:eastAsia="es-ES"/>
        </w:rPr>
      </w:pPr>
      <w:r w:rsidRPr="0071405C">
        <w:rPr>
          <w:rFonts w:eastAsia="Times New Roman" w:cs="Times New Roman"/>
          <w:i/>
          <w:iCs/>
          <w:color w:val="212529"/>
          <w:szCs w:val="24"/>
          <w:lang w:eastAsia="es-ES"/>
        </w:rPr>
        <w:t xml:space="preserve">Desarrollar el objeto social principal de la Sociedad de Comercialización </w:t>
      </w:r>
      <w:proofErr w:type="spellStart"/>
      <w:r w:rsidRPr="0071405C">
        <w:rPr>
          <w:rFonts w:eastAsia="Times New Roman" w:cs="Times New Roman"/>
          <w:i/>
          <w:iCs/>
          <w:color w:val="212529"/>
          <w:szCs w:val="24"/>
          <w:lang w:eastAsia="es-ES"/>
        </w:rPr>
        <w:t>Inter-nacional</w:t>
      </w:r>
      <w:proofErr w:type="spellEnd"/>
      <w:r w:rsidRPr="0071405C">
        <w:rPr>
          <w:rFonts w:eastAsia="Times New Roman" w:cs="Times New Roman"/>
          <w:i/>
          <w:iCs/>
          <w:color w:val="212529"/>
          <w:szCs w:val="24"/>
          <w:lang w:eastAsia="es-ES"/>
        </w:rPr>
        <w:t>.</w:t>
      </w:r>
    </w:p>
    <w:p w14:paraId="7521550B" w14:textId="77777777" w:rsidR="0071405C" w:rsidRPr="0071405C" w:rsidRDefault="0071405C" w:rsidP="0071405C">
      <w:pPr>
        <w:numPr>
          <w:ilvl w:val="0"/>
          <w:numId w:val="2"/>
        </w:numPr>
        <w:shd w:val="clear" w:color="auto" w:fill="FFFFFF"/>
        <w:spacing w:before="100" w:beforeAutospacing="1" w:after="100" w:afterAutospacing="1"/>
        <w:rPr>
          <w:rFonts w:eastAsia="Times New Roman" w:cs="Times New Roman"/>
          <w:color w:val="212529"/>
          <w:szCs w:val="24"/>
          <w:lang w:eastAsia="es-ES"/>
        </w:rPr>
      </w:pPr>
      <w:r w:rsidRPr="0071405C">
        <w:rPr>
          <w:rFonts w:eastAsia="Times New Roman" w:cs="Times New Roman"/>
          <w:i/>
          <w:iCs/>
          <w:color w:val="212529"/>
          <w:szCs w:val="24"/>
          <w:lang w:eastAsia="es-ES"/>
        </w:rPr>
        <w:t>Expedir en debida forma, de manera consecutiva y en la oportunidad legal los Certificados al Proveedor.</w:t>
      </w:r>
    </w:p>
    <w:p w14:paraId="1AC86AE1" w14:textId="77777777" w:rsidR="0071405C" w:rsidRPr="0071405C" w:rsidRDefault="0071405C" w:rsidP="0071405C">
      <w:pPr>
        <w:numPr>
          <w:ilvl w:val="0"/>
          <w:numId w:val="2"/>
        </w:numPr>
        <w:shd w:val="clear" w:color="auto" w:fill="FFFFFF"/>
        <w:spacing w:before="100" w:beforeAutospacing="1" w:after="100" w:afterAutospacing="1"/>
        <w:rPr>
          <w:rFonts w:eastAsia="Times New Roman" w:cs="Times New Roman"/>
          <w:color w:val="212529"/>
          <w:szCs w:val="24"/>
          <w:lang w:eastAsia="es-ES"/>
        </w:rPr>
      </w:pPr>
      <w:r w:rsidRPr="0071405C">
        <w:rPr>
          <w:rFonts w:eastAsia="Times New Roman" w:cs="Times New Roman"/>
          <w:i/>
          <w:iCs/>
          <w:color w:val="212529"/>
          <w:szCs w:val="24"/>
          <w:lang w:eastAsia="es-ES"/>
        </w:rPr>
        <w:t xml:space="preserve">Responder por la veracidad y exactitud de los datos consignados en los </w:t>
      </w:r>
      <w:proofErr w:type="spellStart"/>
      <w:r w:rsidRPr="0071405C">
        <w:rPr>
          <w:rFonts w:eastAsia="Times New Roman" w:cs="Times New Roman"/>
          <w:i/>
          <w:iCs/>
          <w:color w:val="212529"/>
          <w:szCs w:val="24"/>
          <w:lang w:eastAsia="es-ES"/>
        </w:rPr>
        <w:t>Certifi</w:t>
      </w:r>
      <w:proofErr w:type="spellEnd"/>
      <w:r w:rsidRPr="0071405C">
        <w:rPr>
          <w:rFonts w:eastAsia="Times New Roman" w:cs="Times New Roman"/>
          <w:i/>
          <w:iCs/>
          <w:color w:val="212529"/>
          <w:szCs w:val="24"/>
          <w:lang w:eastAsia="es-ES"/>
        </w:rPr>
        <w:t>-cados (sic) al Proveedor (…)”</w:t>
      </w:r>
    </w:p>
    <w:p w14:paraId="732EE01D" w14:textId="5D009DC0" w:rsidR="0071405C" w:rsidRPr="0071405C" w:rsidRDefault="0071405C" w:rsidP="0071405C">
      <w:pPr>
        <w:shd w:val="clear" w:color="auto" w:fill="FFFFFF"/>
        <w:spacing w:after="100" w:afterAutospacing="1"/>
        <w:rPr>
          <w:rFonts w:eastAsia="Times New Roman" w:cs="Times New Roman"/>
          <w:color w:val="212529"/>
          <w:szCs w:val="24"/>
          <w:lang w:eastAsia="es-ES"/>
        </w:rPr>
      </w:pPr>
      <w:r w:rsidRPr="0071405C">
        <w:rPr>
          <w:rFonts w:eastAsia="Times New Roman" w:cs="Times New Roman"/>
          <w:color w:val="212529"/>
          <w:szCs w:val="24"/>
          <w:lang w:eastAsia="es-ES"/>
        </w:rPr>
        <w:t>Esta situación no se predica de los bienes nacionalizados, razón por la cual, en este último caso no se cumple con lo dispuesto en las normas tributarias citadas al principio de este documento, ni tampoco con lo contenido en el Decreto 1165 de 2019.</w:t>
      </w:r>
    </w:p>
    <w:p w14:paraId="2E1E8322" w14:textId="463A3842" w:rsidR="0071405C" w:rsidRPr="0071405C" w:rsidRDefault="0071405C" w:rsidP="0071405C">
      <w:pPr>
        <w:shd w:val="clear" w:color="auto" w:fill="FFFFFF"/>
        <w:spacing w:after="100" w:afterAutospacing="1"/>
        <w:rPr>
          <w:rFonts w:eastAsia="Times New Roman" w:cs="Times New Roman"/>
          <w:color w:val="212529"/>
          <w:szCs w:val="24"/>
          <w:lang w:eastAsia="es-ES"/>
        </w:rPr>
      </w:pPr>
      <w:r w:rsidRPr="0071405C">
        <w:rPr>
          <w:rFonts w:eastAsia="Times New Roman" w:cs="Times New Roman"/>
          <w:color w:val="212529"/>
          <w:szCs w:val="24"/>
          <w:lang w:eastAsia="es-ES"/>
        </w:rPr>
        <w:t>Es necesario recordar el principal propósito que orienta a las sociedades de comercialización internacional, porque esta misma situación es la que le permite gozar de los beneficios a los que se refiere el artículo 68 del Decreto 1165 de 2019.</w:t>
      </w:r>
    </w:p>
    <w:p w14:paraId="12C99EA4" w14:textId="36CD6427" w:rsidR="0071405C" w:rsidRPr="0071405C" w:rsidRDefault="0071405C" w:rsidP="0071405C">
      <w:pPr>
        <w:shd w:val="clear" w:color="auto" w:fill="FFFFFF"/>
        <w:spacing w:after="100" w:afterAutospacing="1"/>
        <w:rPr>
          <w:rFonts w:eastAsia="Times New Roman" w:cs="Times New Roman"/>
          <w:b/>
          <w:bCs/>
          <w:color w:val="212529"/>
          <w:szCs w:val="24"/>
          <w:lang w:eastAsia="es-ES"/>
        </w:rPr>
      </w:pPr>
      <w:r w:rsidRPr="0071405C">
        <w:rPr>
          <w:rFonts w:eastAsia="Times New Roman" w:cs="Times New Roman"/>
          <w:b/>
          <w:bCs/>
          <w:color w:val="212529"/>
          <w:szCs w:val="24"/>
          <w:lang w:eastAsia="es-ES"/>
        </w:rPr>
        <w:t>Así las cosas, se reitera que el tratamiento de bien exento con derecho a devolución bimestral no aplica en el caso de la adquisición de mercancías nacionalizadas, por no cumplirse con los presupuestos normativos previamente analizados.</w:t>
      </w:r>
    </w:p>
    <w:p w14:paraId="7E7B0835" w14:textId="229CEF4C" w:rsidR="0071405C" w:rsidRDefault="0071405C" w:rsidP="0071405C">
      <w:pPr>
        <w:shd w:val="clear" w:color="auto" w:fill="FFFFFF"/>
        <w:spacing w:after="100" w:afterAutospacing="1"/>
        <w:rPr>
          <w:rFonts w:eastAsia="Times New Roman" w:cs="Times New Roman"/>
          <w:color w:val="212529"/>
          <w:szCs w:val="24"/>
          <w:lang w:eastAsia="es-ES"/>
        </w:rPr>
      </w:pPr>
      <w:r w:rsidRPr="0071405C">
        <w:rPr>
          <w:rFonts w:eastAsia="Times New Roman" w:cs="Times New Roman"/>
          <w:color w:val="212529"/>
          <w:szCs w:val="24"/>
          <w:lang w:eastAsia="es-ES"/>
        </w:rPr>
        <w:t>Lo anterior, además, sin perjuicio de las facultades de fiscalización a cargo de la Administración Tributaria y el empleo por parte de esta de lo contenido en los artículos 869 y 869-1, contentivos de la figura del abuso en materia tributaria.</w:t>
      </w:r>
    </w:p>
    <w:p w14:paraId="73EDB8C4" w14:textId="77777777" w:rsidR="0071405C" w:rsidRPr="00647962" w:rsidRDefault="0071405C" w:rsidP="0071405C">
      <w:pPr>
        <w:spacing w:line="240" w:lineRule="auto"/>
        <w:rPr>
          <w:rFonts w:eastAsia="Times New Roman" w:cs="Times New Roman"/>
          <w:szCs w:val="24"/>
          <w:lang w:eastAsia="es-ES"/>
        </w:rPr>
      </w:pPr>
      <w:r w:rsidRPr="00647962">
        <w:rPr>
          <w:rFonts w:eastAsia="Times New Roman" w:cs="Times New Roman"/>
          <w:b/>
          <w:bCs/>
          <w:szCs w:val="24"/>
          <w:lang w:val="es-CO" w:eastAsia="es-ES"/>
        </w:rPr>
        <w:t>PABLO EMILIO MENDOZA VELILLA</w:t>
      </w:r>
    </w:p>
    <w:p w14:paraId="01D61A56" w14:textId="77777777" w:rsidR="0071405C" w:rsidRPr="00647962" w:rsidRDefault="0071405C" w:rsidP="0071405C">
      <w:pPr>
        <w:spacing w:line="240" w:lineRule="auto"/>
        <w:rPr>
          <w:rFonts w:eastAsia="Times New Roman" w:cs="Times New Roman"/>
          <w:szCs w:val="24"/>
          <w:lang w:eastAsia="es-ES"/>
        </w:rPr>
      </w:pPr>
      <w:r w:rsidRPr="00647962">
        <w:rPr>
          <w:rFonts w:eastAsia="Times New Roman" w:cs="Times New Roman"/>
          <w:szCs w:val="24"/>
          <w:lang w:val="es-CO" w:eastAsia="es-ES"/>
        </w:rPr>
        <w:t>Subdirector de Gestión Normativa y Doctrina</w:t>
      </w:r>
    </w:p>
    <w:p w14:paraId="0DBD14B6" w14:textId="77777777" w:rsidR="0071405C" w:rsidRPr="00647962" w:rsidRDefault="0071405C" w:rsidP="0071405C">
      <w:pPr>
        <w:spacing w:line="240" w:lineRule="auto"/>
        <w:rPr>
          <w:rFonts w:eastAsia="Times New Roman" w:cs="Times New Roman"/>
          <w:szCs w:val="24"/>
          <w:lang w:eastAsia="es-ES"/>
        </w:rPr>
      </w:pPr>
      <w:r w:rsidRPr="00647962">
        <w:rPr>
          <w:rFonts w:eastAsia="Times New Roman" w:cs="Times New Roman"/>
          <w:szCs w:val="24"/>
          <w:lang w:val="es-CO" w:eastAsia="es-ES"/>
        </w:rPr>
        <w:t>Dirección de Gestión Jurídica</w:t>
      </w:r>
    </w:p>
    <w:p w14:paraId="29D037D4" w14:textId="77777777" w:rsidR="0071405C" w:rsidRPr="00647962" w:rsidRDefault="0071405C" w:rsidP="0071405C">
      <w:pPr>
        <w:spacing w:line="240" w:lineRule="auto"/>
        <w:rPr>
          <w:rFonts w:eastAsia="Times New Roman" w:cs="Times New Roman"/>
          <w:szCs w:val="24"/>
          <w:lang w:val="es-CO" w:eastAsia="es-ES"/>
        </w:rPr>
      </w:pPr>
      <w:r w:rsidRPr="00647962">
        <w:rPr>
          <w:rFonts w:eastAsia="Times New Roman" w:cs="Times New Roman"/>
          <w:szCs w:val="24"/>
          <w:lang w:val="es-CO" w:eastAsia="es-ES"/>
        </w:rPr>
        <w:t>U.A.E. Dirección de Impuestos y Aduanas Nacionales</w:t>
      </w:r>
    </w:p>
    <w:p w14:paraId="7994E9EF" w14:textId="6EA83B62" w:rsidR="0071405C" w:rsidRPr="0071405C" w:rsidRDefault="0071405C" w:rsidP="0071405C">
      <w:pPr>
        <w:shd w:val="clear" w:color="auto" w:fill="FFFFFF"/>
        <w:spacing w:after="100" w:afterAutospacing="1"/>
        <w:rPr>
          <w:rFonts w:eastAsia="Times New Roman" w:cs="Times New Roman"/>
          <w:color w:val="212529"/>
          <w:szCs w:val="24"/>
          <w:lang w:eastAsia="es-ES"/>
        </w:rPr>
      </w:pPr>
      <w:r>
        <w:rPr>
          <w:rFonts w:eastAsia="Times New Roman" w:cs="Times New Roman"/>
          <w:color w:val="212529"/>
          <w:szCs w:val="24"/>
          <w:lang w:eastAsia="es-ES"/>
        </w:rPr>
        <w:t>_____________________________________________________________________________</w:t>
      </w:r>
    </w:p>
    <w:p w14:paraId="50F6DD94" w14:textId="77777777" w:rsidR="0071405C" w:rsidRPr="0071405C" w:rsidRDefault="0071405C" w:rsidP="0071405C">
      <w:pPr>
        <w:shd w:val="clear" w:color="auto" w:fill="FFFFFF"/>
        <w:spacing w:after="100" w:afterAutospacing="1"/>
        <w:rPr>
          <w:rFonts w:eastAsia="Times New Roman" w:cs="Times New Roman"/>
          <w:color w:val="212529"/>
          <w:szCs w:val="24"/>
          <w:lang w:eastAsia="es-ES"/>
        </w:rPr>
      </w:pPr>
      <w:r w:rsidRPr="0071405C">
        <w:rPr>
          <w:rFonts w:eastAsia="Times New Roman" w:cs="Times New Roman"/>
          <w:color w:val="212529"/>
          <w:szCs w:val="24"/>
          <w:lang w:eastAsia="es-ES"/>
        </w:rPr>
        <w:t> </w:t>
      </w:r>
    </w:p>
    <w:p w14:paraId="5EA22A77" w14:textId="77777777" w:rsidR="0071405C" w:rsidRPr="0071405C" w:rsidRDefault="0071405C" w:rsidP="0071405C">
      <w:pPr>
        <w:shd w:val="clear" w:color="auto" w:fill="FFFFFF"/>
        <w:spacing w:after="100" w:afterAutospacing="1"/>
        <w:rPr>
          <w:rFonts w:eastAsia="Times New Roman" w:cs="Times New Roman"/>
          <w:color w:val="212529"/>
          <w:szCs w:val="24"/>
          <w:lang w:eastAsia="es-ES"/>
        </w:rPr>
      </w:pPr>
      <w:r w:rsidRPr="0071405C">
        <w:rPr>
          <w:rFonts w:eastAsia="Times New Roman" w:cs="Times New Roman"/>
          <w:color w:val="212529"/>
          <w:szCs w:val="24"/>
          <w:lang w:eastAsia="es-ES"/>
        </w:rPr>
        <w:t> </w:t>
      </w:r>
    </w:p>
    <w:p w14:paraId="1241FEE8" w14:textId="77777777" w:rsidR="007F5CC8" w:rsidRPr="0071405C" w:rsidRDefault="007F5CC8" w:rsidP="0071405C">
      <w:pPr>
        <w:rPr>
          <w:rFonts w:cs="Times New Roman"/>
          <w:szCs w:val="24"/>
        </w:rPr>
      </w:pPr>
    </w:p>
    <w:sectPr w:rsidR="007F5CC8" w:rsidRPr="0071405C"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60504"/>
    <w:multiLevelType w:val="multilevel"/>
    <w:tmpl w:val="37CCE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986C71"/>
    <w:multiLevelType w:val="multilevel"/>
    <w:tmpl w:val="0C7A0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05C"/>
    <w:rsid w:val="001E311E"/>
    <w:rsid w:val="00434AE6"/>
    <w:rsid w:val="0071405C"/>
    <w:rsid w:val="007F5CC8"/>
    <w:rsid w:val="008779B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DB58F"/>
  <w15:chartTrackingRefBased/>
  <w15:docId w15:val="{99E7F34D-7DDF-4EC5-8073-8488E5889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93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1408</Words>
  <Characters>7750</Characters>
  <Application>Microsoft Office Word</Application>
  <DocSecurity>0</DocSecurity>
  <Lines>64</Lines>
  <Paragraphs>18</Paragraphs>
  <ScaleCrop>false</ScaleCrop>
  <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2020-05-16T22:26:00Z</dcterms:created>
  <dcterms:modified xsi:type="dcterms:W3CDTF">2020-05-16T22:32:00Z</dcterms:modified>
</cp:coreProperties>
</file>