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F66DB" w14:textId="77777777" w:rsidR="007D12C4" w:rsidRPr="007D12C4" w:rsidRDefault="007D12C4" w:rsidP="007D12C4">
      <w:pPr>
        <w:jc w:val="center"/>
        <w:rPr>
          <w:rFonts w:eastAsia="Times New Roman" w:cs="Times New Roman"/>
          <w:szCs w:val="24"/>
          <w:lang w:eastAsia="es-ES"/>
        </w:rPr>
      </w:pPr>
      <w:r w:rsidRPr="007D12C4">
        <w:rPr>
          <w:rFonts w:eastAsia="Times New Roman" w:cs="Times New Roman"/>
          <w:b/>
          <w:bCs/>
          <w:szCs w:val="24"/>
          <w:lang w:val="es-CO" w:eastAsia="es-ES"/>
        </w:rPr>
        <w:t xml:space="preserve">OFICIO </w:t>
      </w:r>
      <w:proofErr w:type="spellStart"/>
      <w:r w:rsidRPr="007D12C4">
        <w:rPr>
          <w:rFonts w:eastAsia="Times New Roman" w:cs="Times New Roman"/>
          <w:b/>
          <w:bCs/>
          <w:szCs w:val="24"/>
          <w:lang w:val="es-CO" w:eastAsia="es-ES"/>
        </w:rPr>
        <w:t>Nº</w:t>
      </w:r>
      <w:proofErr w:type="spellEnd"/>
      <w:r w:rsidRPr="007D12C4">
        <w:rPr>
          <w:rFonts w:eastAsia="Times New Roman" w:cs="Times New Roman"/>
          <w:b/>
          <w:bCs/>
          <w:szCs w:val="24"/>
          <w:lang w:val="es-CO" w:eastAsia="es-ES"/>
        </w:rPr>
        <w:t xml:space="preserve"> 0264 [900579]</w:t>
      </w:r>
    </w:p>
    <w:p w14:paraId="4269B14E" w14:textId="77777777" w:rsidR="007D12C4" w:rsidRPr="007D12C4" w:rsidRDefault="007D12C4" w:rsidP="007D12C4">
      <w:pPr>
        <w:jc w:val="center"/>
        <w:rPr>
          <w:rFonts w:eastAsia="Times New Roman" w:cs="Times New Roman"/>
          <w:szCs w:val="24"/>
          <w:lang w:eastAsia="es-ES"/>
        </w:rPr>
      </w:pPr>
      <w:r w:rsidRPr="007D12C4">
        <w:rPr>
          <w:rFonts w:eastAsia="Times New Roman" w:cs="Times New Roman"/>
          <w:b/>
          <w:bCs/>
          <w:szCs w:val="24"/>
          <w:lang w:val="es-CO" w:eastAsia="es-ES"/>
        </w:rPr>
        <w:t>04-03-2020</w:t>
      </w:r>
    </w:p>
    <w:p w14:paraId="6BC3DDB1" w14:textId="77777777" w:rsidR="007D12C4" w:rsidRPr="007D12C4" w:rsidRDefault="007D12C4" w:rsidP="007D12C4">
      <w:pPr>
        <w:jc w:val="center"/>
        <w:rPr>
          <w:rFonts w:eastAsia="Times New Roman" w:cs="Times New Roman"/>
          <w:szCs w:val="24"/>
          <w:lang w:eastAsia="es-ES"/>
        </w:rPr>
      </w:pPr>
      <w:r w:rsidRPr="007D12C4">
        <w:rPr>
          <w:rFonts w:eastAsia="Times New Roman" w:cs="Times New Roman"/>
          <w:b/>
          <w:bCs/>
          <w:szCs w:val="24"/>
          <w:lang w:val="es-CO" w:eastAsia="es-ES"/>
        </w:rPr>
        <w:t>DIAN</w:t>
      </w:r>
    </w:p>
    <w:p w14:paraId="541CBFC4"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6DF5B4C4"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0624B8FF"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Subdirección de Gestión Normativa y Doctrina</w:t>
      </w:r>
    </w:p>
    <w:p w14:paraId="49D9B06E"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100208221-000264</w:t>
      </w:r>
    </w:p>
    <w:p w14:paraId="3F5242BA"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Bogotá, D.C.</w:t>
      </w:r>
    </w:p>
    <w:p w14:paraId="51D6C072"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36A1BE51" w14:textId="77777777" w:rsidR="007D12C4" w:rsidRPr="007D12C4" w:rsidRDefault="007D12C4" w:rsidP="007D12C4">
      <w:pPr>
        <w:rPr>
          <w:rFonts w:eastAsia="Times New Roman" w:cs="Times New Roman"/>
          <w:szCs w:val="24"/>
          <w:lang w:eastAsia="es-ES"/>
        </w:rPr>
      </w:pPr>
      <w:proofErr w:type="spellStart"/>
      <w:r w:rsidRPr="007D12C4">
        <w:rPr>
          <w:rFonts w:eastAsia="Times New Roman" w:cs="Times New Roman"/>
          <w:b/>
          <w:bCs/>
          <w:szCs w:val="24"/>
          <w:lang w:val="es-CO" w:eastAsia="es-ES"/>
        </w:rPr>
        <w:t>Ref</w:t>
      </w:r>
      <w:proofErr w:type="spellEnd"/>
      <w:r w:rsidRPr="007D12C4">
        <w:rPr>
          <w:rFonts w:eastAsia="Times New Roman" w:cs="Times New Roman"/>
          <w:b/>
          <w:bCs/>
          <w:szCs w:val="24"/>
          <w:lang w:val="es-CO" w:eastAsia="es-ES"/>
        </w:rPr>
        <w:t>:</w:t>
      </w:r>
      <w:r w:rsidRPr="007D12C4">
        <w:rPr>
          <w:rFonts w:eastAsia="Times New Roman" w:cs="Times New Roman"/>
          <w:szCs w:val="24"/>
          <w:lang w:val="es-CO" w:eastAsia="es-ES"/>
        </w:rPr>
        <w:t> Radicado 100005088 del 21/01/2020 y 100013341 del 14/02/2020</w:t>
      </w:r>
    </w:p>
    <w:p w14:paraId="760EE84A"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5782"/>
      </w:tblGrid>
      <w:tr w:rsidR="007D12C4" w:rsidRPr="007D12C4" w14:paraId="62AA750B" w14:textId="77777777" w:rsidTr="007D12C4">
        <w:tc>
          <w:tcPr>
            <w:tcW w:w="0" w:type="auto"/>
            <w:tcBorders>
              <w:top w:val="nil"/>
              <w:left w:val="nil"/>
              <w:bottom w:val="nil"/>
              <w:right w:val="nil"/>
            </w:tcBorders>
            <w:shd w:val="clear" w:color="auto" w:fill="auto"/>
            <w:tcMar>
              <w:top w:w="0" w:type="dxa"/>
              <w:left w:w="108" w:type="dxa"/>
              <w:bottom w:w="0" w:type="dxa"/>
              <w:right w:w="108" w:type="dxa"/>
            </w:tcMar>
            <w:hideMark/>
          </w:tcPr>
          <w:p w14:paraId="34F247EF" w14:textId="77777777" w:rsidR="007D12C4" w:rsidRPr="007D12C4" w:rsidRDefault="007D12C4" w:rsidP="007D12C4">
            <w:pPr>
              <w:rPr>
                <w:rFonts w:eastAsia="Times New Roman" w:cs="Times New Roman"/>
                <w:szCs w:val="24"/>
                <w:lang w:eastAsia="es-ES"/>
              </w:rPr>
            </w:pPr>
            <w:r w:rsidRPr="007D12C4">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BE68C6"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CC662AD"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1C44C29"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Procedimiento Tributario</w:t>
            </w:r>
          </w:p>
        </w:tc>
      </w:tr>
      <w:tr w:rsidR="007D12C4" w:rsidRPr="007D12C4" w14:paraId="3BE7EFF9" w14:textId="77777777" w:rsidTr="007D12C4">
        <w:tc>
          <w:tcPr>
            <w:tcW w:w="0" w:type="auto"/>
            <w:tcBorders>
              <w:top w:val="nil"/>
              <w:left w:val="nil"/>
              <w:bottom w:val="nil"/>
              <w:right w:val="nil"/>
            </w:tcBorders>
            <w:shd w:val="clear" w:color="auto" w:fill="auto"/>
            <w:tcMar>
              <w:top w:w="0" w:type="dxa"/>
              <w:left w:w="108" w:type="dxa"/>
              <w:bottom w:w="0" w:type="dxa"/>
              <w:right w:w="108" w:type="dxa"/>
            </w:tcMar>
            <w:hideMark/>
          </w:tcPr>
          <w:p w14:paraId="40591106" w14:textId="77777777" w:rsidR="007D12C4" w:rsidRPr="007D12C4" w:rsidRDefault="007D12C4" w:rsidP="007D12C4">
            <w:pPr>
              <w:rPr>
                <w:rFonts w:eastAsia="Times New Roman" w:cs="Times New Roman"/>
                <w:szCs w:val="24"/>
                <w:lang w:eastAsia="es-ES"/>
              </w:rPr>
            </w:pPr>
            <w:r w:rsidRPr="007D12C4">
              <w:rPr>
                <w:rFonts w:eastAsia="Times New Roman" w:cs="Times New Roman"/>
                <w:b/>
                <w:bCs/>
                <w:szCs w:val="24"/>
                <w:lang w:val="es-CO" w:eastAsia="es-ES"/>
              </w:rPr>
              <w:t>Descriptores</w:t>
            </w:r>
          </w:p>
          <w:p w14:paraId="33EEDE7C"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DA0393"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C81802"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A4DFD70"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Anticipo del Impuesto Sobre la Renta y Complementarios</w:t>
            </w:r>
          </w:p>
          <w:p w14:paraId="3D007D11"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Anticipo del Impuesto Sobre la Renta y Complementarios</w:t>
            </w:r>
          </w:p>
          <w:p w14:paraId="56CAC4AC"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Calculo</w:t>
            </w:r>
          </w:p>
        </w:tc>
      </w:tr>
      <w:tr w:rsidR="007D12C4" w:rsidRPr="007D12C4" w14:paraId="2643BE46" w14:textId="77777777" w:rsidTr="007D12C4">
        <w:tc>
          <w:tcPr>
            <w:tcW w:w="0" w:type="auto"/>
            <w:tcBorders>
              <w:top w:val="nil"/>
              <w:left w:val="nil"/>
              <w:bottom w:val="nil"/>
              <w:right w:val="nil"/>
            </w:tcBorders>
            <w:shd w:val="clear" w:color="auto" w:fill="auto"/>
            <w:tcMar>
              <w:top w:w="0" w:type="dxa"/>
              <w:left w:w="108" w:type="dxa"/>
              <w:bottom w:w="0" w:type="dxa"/>
              <w:right w:w="108" w:type="dxa"/>
            </w:tcMar>
            <w:hideMark/>
          </w:tcPr>
          <w:p w14:paraId="4BEDF61A" w14:textId="77777777" w:rsidR="007D12C4" w:rsidRPr="007D12C4" w:rsidRDefault="007D12C4" w:rsidP="007D12C4">
            <w:pPr>
              <w:rPr>
                <w:rFonts w:eastAsia="Times New Roman" w:cs="Times New Roman"/>
                <w:szCs w:val="24"/>
                <w:lang w:eastAsia="es-ES"/>
              </w:rPr>
            </w:pPr>
            <w:r w:rsidRPr="007D12C4">
              <w:rPr>
                <w:rFonts w:eastAsia="Times New Roman" w:cs="Times New Roman"/>
                <w:b/>
                <w:bCs/>
                <w:szCs w:val="24"/>
                <w:lang w:val="es-CO" w:eastAsia="es-ES"/>
              </w:rPr>
              <w:t>Fuentes formales</w:t>
            </w:r>
          </w:p>
          <w:p w14:paraId="03072AB3"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FDD40B"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8BC7A9F"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B90153" w14:textId="77777777" w:rsidR="007D12C4" w:rsidRPr="007D12C4" w:rsidRDefault="007D12C4" w:rsidP="007D12C4">
            <w:pPr>
              <w:rPr>
                <w:rFonts w:eastAsia="Times New Roman" w:cs="Times New Roman"/>
                <w:szCs w:val="24"/>
                <w:lang w:eastAsia="es-ES"/>
              </w:rPr>
            </w:pPr>
            <w:hyperlink r:id="rId4" w:tooltip="Estatuto Tributario CETA" w:history="1">
              <w:r w:rsidRPr="007D12C4">
                <w:rPr>
                  <w:rFonts w:eastAsia="Times New Roman" w:cs="Times New Roman"/>
                  <w:szCs w:val="24"/>
                  <w:lang w:val="es-CO" w:eastAsia="es-ES"/>
                </w:rPr>
                <w:t>Artículo 807</w:t>
              </w:r>
            </w:hyperlink>
            <w:r w:rsidRPr="007D12C4">
              <w:rPr>
                <w:rFonts w:eastAsia="Times New Roman" w:cs="Times New Roman"/>
                <w:szCs w:val="24"/>
                <w:lang w:val="es-CO" w:eastAsia="es-ES"/>
              </w:rPr>
              <w:t> del Estatuto Tributario.</w:t>
            </w:r>
          </w:p>
          <w:p w14:paraId="4174A5A5"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Artículos 1.2.6.6. a 1.2.6.11. del Decreto 1625 de 2016.</w:t>
            </w:r>
          </w:p>
          <w:p w14:paraId="33037246"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Concepto No. 053751 del 2 de julio de 1997</w:t>
            </w:r>
          </w:p>
        </w:tc>
      </w:tr>
    </w:tbl>
    <w:p w14:paraId="0FE74AEA"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3731B16D"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087061D7"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Cordial saludo, señor Cabrera.</w:t>
      </w:r>
    </w:p>
    <w:p w14:paraId="5A663445"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1DF019A1"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F13F1CF"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5B304E24"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Mediante el radicado de la referencia, el peticionario consulta si:</w:t>
      </w:r>
    </w:p>
    <w:p w14:paraId="6732A0E7"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1C53B85A"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highlight w:val="green"/>
          <w:lang w:val="es-CO" w:eastAsia="es-ES"/>
        </w:rPr>
        <w:t>De acuerdo con el </w:t>
      </w:r>
      <w:hyperlink r:id="rId5" w:tooltip="Estatuto Tributario CETA" w:history="1">
        <w:r w:rsidRPr="007D12C4">
          <w:rPr>
            <w:rFonts w:eastAsia="Times New Roman" w:cs="Times New Roman"/>
            <w:i/>
            <w:iCs/>
            <w:szCs w:val="24"/>
            <w:highlight w:val="green"/>
            <w:lang w:val="es-CO" w:eastAsia="es-ES"/>
          </w:rPr>
          <w:t>artículo 807 </w:t>
        </w:r>
      </w:hyperlink>
      <w:r w:rsidRPr="007D12C4">
        <w:rPr>
          <w:rFonts w:eastAsia="Times New Roman" w:cs="Times New Roman"/>
          <w:i/>
          <w:iCs/>
          <w:szCs w:val="24"/>
          <w:highlight w:val="green"/>
          <w:lang w:val="es-CO" w:eastAsia="es-ES"/>
        </w:rPr>
        <w:t>del Estatuto Tributario, la base del anticipo se puede calcular con el promedio del impuesto neto de renta de los dos (2) últimos años. ¿Es posible (SÍ o NO) descontar del promedio anterior las autorretenciones especiales en renta contempladas en la Ley 1819 de 2016?</w:t>
      </w:r>
    </w:p>
    <w:p w14:paraId="52D426E4"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2FE4DCA2"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Sobre el particular, las consideraciones de este Despacho son las siguientes:</w:t>
      </w:r>
    </w:p>
    <w:p w14:paraId="79F10A97"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2F303798"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El </w:t>
      </w:r>
      <w:hyperlink r:id="rId6" w:tooltip="Estatuto Tributario CETA" w:history="1">
        <w:r w:rsidRPr="007D12C4">
          <w:rPr>
            <w:rFonts w:eastAsia="Times New Roman" w:cs="Times New Roman"/>
            <w:szCs w:val="24"/>
            <w:lang w:val="es-CO" w:eastAsia="es-ES"/>
          </w:rPr>
          <w:t>artículo 807</w:t>
        </w:r>
      </w:hyperlink>
      <w:r w:rsidRPr="007D12C4">
        <w:rPr>
          <w:rFonts w:eastAsia="Times New Roman" w:cs="Times New Roman"/>
          <w:szCs w:val="24"/>
          <w:lang w:val="es-CO" w:eastAsia="es-ES"/>
        </w:rPr>
        <w:t> del Estatuto Tributario establece de la siguiente forma el cálculo y aplicación del anticipo del impuesto sobre la renta y complementarios:</w:t>
      </w:r>
    </w:p>
    <w:p w14:paraId="67D19C0E"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lastRenderedPageBreak/>
        <w:t> </w:t>
      </w:r>
    </w:p>
    <w:p w14:paraId="6F5CBD1E"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b/>
          <w:bCs/>
          <w:i/>
          <w:iCs/>
          <w:szCs w:val="24"/>
          <w:lang w:val="es-CO" w:eastAsia="es-ES"/>
        </w:rPr>
        <w:t>“</w:t>
      </w:r>
      <w:hyperlink r:id="rId7" w:tooltip="Estatuto Tributario CETA" w:history="1">
        <w:r w:rsidRPr="007D12C4">
          <w:rPr>
            <w:rFonts w:eastAsia="Times New Roman" w:cs="Times New Roman"/>
            <w:b/>
            <w:bCs/>
            <w:i/>
            <w:iCs/>
            <w:szCs w:val="24"/>
            <w:lang w:val="es-CO" w:eastAsia="es-ES"/>
          </w:rPr>
          <w:t>Artículo 807</w:t>
        </w:r>
      </w:hyperlink>
      <w:r w:rsidRPr="007D12C4">
        <w:rPr>
          <w:rFonts w:eastAsia="Times New Roman" w:cs="Times New Roman"/>
          <w:b/>
          <w:bCs/>
          <w:i/>
          <w:iCs/>
          <w:szCs w:val="24"/>
          <w:lang w:val="es-CO" w:eastAsia="es-ES"/>
        </w:rPr>
        <w:t>. CÁLCULO Y APLICACIÓN DEL ANTICIPO.</w:t>
      </w:r>
      <w:r w:rsidRPr="007D12C4">
        <w:rPr>
          <w:rFonts w:eastAsia="Times New Roman" w:cs="Times New Roman"/>
          <w:i/>
          <w:iCs/>
          <w:szCs w:val="24"/>
          <w:lang w:val="es-CO" w:eastAsia="es-ES"/>
        </w:rPr>
        <w:t> Los contribuyentes del impuesto sobre la renta están obligados a pagar un setenta y cinco por ciento (75%) del impuesto de renta y </w:t>
      </w:r>
      <w:r w:rsidRPr="007D12C4">
        <w:rPr>
          <w:rFonts w:eastAsia="Times New Roman" w:cs="Times New Roman"/>
          <w:i/>
          <w:iCs/>
          <w:szCs w:val="24"/>
          <w:u w:val="single"/>
          <w:lang w:val="es-CO" w:eastAsia="es-ES"/>
        </w:rPr>
        <w:t>del complementario de patrimonio,</w:t>
      </w:r>
      <w:r w:rsidRPr="007D12C4">
        <w:rPr>
          <w:rFonts w:eastAsia="Times New Roman" w:cs="Times New Roman"/>
          <w:i/>
          <w:iCs/>
          <w:szCs w:val="24"/>
          <w:lang w:val="es-CO" w:eastAsia="es-ES"/>
        </w:rPr>
        <w:t> determinado en su liquidación privada, a título de anticipo del impuesto de renta del año siguiente al gravable.</w:t>
      </w:r>
    </w:p>
    <w:p w14:paraId="53D027A6"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szCs w:val="24"/>
          <w:lang w:val="es-CO" w:eastAsia="es-ES"/>
        </w:rPr>
        <w:t> </w:t>
      </w:r>
    </w:p>
    <w:p w14:paraId="738DFFF7"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Para determinar la base del anticipo, al impuesto neto de renta y </w:t>
      </w:r>
      <w:r w:rsidRPr="007D12C4">
        <w:rPr>
          <w:rFonts w:eastAsia="Times New Roman" w:cs="Times New Roman"/>
          <w:i/>
          <w:iCs/>
          <w:szCs w:val="24"/>
          <w:u w:val="single"/>
          <w:lang w:val="es-CO" w:eastAsia="es-ES"/>
        </w:rPr>
        <w:t>al complementario de patrimonio</w:t>
      </w:r>
      <w:r w:rsidRPr="007D12C4">
        <w:rPr>
          <w:rFonts w:eastAsia="Times New Roman" w:cs="Times New Roman"/>
          <w:i/>
          <w:iCs/>
          <w:szCs w:val="24"/>
          <w:lang w:val="es-CO" w:eastAsia="es-ES"/>
        </w:rPr>
        <w:t> del año gravable, o al promedio de los dos (2) últimos años a opción del contribuyente, se aplica el porcentaje previsto en el inciso anterior. Del resultado así obtenido se descuenta el valor de la retención en la fuente correspondiente al respectivo ejercicio fiscal, con lo cual se obtiene el anticipo a pagar.</w:t>
      </w:r>
    </w:p>
    <w:p w14:paraId="29A19FD1"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szCs w:val="24"/>
          <w:lang w:val="es-CO" w:eastAsia="es-ES"/>
        </w:rPr>
        <w:t> </w:t>
      </w:r>
    </w:p>
    <w:p w14:paraId="387CDCC8"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En el caso de contribuyentes que declaran por primera vez, el porcentaje de anticipo de que trata este artículo será del veinticinco por ciento (25%) para el primer año, cincuenta por ciento (50%) para el segundo año y setenta y cinco por ciento (75%) para los años siguientes.</w:t>
      </w:r>
    </w:p>
    <w:p w14:paraId="292EC5EA"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 </w:t>
      </w:r>
    </w:p>
    <w:p w14:paraId="026B7302"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En las respectivas liquidaciones privadas del impuesto sobre la renta y complementarios los contribuyentes agregarán al total liquidado el valor del anticipo. Del resultado anterior deducirán el valor del anticipo consignado de acuerdo con la liquidación del año o período gravable inmediatamente anterior, el valor retenido en la fuente y el saldo a favor del período anterior, cuando fuere del caso. La diferencia se cancelará en la proporción y dentro de los términos señalados para el pago de la liquidación privada.”</w:t>
      </w:r>
      <w:r w:rsidRPr="007D12C4">
        <w:rPr>
          <w:rFonts w:eastAsia="Times New Roman" w:cs="Times New Roman"/>
          <w:szCs w:val="24"/>
          <w:lang w:val="es-CO" w:eastAsia="es-ES"/>
        </w:rPr>
        <w:t> (Los textos subrayados perdieron vigencia a partir del año gravable de 1992, de conformidad con el Decreto 1321 de 1989)</w:t>
      </w:r>
    </w:p>
    <w:p w14:paraId="6F27D4C3" w14:textId="77777777" w:rsidR="007D12C4" w:rsidRPr="007D12C4" w:rsidRDefault="007D12C4" w:rsidP="007D12C4">
      <w:pPr>
        <w:rPr>
          <w:rFonts w:eastAsia="Times New Roman" w:cs="Times New Roman"/>
          <w:sz w:val="36"/>
          <w:szCs w:val="36"/>
          <w:lang w:eastAsia="es-ES"/>
        </w:rPr>
      </w:pPr>
      <w:r w:rsidRPr="007D12C4">
        <w:rPr>
          <w:rFonts w:eastAsia="Times New Roman" w:cs="Times New Roman"/>
          <w:sz w:val="36"/>
          <w:szCs w:val="36"/>
          <w:lang w:val="es-CO" w:eastAsia="es-ES"/>
        </w:rPr>
        <w:t> </w:t>
      </w:r>
    </w:p>
    <w:p w14:paraId="661A3028" w14:textId="77777777" w:rsidR="007D12C4" w:rsidRPr="007D12C4" w:rsidRDefault="007D12C4" w:rsidP="007D12C4">
      <w:pPr>
        <w:rPr>
          <w:rFonts w:eastAsia="Times New Roman" w:cs="Times New Roman"/>
          <w:sz w:val="36"/>
          <w:szCs w:val="36"/>
          <w:lang w:eastAsia="es-ES"/>
        </w:rPr>
      </w:pPr>
      <w:r w:rsidRPr="007D12C4">
        <w:rPr>
          <w:rFonts w:eastAsia="Times New Roman" w:cs="Times New Roman"/>
          <w:sz w:val="36"/>
          <w:szCs w:val="36"/>
          <w:highlight w:val="green"/>
          <w:lang w:val="es-CO" w:eastAsia="es-ES"/>
        </w:rPr>
        <w:t>Teniendo en cuenta la anterior disposición normativa, y respecto a la consulta del peticionario, la respuesta es afirmativa. Esto es, la noción de retención en la fuente para efectos del </w:t>
      </w:r>
      <w:hyperlink r:id="rId8" w:tooltip="Estatuto Tributario CETA" w:history="1">
        <w:r w:rsidRPr="007D12C4">
          <w:rPr>
            <w:rFonts w:eastAsia="Times New Roman" w:cs="Times New Roman"/>
            <w:sz w:val="36"/>
            <w:szCs w:val="36"/>
            <w:highlight w:val="green"/>
            <w:lang w:val="es-CO" w:eastAsia="es-ES"/>
          </w:rPr>
          <w:t>artículo 807</w:t>
        </w:r>
      </w:hyperlink>
      <w:r w:rsidRPr="007D12C4">
        <w:rPr>
          <w:rFonts w:eastAsia="Times New Roman" w:cs="Times New Roman"/>
          <w:sz w:val="36"/>
          <w:szCs w:val="36"/>
          <w:highlight w:val="green"/>
          <w:lang w:val="es-CO" w:eastAsia="es-ES"/>
        </w:rPr>
        <w:t> del Estatuto Tributario </w:t>
      </w:r>
      <w:r w:rsidRPr="007D12C4">
        <w:rPr>
          <w:rFonts w:eastAsia="Times New Roman" w:cs="Times New Roman"/>
          <w:b/>
          <w:bCs/>
          <w:sz w:val="36"/>
          <w:szCs w:val="36"/>
          <w:highlight w:val="green"/>
          <w:u w:val="single"/>
          <w:lang w:val="es-CO" w:eastAsia="es-ES"/>
        </w:rPr>
        <w:t>incluye tanto las retenciones practicadas al contribuyente como las autorretenciones</w:t>
      </w:r>
      <w:r w:rsidRPr="007D12C4">
        <w:rPr>
          <w:rFonts w:eastAsia="Times New Roman" w:cs="Times New Roman"/>
          <w:b/>
          <w:bCs/>
          <w:sz w:val="36"/>
          <w:szCs w:val="36"/>
          <w:highlight w:val="green"/>
          <w:lang w:val="es-CO" w:eastAsia="es-ES"/>
        </w:rPr>
        <w:t>, </w:t>
      </w:r>
      <w:r w:rsidRPr="007D12C4">
        <w:rPr>
          <w:rFonts w:eastAsia="Times New Roman" w:cs="Times New Roman"/>
          <w:sz w:val="36"/>
          <w:szCs w:val="36"/>
          <w:highlight w:val="green"/>
          <w:lang w:val="es-CO" w:eastAsia="es-ES"/>
        </w:rPr>
        <w:t>pues ambas tienen por objeto el recaudo del impuesto, en los términos del </w:t>
      </w:r>
      <w:hyperlink r:id="rId9" w:tooltip="Estatuto Tributario CETA" w:history="1">
        <w:r w:rsidRPr="007D12C4">
          <w:rPr>
            <w:rFonts w:eastAsia="Times New Roman" w:cs="Times New Roman"/>
            <w:sz w:val="36"/>
            <w:szCs w:val="36"/>
            <w:highlight w:val="green"/>
            <w:lang w:val="es-CO" w:eastAsia="es-ES"/>
          </w:rPr>
          <w:t>artículo 367</w:t>
        </w:r>
      </w:hyperlink>
      <w:r w:rsidRPr="007D12C4">
        <w:rPr>
          <w:rFonts w:eastAsia="Times New Roman" w:cs="Times New Roman"/>
          <w:sz w:val="36"/>
          <w:szCs w:val="36"/>
          <w:highlight w:val="green"/>
          <w:lang w:val="es-CO" w:eastAsia="es-ES"/>
        </w:rPr>
        <w:t> del Estatuto Tributario.</w:t>
      </w:r>
    </w:p>
    <w:p w14:paraId="15B64DEB"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0DD7EC9E"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Sobre el particular, la doctrina (Concepto No. 053751 del 2 de julio de 1997) ha señalado:</w:t>
      </w:r>
    </w:p>
    <w:p w14:paraId="2F9D1E60"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39A30C76"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w:t>
      </w:r>
    </w:p>
    <w:p w14:paraId="3F21DE90"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 </w:t>
      </w:r>
    </w:p>
    <w:p w14:paraId="11641009"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lastRenderedPageBreak/>
        <w:t>1. La retención en la fuente es un instrumento fiscal encaminado a recaudar el impuesto sobre la renta en el mismo período en que se cause (</w:t>
      </w:r>
      <w:hyperlink r:id="rId10" w:tooltip="Estatuto Tributario CETA" w:history="1">
        <w:r w:rsidRPr="007D12C4">
          <w:rPr>
            <w:rFonts w:eastAsia="Times New Roman" w:cs="Times New Roman"/>
            <w:i/>
            <w:iCs/>
            <w:szCs w:val="24"/>
            <w:lang w:val="es-CO" w:eastAsia="es-ES"/>
          </w:rPr>
          <w:t>Art. 367</w:t>
        </w:r>
      </w:hyperlink>
      <w:r w:rsidRPr="007D12C4">
        <w:rPr>
          <w:rFonts w:eastAsia="Times New Roman" w:cs="Times New Roman"/>
          <w:i/>
          <w:iCs/>
          <w:szCs w:val="24"/>
          <w:lang w:val="es-CO" w:eastAsia="es-ES"/>
        </w:rPr>
        <w:t> del Estatuto Tributario), que supone en general la existencia de un ingreso tributario pagado o abonado en cuenta por un agente retenedor en favor de un contribuyente del impuesto.</w:t>
      </w:r>
    </w:p>
    <w:p w14:paraId="46C7D4F4"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 </w:t>
      </w:r>
    </w:p>
    <w:p w14:paraId="7B416A81"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En ciertos casos la legislación </w:t>
      </w:r>
      <w:r w:rsidRPr="007D12C4">
        <w:rPr>
          <w:rFonts w:eastAsia="Times New Roman" w:cs="Times New Roman"/>
          <w:b/>
          <w:bCs/>
          <w:i/>
          <w:iCs/>
          <w:szCs w:val="24"/>
          <w:lang w:val="es-CO" w:eastAsia="es-ES"/>
        </w:rPr>
        <w:t>autoriza que el contribuyente beneficiario del ingreso actúe como agente autorretenedor.</w:t>
      </w:r>
      <w:r w:rsidRPr="007D12C4">
        <w:rPr>
          <w:rFonts w:eastAsia="Times New Roman" w:cs="Times New Roman"/>
          <w:i/>
          <w:iCs/>
          <w:szCs w:val="24"/>
          <w:lang w:val="es-CO" w:eastAsia="es-ES"/>
        </w:rPr>
        <w:t> (Art. 1o. Decreto 700/97).</w:t>
      </w:r>
    </w:p>
    <w:p w14:paraId="179FDD36"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 </w:t>
      </w:r>
    </w:p>
    <w:p w14:paraId="6AF62E51"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2.. La Ley vigente y sus normas reglamentarias señalan las personas o entidades que tienen la calidad de agentes de retención </w:t>
      </w:r>
      <w:r w:rsidRPr="007D12C4">
        <w:rPr>
          <w:rFonts w:eastAsia="Times New Roman" w:cs="Times New Roman"/>
          <w:b/>
          <w:bCs/>
          <w:i/>
          <w:iCs/>
          <w:szCs w:val="24"/>
          <w:lang w:val="es-CO" w:eastAsia="es-ES"/>
        </w:rPr>
        <w:t>o autorretención</w:t>
      </w:r>
      <w:r w:rsidRPr="007D12C4">
        <w:rPr>
          <w:rFonts w:eastAsia="Times New Roman" w:cs="Times New Roman"/>
          <w:i/>
          <w:iCs/>
          <w:szCs w:val="24"/>
          <w:lang w:val="es-CO" w:eastAsia="es-ES"/>
        </w:rPr>
        <w:t> (</w:t>
      </w:r>
      <w:hyperlink r:id="rId11" w:tooltip="Estatuto Tributario CETA" w:history="1">
        <w:r w:rsidRPr="007D12C4">
          <w:rPr>
            <w:rFonts w:eastAsia="Times New Roman" w:cs="Times New Roman"/>
            <w:i/>
            <w:iCs/>
            <w:szCs w:val="24"/>
            <w:lang w:val="es-CO" w:eastAsia="es-ES"/>
          </w:rPr>
          <w:t>Art. 368</w:t>
        </w:r>
      </w:hyperlink>
      <w:r w:rsidRPr="007D12C4">
        <w:rPr>
          <w:rFonts w:eastAsia="Times New Roman" w:cs="Times New Roman"/>
          <w:i/>
          <w:iCs/>
          <w:szCs w:val="24"/>
          <w:lang w:val="es-CO" w:eastAsia="es-ES"/>
        </w:rPr>
        <w:t> parágrafo 1o. del Estatuto Tributario y demás normas reglamentarias), </w:t>
      </w:r>
      <w:r w:rsidRPr="007D12C4">
        <w:rPr>
          <w:rFonts w:eastAsia="Times New Roman" w:cs="Times New Roman"/>
          <w:b/>
          <w:bCs/>
          <w:i/>
          <w:iCs/>
          <w:szCs w:val="24"/>
          <w:lang w:val="es-CO" w:eastAsia="es-ES"/>
        </w:rPr>
        <w:t>así como los conceptos, base y tarifas de la retención en la fuente.</w:t>
      </w:r>
      <w:r w:rsidRPr="007D12C4">
        <w:rPr>
          <w:rFonts w:eastAsia="Times New Roman" w:cs="Times New Roman"/>
          <w:i/>
          <w:iCs/>
          <w:szCs w:val="24"/>
          <w:lang w:val="es-CO" w:eastAsia="es-ES"/>
        </w:rPr>
        <w:t> (...)”</w:t>
      </w:r>
      <w:r w:rsidRPr="007D12C4">
        <w:rPr>
          <w:rFonts w:eastAsia="Times New Roman" w:cs="Times New Roman"/>
          <w:szCs w:val="24"/>
          <w:lang w:val="es-CO" w:eastAsia="es-ES"/>
        </w:rPr>
        <w:t> (Negrilla fuera del texto).</w:t>
      </w:r>
    </w:p>
    <w:p w14:paraId="015BC121"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380CD173"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En ese sentido, el artículo 1.2.6.11. del Decreto 1625 de 2016, sobre la base para calcular esta autorretención, indica:</w:t>
      </w:r>
    </w:p>
    <w:p w14:paraId="5ECC0709"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5436DCE7"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w:t>
      </w:r>
      <w:r w:rsidRPr="007D12C4">
        <w:rPr>
          <w:rFonts w:eastAsia="Times New Roman" w:cs="Times New Roman"/>
          <w:b/>
          <w:bCs/>
          <w:i/>
          <w:iCs/>
          <w:szCs w:val="24"/>
          <w:lang w:val="es-CO" w:eastAsia="es-ES"/>
        </w:rPr>
        <w:t>Artículo 1.2.6.7.</w:t>
      </w:r>
      <w:r w:rsidRPr="007D12C4">
        <w:rPr>
          <w:rFonts w:eastAsia="Times New Roman" w:cs="Times New Roman"/>
          <w:i/>
          <w:iCs/>
          <w:szCs w:val="24"/>
          <w:lang w:val="es-CO" w:eastAsia="es-ES"/>
        </w:rPr>
        <w:t> Bases para calcular la autorretención a título de impuesto sobre la renta y complementario de que trata el artículo 1.2.6.6. </w:t>
      </w:r>
      <w:r w:rsidRPr="007D12C4">
        <w:rPr>
          <w:rFonts w:eastAsia="Times New Roman" w:cs="Times New Roman"/>
          <w:b/>
          <w:bCs/>
          <w:i/>
          <w:iCs/>
          <w:szCs w:val="24"/>
          <w:lang w:val="es-CO" w:eastAsia="es-ES"/>
        </w:rPr>
        <w:t>Las bases establecidas en las normas vigentes para calcular la retención del impuesto sobre la renta y complementario serán aplicables igualmente para practicar la autorretención a Título de este impuesto de que trata el artículo anterior</w:t>
      </w:r>
      <w:r w:rsidRPr="007D12C4">
        <w:rPr>
          <w:rFonts w:eastAsia="Times New Roman" w:cs="Times New Roman"/>
          <w:b/>
          <w:bCs/>
          <w:szCs w:val="24"/>
          <w:lang w:val="es-CO" w:eastAsia="es-ES"/>
        </w:rPr>
        <w:t>.</w:t>
      </w:r>
    </w:p>
    <w:p w14:paraId="57C574B1"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szCs w:val="24"/>
          <w:lang w:val="es-CO" w:eastAsia="es-ES"/>
        </w:rPr>
        <w:t> </w:t>
      </w:r>
    </w:p>
    <w:p w14:paraId="4D1A7DEC" w14:textId="77777777" w:rsidR="007D12C4" w:rsidRPr="007D12C4" w:rsidRDefault="007D12C4" w:rsidP="007D12C4">
      <w:pPr>
        <w:ind w:left="284"/>
        <w:rPr>
          <w:rFonts w:eastAsia="Times New Roman" w:cs="Times New Roman"/>
          <w:szCs w:val="24"/>
          <w:lang w:eastAsia="es-ES"/>
        </w:rPr>
      </w:pPr>
      <w:r w:rsidRPr="007D12C4">
        <w:rPr>
          <w:rFonts w:eastAsia="Times New Roman" w:cs="Times New Roman"/>
          <w:i/>
          <w:iCs/>
          <w:szCs w:val="24"/>
          <w:lang w:val="es-CO" w:eastAsia="es-ES"/>
        </w:rPr>
        <w:t xml:space="preserve">No </w:t>
      </w:r>
      <w:proofErr w:type="gramStart"/>
      <w:r w:rsidRPr="007D12C4">
        <w:rPr>
          <w:rFonts w:eastAsia="Times New Roman" w:cs="Times New Roman"/>
          <w:i/>
          <w:iCs/>
          <w:szCs w:val="24"/>
          <w:lang w:val="es-CO" w:eastAsia="es-ES"/>
        </w:rPr>
        <w:t>obstante</w:t>
      </w:r>
      <w:proofErr w:type="gramEnd"/>
      <w:r w:rsidRPr="007D12C4">
        <w:rPr>
          <w:rFonts w:eastAsia="Times New Roman" w:cs="Times New Roman"/>
          <w:i/>
          <w:iCs/>
          <w:szCs w:val="24"/>
          <w:lang w:val="es-CO" w:eastAsia="es-ES"/>
        </w:rPr>
        <w:t xml:space="preserve"> lo anterior, en los siguientes</w:t>
      </w:r>
      <w:r w:rsidRPr="007D12C4">
        <w:rPr>
          <w:rFonts w:eastAsia="Times New Roman" w:cs="Times New Roman"/>
          <w:szCs w:val="24"/>
          <w:lang w:val="es-CO" w:eastAsia="es-ES"/>
        </w:rPr>
        <w:t> </w:t>
      </w:r>
      <w:r w:rsidRPr="007D12C4">
        <w:rPr>
          <w:rFonts w:eastAsia="Times New Roman" w:cs="Times New Roman"/>
          <w:i/>
          <w:iCs/>
          <w:szCs w:val="24"/>
          <w:lang w:val="es-CO" w:eastAsia="es-ES"/>
        </w:rPr>
        <w:t>casos, la base de esta autorretención</w:t>
      </w:r>
      <w:r w:rsidRPr="007D12C4">
        <w:rPr>
          <w:rFonts w:eastAsia="Times New Roman" w:cs="Times New Roman"/>
          <w:i/>
          <w:iCs/>
          <w:spacing w:val="56"/>
          <w:szCs w:val="24"/>
          <w:lang w:val="es-CO" w:eastAsia="es-ES"/>
        </w:rPr>
        <w:t> </w:t>
      </w:r>
      <w:r w:rsidRPr="007D12C4">
        <w:rPr>
          <w:rFonts w:eastAsia="Times New Roman" w:cs="Times New Roman"/>
          <w:i/>
          <w:iCs/>
          <w:szCs w:val="24"/>
          <w:lang w:val="es-CO" w:eastAsia="es-ES"/>
        </w:rPr>
        <w:t>se efectuará de conformidad con las siguientes</w:t>
      </w:r>
      <w:r w:rsidRPr="007D12C4">
        <w:rPr>
          <w:rFonts w:eastAsia="Times New Roman" w:cs="Times New Roman"/>
          <w:i/>
          <w:iCs/>
          <w:spacing w:val="20"/>
          <w:szCs w:val="24"/>
          <w:lang w:val="es-CO" w:eastAsia="es-ES"/>
        </w:rPr>
        <w:t> </w:t>
      </w:r>
      <w:r w:rsidRPr="007D12C4">
        <w:rPr>
          <w:rFonts w:eastAsia="Times New Roman" w:cs="Times New Roman"/>
          <w:i/>
          <w:iCs/>
          <w:szCs w:val="24"/>
          <w:lang w:val="es-CO" w:eastAsia="es-ES"/>
        </w:rPr>
        <w:t>reglas: (...)” </w:t>
      </w:r>
      <w:r w:rsidRPr="007D12C4">
        <w:rPr>
          <w:rFonts w:eastAsia="Times New Roman" w:cs="Times New Roman"/>
          <w:szCs w:val="24"/>
          <w:lang w:val="es-CO" w:eastAsia="es-ES"/>
        </w:rPr>
        <w:t>(Negrilla fuera del texto)</w:t>
      </w:r>
    </w:p>
    <w:p w14:paraId="0C5D957D"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7D3C8C36" w14:textId="77777777" w:rsidR="007D12C4" w:rsidRPr="007D12C4" w:rsidRDefault="007D12C4" w:rsidP="007D12C4">
      <w:pPr>
        <w:rPr>
          <w:rFonts w:eastAsia="Times New Roman" w:cs="Times New Roman"/>
          <w:sz w:val="36"/>
          <w:szCs w:val="36"/>
          <w:lang w:eastAsia="es-ES"/>
        </w:rPr>
      </w:pPr>
      <w:r w:rsidRPr="007D12C4">
        <w:rPr>
          <w:rFonts w:eastAsia="Times New Roman" w:cs="Times New Roman"/>
          <w:sz w:val="36"/>
          <w:szCs w:val="36"/>
          <w:highlight w:val="green"/>
          <w:lang w:val="es-CO" w:eastAsia="es-ES"/>
        </w:rPr>
        <w:t>En ese orden de ideas, se concluye que es posible descontar los valores correspondientes por autorretención en los términos de los artículos 1.2.6.6. 1.2.6.11. del Decreto 1625 de 2016, para el cálculo del anticipo del impuesto sobre la renta.</w:t>
      </w:r>
    </w:p>
    <w:p w14:paraId="16DBEF7A"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1C074CD6" w14:textId="234AA43B"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Atentamente,</w:t>
      </w:r>
    </w:p>
    <w:p w14:paraId="5F1B5FF1"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 </w:t>
      </w:r>
    </w:p>
    <w:p w14:paraId="073531B5" w14:textId="5612E9EE" w:rsidR="007D12C4" w:rsidRPr="007D12C4" w:rsidRDefault="007D12C4" w:rsidP="007D12C4">
      <w:pPr>
        <w:rPr>
          <w:rFonts w:eastAsia="Times New Roman" w:cs="Times New Roman"/>
          <w:szCs w:val="24"/>
          <w:lang w:eastAsia="es-ES"/>
        </w:rPr>
      </w:pPr>
      <w:r w:rsidRPr="007D12C4">
        <w:rPr>
          <w:rFonts w:eastAsia="Times New Roman" w:cs="Times New Roman"/>
          <w:b/>
          <w:bCs/>
          <w:szCs w:val="24"/>
          <w:lang w:val="es-CO" w:eastAsia="es-ES"/>
        </w:rPr>
        <w:t>PABLO EMILIO MENDOZA VELILLA</w:t>
      </w:r>
    </w:p>
    <w:p w14:paraId="1EC08E40"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Subdirector de Gestión Normativa y Doctrina</w:t>
      </w:r>
    </w:p>
    <w:p w14:paraId="5C1DE824" w14:textId="77777777" w:rsidR="007D12C4" w:rsidRPr="007D12C4" w:rsidRDefault="007D12C4" w:rsidP="007D12C4">
      <w:pPr>
        <w:rPr>
          <w:rFonts w:eastAsia="Times New Roman" w:cs="Times New Roman"/>
          <w:szCs w:val="24"/>
          <w:lang w:eastAsia="es-ES"/>
        </w:rPr>
      </w:pPr>
      <w:r w:rsidRPr="007D12C4">
        <w:rPr>
          <w:rFonts w:eastAsia="Times New Roman" w:cs="Times New Roman"/>
          <w:szCs w:val="24"/>
          <w:lang w:val="es-CO" w:eastAsia="es-ES"/>
        </w:rPr>
        <w:t>Dirección de Gestión Jurídica</w:t>
      </w:r>
    </w:p>
    <w:p w14:paraId="025FA471" w14:textId="2EA52F26" w:rsidR="007D12C4" w:rsidRDefault="007D12C4" w:rsidP="007D12C4">
      <w:pPr>
        <w:rPr>
          <w:rFonts w:eastAsia="Times New Roman" w:cs="Times New Roman"/>
          <w:szCs w:val="24"/>
          <w:lang w:val="es-CO" w:eastAsia="es-ES"/>
        </w:rPr>
      </w:pPr>
      <w:r w:rsidRPr="007D12C4">
        <w:rPr>
          <w:rFonts w:eastAsia="Times New Roman" w:cs="Times New Roman"/>
          <w:szCs w:val="24"/>
          <w:lang w:val="es-CO" w:eastAsia="es-ES"/>
        </w:rPr>
        <w:t>UAE-Dirección de Impuestos y Aduanas Nacionales</w:t>
      </w:r>
    </w:p>
    <w:p w14:paraId="120E8206" w14:textId="192DC484" w:rsidR="007D12C4" w:rsidRPr="007D12C4" w:rsidRDefault="007D12C4" w:rsidP="007D12C4">
      <w:pPr>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2A344417" w14:textId="77777777" w:rsidR="007D12C4" w:rsidRPr="007D12C4" w:rsidRDefault="007D12C4" w:rsidP="007D12C4">
      <w:pPr>
        <w:spacing w:after="285"/>
        <w:rPr>
          <w:rFonts w:eastAsia="Times New Roman" w:cs="Times New Roman"/>
          <w:szCs w:val="24"/>
          <w:lang w:eastAsia="es-ES"/>
        </w:rPr>
      </w:pPr>
      <w:r w:rsidRPr="007D12C4">
        <w:rPr>
          <w:rFonts w:eastAsia="Times New Roman" w:cs="Times New Roman"/>
          <w:szCs w:val="24"/>
          <w:lang w:eastAsia="es-ES"/>
        </w:rPr>
        <w:t> </w:t>
      </w:r>
    </w:p>
    <w:sectPr w:rsidR="007D12C4" w:rsidRPr="007D12C4"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C4"/>
    <w:rsid w:val="001E311E"/>
    <w:rsid w:val="00434AE6"/>
    <w:rsid w:val="007D12C4"/>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0620"/>
  <w15:chartTrackingRefBased/>
  <w15:docId w15:val="{EEDD5D77-B7D3-47F4-BA1D-F2ED2ABF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2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9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97" TargetMode="External"/><Relationship Id="rId11" Type="http://schemas.openxmlformats.org/officeDocument/2006/relationships/hyperlink" Target="https://www.ceta.org.co/html/vista_de_un_articulo.asp?Norma=459" TargetMode="External"/><Relationship Id="rId5" Type="http://schemas.openxmlformats.org/officeDocument/2006/relationships/hyperlink" Target="https://www.ceta.org.co/html/vista_de_un_articulo.asp?Norma=997" TargetMode="External"/><Relationship Id="rId10" Type="http://schemas.openxmlformats.org/officeDocument/2006/relationships/hyperlink" Target="https://www.ceta.org.co/html/vista_de_un_articulo.asp?Norma=458" TargetMode="External"/><Relationship Id="rId4" Type="http://schemas.openxmlformats.org/officeDocument/2006/relationships/hyperlink" Target="https://www.ceta.org.co/html/vista_de_un_articulo.asp?Norma=997" TargetMode="External"/><Relationship Id="rId9" Type="http://schemas.openxmlformats.org/officeDocument/2006/relationships/hyperlink" Target="https://www.ceta.org.co/html/vista_de_un_articulo.asp?Norma=4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5748</Characters>
  <Application>Microsoft Office Word</Application>
  <DocSecurity>0</DocSecurity>
  <Lines>47</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2020-05-15T17:12:00Z</dcterms:created>
  <dcterms:modified xsi:type="dcterms:W3CDTF">2020-05-15T17:16:00Z</dcterms:modified>
</cp:coreProperties>
</file>