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F80F5" w14:textId="06373C29" w:rsidR="00604C2C" w:rsidRPr="00604C2C" w:rsidRDefault="00604C2C" w:rsidP="00604C2C">
      <w:pPr>
        <w:jc w:val="center"/>
        <w:outlineLvl w:val="0"/>
        <w:rPr>
          <w:rFonts w:eastAsia="Times New Roman" w:cs="Times New Roman"/>
          <w:kern w:val="36"/>
          <w:szCs w:val="24"/>
          <w:lang w:eastAsia="es-ES"/>
        </w:rPr>
      </w:pPr>
      <w:r w:rsidRPr="00604C2C">
        <w:rPr>
          <w:rFonts w:eastAsia="Times New Roman" w:cs="Times New Roman"/>
          <w:b/>
          <w:bCs/>
          <w:kern w:val="36"/>
          <w:szCs w:val="24"/>
          <w:lang w:eastAsia="es-ES"/>
        </w:rPr>
        <w:t>OFICIO</w:t>
      </w:r>
    </w:p>
    <w:p w14:paraId="6DA33435" w14:textId="77777777" w:rsidR="00604C2C" w:rsidRPr="00604C2C" w:rsidRDefault="00604C2C" w:rsidP="00604C2C">
      <w:pPr>
        <w:jc w:val="center"/>
        <w:outlineLvl w:val="0"/>
        <w:rPr>
          <w:rFonts w:eastAsia="Times New Roman" w:cs="Times New Roman"/>
          <w:kern w:val="36"/>
          <w:szCs w:val="24"/>
          <w:lang w:eastAsia="es-ES"/>
        </w:rPr>
      </w:pPr>
      <w:r w:rsidRPr="00604C2C">
        <w:rPr>
          <w:rFonts w:eastAsia="Times New Roman" w:cs="Times New Roman"/>
          <w:b/>
          <w:bCs/>
          <w:kern w:val="36"/>
          <w:szCs w:val="24"/>
          <w:lang w:eastAsia="es-ES"/>
        </w:rPr>
        <w:t>DIAN</w:t>
      </w:r>
    </w:p>
    <w:p w14:paraId="2916C31A" w14:textId="73B35F67" w:rsidR="00604C2C" w:rsidRPr="00604C2C" w:rsidRDefault="00604C2C" w:rsidP="00604C2C">
      <w:pPr>
        <w:jc w:val="center"/>
        <w:rPr>
          <w:rFonts w:eastAsia="Times New Roman" w:cs="Times New Roman"/>
          <w:b/>
          <w:bCs/>
          <w:szCs w:val="24"/>
          <w:lang w:eastAsia="es-ES"/>
        </w:rPr>
      </w:pPr>
      <w:r w:rsidRPr="00604C2C">
        <w:rPr>
          <w:rFonts w:eastAsia="Times New Roman" w:cs="Times New Roman"/>
          <w:b/>
          <w:bCs/>
          <w:szCs w:val="24"/>
          <w:lang w:eastAsia="es-ES"/>
        </w:rPr>
        <w:t>OFICIO 015 (OO1187)</w:t>
      </w:r>
    </w:p>
    <w:p w14:paraId="158E1F27" w14:textId="4153173B" w:rsidR="00604C2C" w:rsidRPr="00604C2C" w:rsidRDefault="00604C2C" w:rsidP="00604C2C">
      <w:pPr>
        <w:jc w:val="center"/>
        <w:rPr>
          <w:rFonts w:eastAsia="Times New Roman" w:cs="Times New Roman"/>
          <w:szCs w:val="24"/>
          <w:lang w:eastAsia="es-ES"/>
        </w:rPr>
      </w:pPr>
      <w:r w:rsidRPr="00604C2C">
        <w:rPr>
          <w:rFonts w:eastAsia="Times New Roman" w:cs="Times New Roman"/>
          <w:b/>
          <w:bCs/>
          <w:szCs w:val="24"/>
          <w:lang w:eastAsia="es-ES"/>
        </w:rPr>
        <w:t>ENERO 16 DE 2019</w:t>
      </w:r>
    </w:p>
    <w:p w14:paraId="2B693B1E" w14:textId="69477B02" w:rsidR="00604C2C" w:rsidRPr="00604C2C" w:rsidRDefault="00604C2C" w:rsidP="00604C2C">
      <w:pPr>
        <w:rPr>
          <w:rFonts w:eastAsia="Times New Roman" w:cs="Times New Roman"/>
          <w:szCs w:val="24"/>
          <w:lang w:eastAsia="es-ES"/>
        </w:rPr>
      </w:pPr>
    </w:p>
    <w:p w14:paraId="7F0DBD9E" w14:textId="77777777" w:rsidR="00604C2C" w:rsidRPr="00604C2C" w:rsidRDefault="00604C2C" w:rsidP="00604C2C">
      <w:pPr>
        <w:rPr>
          <w:rFonts w:eastAsia="Times New Roman" w:cs="Times New Roman"/>
          <w:szCs w:val="24"/>
          <w:lang w:eastAsia="es-ES"/>
        </w:rPr>
      </w:pPr>
      <w:r w:rsidRPr="00604C2C">
        <w:rPr>
          <w:rFonts w:eastAsia="Times New Roman" w:cs="Times New Roman"/>
          <w:b/>
          <w:bCs/>
          <w:szCs w:val="24"/>
          <w:lang w:eastAsia="es-ES"/>
        </w:rPr>
        <w:t> </w:t>
      </w:r>
    </w:p>
    <w:p w14:paraId="4D3060CA"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Subdirección de Gestión Normativa y Doctrina</w:t>
      </w:r>
    </w:p>
    <w:p w14:paraId="53FE121A"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100208221 – 000015</w:t>
      </w:r>
    </w:p>
    <w:p w14:paraId="55095ECA"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Bogotá, D.C.</w:t>
      </w:r>
    </w:p>
    <w:p w14:paraId="63864213" w14:textId="77777777" w:rsidR="00604C2C" w:rsidRPr="00604C2C" w:rsidRDefault="00604C2C" w:rsidP="00604C2C">
      <w:pPr>
        <w:rPr>
          <w:rFonts w:eastAsia="Times New Roman" w:cs="Times New Roman"/>
          <w:szCs w:val="24"/>
          <w:lang w:eastAsia="es-ES"/>
        </w:rPr>
      </w:pPr>
      <w:proofErr w:type="spellStart"/>
      <w:r w:rsidRPr="00604C2C">
        <w:rPr>
          <w:rFonts w:eastAsia="Times New Roman" w:cs="Times New Roman"/>
          <w:b/>
          <w:bCs/>
          <w:szCs w:val="24"/>
          <w:lang w:eastAsia="es-ES"/>
        </w:rPr>
        <w:t>Ref</w:t>
      </w:r>
      <w:proofErr w:type="spellEnd"/>
      <w:r w:rsidRPr="00604C2C">
        <w:rPr>
          <w:rFonts w:eastAsia="Times New Roman" w:cs="Times New Roman"/>
          <w:b/>
          <w:bCs/>
          <w:szCs w:val="24"/>
          <w:lang w:eastAsia="es-ES"/>
        </w:rPr>
        <w:t>:</w:t>
      </w:r>
      <w:r w:rsidRPr="00604C2C">
        <w:rPr>
          <w:rFonts w:eastAsia="Times New Roman" w:cs="Times New Roman"/>
          <w:szCs w:val="24"/>
          <w:lang w:eastAsia="es-ES"/>
        </w:rPr>
        <w:t> Radicado 100075997 del 14/11/2018</w:t>
      </w:r>
    </w:p>
    <w:p w14:paraId="49B89707" w14:textId="77777777" w:rsidR="00604C2C" w:rsidRDefault="00604C2C" w:rsidP="00604C2C">
      <w:pPr>
        <w:rPr>
          <w:rFonts w:eastAsia="Times New Roman" w:cs="Times New Roman"/>
          <w:b/>
          <w:bCs/>
          <w:szCs w:val="24"/>
          <w:lang w:eastAsia="es-ES"/>
        </w:rPr>
      </w:pPr>
    </w:p>
    <w:p w14:paraId="30A1B2D0" w14:textId="51F89D55" w:rsidR="00604C2C" w:rsidRPr="00604C2C" w:rsidRDefault="00604C2C" w:rsidP="00604C2C">
      <w:pPr>
        <w:rPr>
          <w:rFonts w:eastAsia="Times New Roman" w:cs="Times New Roman"/>
          <w:szCs w:val="24"/>
          <w:lang w:eastAsia="es-ES"/>
        </w:rPr>
      </w:pPr>
      <w:r w:rsidRPr="00604C2C">
        <w:rPr>
          <w:rFonts w:eastAsia="Times New Roman" w:cs="Times New Roman"/>
          <w:b/>
          <w:bCs/>
          <w:szCs w:val="24"/>
          <w:lang w:eastAsia="es-ES"/>
        </w:rPr>
        <w:t>Tema </w:t>
      </w:r>
      <w:r w:rsidRPr="00604C2C">
        <w:rPr>
          <w:rFonts w:eastAsia="Times New Roman" w:cs="Times New Roman"/>
          <w:szCs w:val="24"/>
          <w:lang w:eastAsia="es-ES"/>
        </w:rPr>
        <w:t>Impuesto sobre la Renta y Complementarios</w:t>
      </w:r>
    </w:p>
    <w:p w14:paraId="46559C38" w14:textId="77777777" w:rsidR="00604C2C" w:rsidRPr="00604C2C" w:rsidRDefault="00604C2C" w:rsidP="00604C2C">
      <w:pPr>
        <w:rPr>
          <w:rFonts w:eastAsia="Times New Roman" w:cs="Times New Roman"/>
          <w:szCs w:val="24"/>
          <w:lang w:eastAsia="es-ES"/>
        </w:rPr>
      </w:pPr>
      <w:r w:rsidRPr="00604C2C">
        <w:rPr>
          <w:rFonts w:eastAsia="Times New Roman" w:cs="Times New Roman"/>
          <w:b/>
          <w:bCs/>
          <w:szCs w:val="24"/>
          <w:lang w:eastAsia="es-ES"/>
        </w:rPr>
        <w:t>Descriptores </w:t>
      </w:r>
      <w:r w:rsidRPr="00604C2C">
        <w:rPr>
          <w:rFonts w:eastAsia="Times New Roman" w:cs="Times New Roman"/>
          <w:szCs w:val="24"/>
          <w:lang w:eastAsia="es-ES"/>
        </w:rPr>
        <w:t>Descuentos Tributarios para Empresas de Servicios Públicos Domiciliarios</w:t>
      </w:r>
    </w:p>
    <w:p w14:paraId="5D56F532" w14:textId="77777777" w:rsidR="00604C2C" w:rsidRPr="00604C2C" w:rsidRDefault="00604C2C" w:rsidP="00604C2C">
      <w:pPr>
        <w:rPr>
          <w:rFonts w:eastAsia="Times New Roman" w:cs="Times New Roman"/>
          <w:szCs w:val="24"/>
          <w:lang w:eastAsia="es-ES"/>
        </w:rPr>
      </w:pPr>
      <w:r w:rsidRPr="00604C2C">
        <w:rPr>
          <w:rFonts w:eastAsia="Times New Roman" w:cs="Times New Roman"/>
          <w:b/>
          <w:bCs/>
          <w:szCs w:val="24"/>
          <w:lang w:eastAsia="es-ES"/>
        </w:rPr>
        <w:t>Fuentes formales </w:t>
      </w:r>
      <w:r w:rsidRPr="00604C2C">
        <w:rPr>
          <w:rFonts w:eastAsia="Times New Roman" w:cs="Times New Roman"/>
          <w:szCs w:val="24"/>
          <w:lang w:eastAsia="es-ES"/>
        </w:rPr>
        <w:t>Art. 104 Ley 788 de 2002</w:t>
      </w:r>
    </w:p>
    <w:p w14:paraId="5014D106" w14:textId="77777777" w:rsidR="00604C2C" w:rsidRDefault="00604C2C" w:rsidP="00604C2C">
      <w:pPr>
        <w:rPr>
          <w:rFonts w:eastAsia="Times New Roman" w:cs="Times New Roman"/>
          <w:szCs w:val="24"/>
          <w:lang w:eastAsia="es-ES"/>
        </w:rPr>
      </w:pPr>
    </w:p>
    <w:p w14:paraId="6C096BBC" w14:textId="4986B684"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Cordial saludo, Sr. Rojas</w:t>
      </w:r>
    </w:p>
    <w:p w14:paraId="2A70251D" w14:textId="77777777" w:rsidR="00604C2C" w:rsidRDefault="00604C2C" w:rsidP="00604C2C">
      <w:pPr>
        <w:rPr>
          <w:rFonts w:eastAsia="Times New Roman" w:cs="Times New Roman"/>
          <w:szCs w:val="24"/>
          <w:lang w:eastAsia="es-ES"/>
        </w:rPr>
      </w:pPr>
    </w:p>
    <w:p w14:paraId="4076ECB4" w14:textId="49A3C2AC"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35D10F4C" w14:textId="77777777" w:rsidR="00604C2C" w:rsidRDefault="00604C2C" w:rsidP="00604C2C">
      <w:pPr>
        <w:rPr>
          <w:rFonts w:eastAsia="Times New Roman" w:cs="Times New Roman"/>
          <w:szCs w:val="24"/>
          <w:lang w:eastAsia="es-ES"/>
        </w:rPr>
      </w:pPr>
    </w:p>
    <w:p w14:paraId="2D639454" w14:textId="2B4CA134"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603E134F" w14:textId="3044B46C" w:rsidR="00604C2C" w:rsidRDefault="00604C2C" w:rsidP="00604C2C">
      <w:pPr>
        <w:rPr>
          <w:rFonts w:eastAsia="Times New Roman" w:cs="Times New Roman"/>
          <w:szCs w:val="24"/>
          <w:lang w:eastAsia="es-ES"/>
        </w:rPr>
      </w:pPr>
      <w:r w:rsidRPr="00604C2C">
        <w:rPr>
          <w:rFonts w:eastAsia="Times New Roman" w:cs="Times New Roman"/>
          <w:szCs w:val="24"/>
          <w:lang w:eastAsia="es-ES"/>
        </w:rPr>
        <w:t>En igual sentido, los conceptos que se emiten por este despacho tienen como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14:paraId="56CA5698" w14:textId="77777777" w:rsidR="00604C2C" w:rsidRPr="00604C2C" w:rsidRDefault="00604C2C" w:rsidP="00604C2C">
      <w:pPr>
        <w:rPr>
          <w:rFonts w:eastAsia="Times New Roman" w:cs="Times New Roman"/>
          <w:szCs w:val="24"/>
          <w:lang w:eastAsia="es-ES"/>
        </w:rPr>
      </w:pPr>
    </w:p>
    <w:p w14:paraId="4877B1C3" w14:textId="2B68EA60" w:rsidR="00604C2C" w:rsidRDefault="00604C2C" w:rsidP="00604C2C">
      <w:pPr>
        <w:rPr>
          <w:rFonts w:eastAsia="Times New Roman" w:cs="Times New Roman"/>
          <w:szCs w:val="24"/>
          <w:lang w:eastAsia="es-ES"/>
        </w:rPr>
      </w:pPr>
      <w:r w:rsidRPr="00604C2C">
        <w:rPr>
          <w:rFonts w:eastAsia="Times New Roman" w:cs="Times New Roman"/>
          <w:szCs w:val="24"/>
          <w:lang w:eastAsia="es-ES"/>
        </w:rPr>
        <w:t>Pregunta usted:</w:t>
      </w:r>
    </w:p>
    <w:p w14:paraId="72F42097" w14:textId="77777777" w:rsidR="00604C2C" w:rsidRPr="00604C2C" w:rsidRDefault="00604C2C" w:rsidP="00604C2C">
      <w:pPr>
        <w:rPr>
          <w:rFonts w:eastAsia="Times New Roman" w:cs="Times New Roman"/>
          <w:szCs w:val="24"/>
          <w:lang w:eastAsia="es-ES"/>
        </w:rPr>
      </w:pPr>
    </w:p>
    <w:p w14:paraId="32EB6D8B" w14:textId="1A933825" w:rsidR="00604C2C" w:rsidRDefault="00604C2C" w:rsidP="00604C2C">
      <w:pPr>
        <w:numPr>
          <w:ilvl w:val="0"/>
          <w:numId w:val="1"/>
        </w:numPr>
        <w:ind w:left="0"/>
        <w:rPr>
          <w:rFonts w:eastAsia="Times New Roman" w:cs="Times New Roman"/>
          <w:szCs w:val="24"/>
          <w:lang w:eastAsia="es-ES"/>
        </w:rPr>
      </w:pPr>
      <w:r w:rsidRPr="00604C2C">
        <w:rPr>
          <w:rFonts w:eastAsia="Times New Roman" w:cs="Times New Roman"/>
          <w:szCs w:val="24"/>
          <w:lang w:eastAsia="es-ES"/>
        </w:rPr>
        <w:t>Los descuentos tributarios en las empresas de servicios públicos están sujetas al límite del inciso primero del artículo 259?</w:t>
      </w:r>
    </w:p>
    <w:p w14:paraId="1CDD9D83" w14:textId="77777777" w:rsidR="00604C2C" w:rsidRPr="00604C2C" w:rsidRDefault="00604C2C" w:rsidP="00604C2C">
      <w:pPr>
        <w:rPr>
          <w:rFonts w:eastAsia="Times New Roman" w:cs="Times New Roman"/>
          <w:szCs w:val="24"/>
          <w:lang w:eastAsia="es-ES"/>
        </w:rPr>
      </w:pPr>
    </w:p>
    <w:p w14:paraId="0CD62FF6" w14:textId="77777777" w:rsidR="00604C2C" w:rsidRPr="00604C2C" w:rsidRDefault="00604C2C" w:rsidP="00604C2C">
      <w:pPr>
        <w:numPr>
          <w:ilvl w:val="0"/>
          <w:numId w:val="1"/>
        </w:numPr>
        <w:ind w:left="0"/>
        <w:rPr>
          <w:rFonts w:eastAsia="Times New Roman" w:cs="Times New Roman"/>
          <w:szCs w:val="24"/>
          <w:lang w:eastAsia="es-ES"/>
        </w:rPr>
      </w:pPr>
      <w:r w:rsidRPr="00604C2C">
        <w:rPr>
          <w:rFonts w:eastAsia="Times New Roman" w:cs="Times New Roman"/>
          <w:szCs w:val="24"/>
          <w:lang w:eastAsia="es-ES"/>
        </w:rPr>
        <w:t>Los descuentos tributarios en las empresas de servicios públicos no están sujetos al límite del inciso del artículo 259, en virtud de que no les es aplicable el sistema de renta presuntiva?</w:t>
      </w:r>
    </w:p>
    <w:p w14:paraId="0FFAA844"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 xml:space="preserve">A este respecto, el Concepto 039734 de 2004 refiere a los descuentos tributarios para las empresas de servicios públicos domiciliarios, que presten servicios de acueducto y alcantarillado; de manera </w:t>
      </w:r>
      <w:r w:rsidRPr="00604C2C">
        <w:rPr>
          <w:rFonts w:eastAsia="Times New Roman" w:cs="Times New Roman"/>
          <w:szCs w:val="24"/>
          <w:lang w:eastAsia="es-ES"/>
        </w:rPr>
        <w:lastRenderedPageBreak/>
        <w:t>que, por ser aplicable al caso concreto y por encontrarse vigente, se anexa copia del aludido Concepto.</w:t>
      </w:r>
    </w:p>
    <w:p w14:paraId="1E15FF83"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Para efectos de claridad, el descuento creado por la Ley 788 de 2002 establece:</w:t>
      </w:r>
    </w:p>
    <w:p w14:paraId="4CF81104" w14:textId="77777777" w:rsidR="00604C2C" w:rsidRPr="00604C2C" w:rsidRDefault="00604C2C" w:rsidP="00604C2C">
      <w:pPr>
        <w:rPr>
          <w:rFonts w:eastAsia="Times New Roman" w:cs="Times New Roman"/>
          <w:szCs w:val="24"/>
          <w:lang w:eastAsia="es-ES"/>
        </w:rPr>
      </w:pPr>
      <w:r w:rsidRPr="00604C2C">
        <w:rPr>
          <w:rFonts w:eastAsia="Times New Roman" w:cs="Times New Roman"/>
          <w:i/>
          <w:iCs/>
          <w:szCs w:val="24"/>
          <w:lang w:eastAsia="es-ES"/>
        </w:rPr>
        <w:t> </w:t>
      </w:r>
    </w:p>
    <w:p w14:paraId="63B1AAC8" w14:textId="77777777" w:rsidR="00604C2C" w:rsidRPr="00604C2C" w:rsidRDefault="00604C2C" w:rsidP="00604C2C">
      <w:pPr>
        <w:rPr>
          <w:rFonts w:eastAsia="Times New Roman" w:cs="Times New Roman"/>
          <w:szCs w:val="24"/>
          <w:lang w:eastAsia="es-ES"/>
        </w:rPr>
      </w:pPr>
      <w:r w:rsidRPr="00604C2C">
        <w:rPr>
          <w:rFonts w:eastAsia="Times New Roman" w:cs="Times New Roman"/>
          <w:b/>
          <w:bCs/>
          <w:i/>
          <w:iCs/>
          <w:szCs w:val="24"/>
          <w:lang w:eastAsia="es-ES"/>
        </w:rPr>
        <w:t>“ARTÍCULO 104. DESCUENTO TRIBUTARIO PARA EMPRESAS DE SERVICIOS PÚBLICOS DOMICILIARIOS QUE PRESTEN LOS SERVICIOS DE ACUEDUCTO Y ALCANTARILLADO.</w:t>
      </w:r>
      <w:r w:rsidRPr="00604C2C">
        <w:rPr>
          <w:rFonts w:eastAsia="Times New Roman" w:cs="Times New Roman"/>
          <w:i/>
          <w:iCs/>
          <w:szCs w:val="24"/>
          <w:lang w:eastAsia="es-ES"/>
        </w:rPr>
        <w:t> Las empresas de servicios públicos domiciliarios que presten los servicios de acueducto y alcantarillado, podrán solicitar un descuento equivalente al cuarenta por ciento (40%) del valor de la inversión que realicen en el respectivo año gravable, en empresas de acueducto y alcantarillado del orden regional diferentes a la empresa beneficiaria del descuento. En todos los casos la inversión debe garantizar una ampliación de la cobertura del servicio, en los términos que establezca el reglamento. Este descuento no podrá exceder del cincuenta por ciento (50%) del impuesto neto de renta del respectivo período.”</w:t>
      </w:r>
    </w:p>
    <w:p w14:paraId="31F19CD0"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En este sentido, puede observarse que el referido descuento tiene una limitación especial. Con base en esto, el artículo 1.2.1.24.5 del Decreto Único Reglamentario en materia tributaria 1625 de 2016, establece claramente cuáles son las limitaciones aplicables a dicho descuento:</w:t>
      </w:r>
    </w:p>
    <w:p w14:paraId="1D19AF75" w14:textId="77777777" w:rsidR="00604C2C" w:rsidRPr="00604C2C" w:rsidRDefault="00604C2C" w:rsidP="00604C2C">
      <w:pPr>
        <w:rPr>
          <w:rFonts w:eastAsia="Times New Roman" w:cs="Times New Roman"/>
          <w:szCs w:val="24"/>
          <w:lang w:eastAsia="es-ES"/>
        </w:rPr>
      </w:pPr>
      <w:r w:rsidRPr="00604C2C">
        <w:rPr>
          <w:rFonts w:eastAsia="Times New Roman" w:cs="Times New Roman"/>
          <w:b/>
          <w:bCs/>
          <w:i/>
          <w:iCs/>
          <w:szCs w:val="24"/>
          <w:lang w:eastAsia="es-ES"/>
        </w:rPr>
        <w:t> </w:t>
      </w:r>
    </w:p>
    <w:p w14:paraId="7D6CD173" w14:textId="77777777" w:rsidR="00604C2C" w:rsidRPr="00604C2C" w:rsidRDefault="00604C2C" w:rsidP="00604C2C">
      <w:pPr>
        <w:rPr>
          <w:rFonts w:eastAsia="Times New Roman" w:cs="Times New Roman"/>
          <w:szCs w:val="24"/>
          <w:lang w:eastAsia="es-ES"/>
        </w:rPr>
      </w:pPr>
      <w:r w:rsidRPr="00604C2C">
        <w:rPr>
          <w:rFonts w:eastAsia="Times New Roman" w:cs="Times New Roman"/>
          <w:b/>
          <w:bCs/>
          <w:i/>
          <w:iCs/>
          <w:szCs w:val="24"/>
          <w:lang w:eastAsia="es-ES"/>
        </w:rPr>
        <w:t>“Artículo 1.2.1.24.5. Limitaciones. </w:t>
      </w:r>
      <w:r w:rsidRPr="00604C2C">
        <w:rPr>
          <w:rFonts w:eastAsia="Times New Roman" w:cs="Times New Roman"/>
          <w:i/>
          <w:iCs/>
          <w:szCs w:val="24"/>
          <w:lang w:eastAsia="es-ES"/>
        </w:rPr>
        <w:t>De conformidad con lo dispuesto en el artículo 104 de la Ley 788 de 2002, el descuento tributario por inversiones en empresas de acueducto y/o alcantarillado del orden regional será equivalente al cuarenta por ciento (40%) del valor de la inversión que se realice en el respectivo año gravable sin que exceda del cincuenta por ciento (50%) del impuesto neto de renta del respectivo período, calculado antes de incluir el descuento. </w:t>
      </w:r>
      <w:r w:rsidRPr="00604C2C">
        <w:rPr>
          <w:rFonts w:eastAsia="Times New Roman" w:cs="Times New Roman"/>
          <w:b/>
          <w:bCs/>
          <w:i/>
          <w:iCs/>
          <w:szCs w:val="24"/>
          <w:u w:val="single"/>
          <w:lang w:eastAsia="es-ES"/>
        </w:rPr>
        <w:t>En consecuencia, en este caso no será aplicable la limitación prevista en el inciso segundo del artículo 259 del Estatuto Tributario</w:t>
      </w:r>
      <w:r w:rsidRPr="00604C2C">
        <w:rPr>
          <w:rFonts w:eastAsia="Times New Roman" w:cs="Times New Roman"/>
          <w:b/>
          <w:bCs/>
          <w:i/>
          <w:iCs/>
          <w:szCs w:val="24"/>
          <w:lang w:eastAsia="es-ES"/>
        </w:rPr>
        <w:t>.</w:t>
      </w:r>
    </w:p>
    <w:p w14:paraId="52AC2096" w14:textId="77777777" w:rsidR="00604C2C" w:rsidRPr="00604C2C" w:rsidRDefault="00604C2C" w:rsidP="00604C2C">
      <w:pPr>
        <w:rPr>
          <w:rFonts w:eastAsia="Times New Roman" w:cs="Times New Roman"/>
          <w:szCs w:val="24"/>
          <w:lang w:eastAsia="es-ES"/>
        </w:rPr>
      </w:pPr>
      <w:r w:rsidRPr="00604C2C">
        <w:rPr>
          <w:rFonts w:eastAsia="Times New Roman" w:cs="Times New Roman"/>
          <w:i/>
          <w:iCs/>
          <w:szCs w:val="24"/>
          <w:lang w:eastAsia="es-ES"/>
        </w:rPr>
        <w:t> </w:t>
      </w:r>
    </w:p>
    <w:p w14:paraId="306B056B" w14:textId="77777777" w:rsidR="00604C2C" w:rsidRPr="00604C2C" w:rsidRDefault="00604C2C" w:rsidP="00604C2C">
      <w:pPr>
        <w:rPr>
          <w:rFonts w:eastAsia="Times New Roman" w:cs="Times New Roman"/>
          <w:szCs w:val="24"/>
          <w:lang w:eastAsia="es-ES"/>
        </w:rPr>
      </w:pPr>
      <w:r w:rsidRPr="00604C2C">
        <w:rPr>
          <w:rFonts w:eastAsia="Times New Roman" w:cs="Times New Roman"/>
          <w:i/>
          <w:iCs/>
          <w:szCs w:val="24"/>
          <w:lang w:eastAsia="es-ES"/>
        </w:rPr>
        <w:t>El descuento tributario únicamente se podrá solicitar en el año gravable en el cual se haya realizado la inversión; en consecuencia, los saldos pendientes por descontar no podrán ser diferidos para ser solicitados en períodos gravables posteriores, ni podrán ser tratados como gasto deducible, pero podrán llevarse como costo de la inversión.</w:t>
      </w:r>
    </w:p>
    <w:p w14:paraId="14BB9511" w14:textId="77777777" w:rsidR="00604C2C" w:rsidRPr="00604C2C" w:rsidRDefault="00604C2C" w:rsidP="00604C2C">
      <w:pPr>
        <w:rPr>
          <w:rFonts w:eastAsia="Times New Roman" w:cs="Times New Roman"/>
          <w:szCs w:val="24"/>
          <w:lang w:eastAsia="es-ES"/>
        </w:rPr>
      </w:pPr>
      <w:r w:rsidRPr="00604C2C">
        <w:rPr>
          <w:rFonts w:eastAsia="Times New Roman" w:cs="Times New Roman"/>
          <w:i/>
          <w:iCs/>
          <w:szCs w:val="24"/>
          <w:lang w:eastAsia="es-ES"/>
        </w:rPr>
        <w:t> </w:t>
      </w:r>
    </w:p>
    <w:p w14:paraId="7B5273AE" w14:textId="77777777" w:rsidR="00604C2C" w:rsidRPr="00604C2C" w:rsidRDefault="00604C2C" w:rsidP="00604C2C">
      <w:pPr>
        <w:rPr>
          <w:rFonts w:eastAsia="Times New Roman" w:cs="Times New Roman"/>
          <w:szCs w:val="24"/>
          <w:lang w:eastAsia="es-ES"/>
        </w:rPr>
      </w:pPr>
      <w:r w:rsidRPr="00604C2C">
        <w:rPr>
          <w:rFonts w:eastAsia="Times New Roman" w:cs="Times New Roman"/>
          <w:i/>
          <w:iCs/>
          <w:szCs w:val="24"/>
          <w:lang w:eastAsia="es-ES"/>
        </w:rPr>
        <w:t>De conformidad con el artículo 23 de la Ley 383 de 1997, el valor solicitado como descuento tributario por concepto de las inversiones a que se refiere el artículo 104 de la Ley 788 de 2002, no podrá ser tratado como gasto deducible de la renta.” (subrayas fuera del texto).</w:t>
      </w:r>
    </w:p>
    <w:p w14:paraId="252CD77E"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Por lo dispuesto en el artículo precitado, no es posible aplicar la limitación a los descuentos, establecida en el artículo 259 del Estatuto Tributario.</w:t>
      </w:r>
    </w:p>
    <w:p w14:paraId="4453CB39"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En los anteriores términos se resuelve su consulta.</w:t>
      </w:r>
    </w:p>
    <w:p w14:paraId="7DA455F8" w14:textId="0E55581D" w:rsidR="00604C2C" w:rsidRPr="00604C2C" w:rsidRDefault="00604C2C" w:rsidP="00604C2C">
      <w:pPr>
        <w:jc w:val="left"/>
        <w:rPr>
          <w:rFonts w:eastAsia="Times New Roman" w:cs="Times New Roman"/>
          <w:szCs w:val="24"/>
          <w:lang w:eastAsia="es-ES"/>
        </w:rPr>
      </w:pPr>
      <w:r w:rsidRPr="00604C2C">
        <w:rPr>
          <w:rFonts w:eastAsia="Times New Roman" w:cs="Times New Roman"/>
          <w:szCs w:val="24"/>
          <w:lang w:eastAsia="es-ES"/>
        </w:rPr>
        <w:t>Atentamente,</w:t>
      </w:r>
    </w:p>
    <w:p w14:paraId="2482F904" w14:textId="77777777" w:rsidR="00604C2C" w:rsidRPr="00604C2C" w:rsidRDefault="00604C2C" w:rsidP="00604C2C">
      <w:pPr>
        <w:rPr>
          <w:rFonts w:eastAsia="Times New Roman" w:cs="Times New Roman"/>
          <w:szCs w:val="24"/>
          <w:lang w:eastAsia="es-ES"/>
        </w:rPr>
      </w:pPr>
      <w:r w:rsidRPr="00604C2C">
        <w:rPr>
          <w:rFonts w:eastAsia="Times New Roman" w:cs="Times New Roman"/>
          <w:b/>
          <w:bCs/>
          <w:szCs w:val="24"/>
          <w:lang w:eastAsia="es-ES"/>
        </w:rPr>
        <w:t>LORENZO CASTILLO BARVO</w:t>
      </w:r>
    </w:p>
    <w:p w14:paraId="4F97D3E9"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Subdirector de Gestión Normativa y Doctrina (E)</w:t>
      </w:r>
    </w:p>
    <w:p w14:paraId="0EA97A19" w14:textId="77777777" w:rsidR="00604C2C" w:rsidRPr="00604C2C" w:rsidRDefault="00604C2C" w:rsidP="00604C2C">
      <w:pPr>
        <w:rPr>
          <w:rFonts w:eastAsia="Times New Roman" w:cs="Times New Roman"/>
          <w:szCs w:val="24"/>
          <w:lang w:eastAsia="es-ES"/>
        </w:rPr>
      </w:pPr>
      <w:r w:rsidRPr="00604C2C">
        <w:rPr>
          <w:rFonts w:eastAsia="Times New Roman" w:cs="Times New Roman"/>
          <w:szCs w:val="24"/>
          <w:lang w:eastAsia="es-ES"/>
        </w:rPr>
        <w:t>Dirección de Gestión Jurídica</w:t>
      </w:r>
    </w:p>
    <w:sectPr w:rsidR="00604C2C" w:rsidRPr="00604C2C"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10D23"/>
    <w:multiLevelType w:val="multilevel"/>
    <w:tmpl w:val="6CF8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2C"/>
    <w:rsid w:val="001E311E"/>
    <w:rsid w:val="00434AE6"/>
    <w:rsid w:val="00604C2C"/>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59AE"/>
  <w15:chartTrackingRefBased/>
  <w15:docId w15:val="{26AFA9E9-62AF-4E21-84E8-C4237E47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4C2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4C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6285">
      <w:bodyDiv w:val="1"/>
      <w:marLeft w:val="0"/>
      <w:marRight w:val="0"/>
      <w:marTop w:val="0"/>
      <w:marBottom w:val="0"/>
      <w:divBdr>
        <w:top w:val="none" w:sz="0" w:space="0" w:color="auto"/>
        <w:left w:val="none" w:sz="0" w:space="0" w:color="auto"/>
        <w:bottom w:val="none" w:sz="0" w:space="0" w:color="auto"/>
        <w:right w:val="none" w:sz="0" w:space="0" w:color="auto"/>
      </w:divBdr>
    </w:div>
    <w:div w:id="14239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4012</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2020-05-17T01:00:00Z</dcterms:created>
  <dcterms:modified xsi:type="dcterms:W3CDTF">2020-05-17T01:05:00Z</dcterms:modified>
</cp:coreProperties>
</file>