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1E2C3" w14:textId="77777777" w:rsidR="0026020D" w:rsidRPr="00D86CDB" w:rsidRDefault="0026020D" w:rsidP="00D86CDB">
      <w:pPr>
        <w:spacing w:after="0" w:line="360" w:lineRule="auto"/>
        <w:jc w:val="center"/>
        <w:rPr>
          <w:rFonts w:eastAsia="Times New Roman" w:cs="Times New Roman"/>
          <w:b/>
          <w:bCs/>
          <w:color w:val="0000FF"/>
          <w:szCs w:val="24"/>
          <w:lang w:eastAsia="es-CO"/>
        </w:rPr>
      </w:pPr>
    </w:p>
    <w:p w14:paraId="32C53D77" w14:textId="77777777" w:rsidR="0026020D" w:rsidRPr="00D86CDB" w:rsidRDefault="0026020D" w:rsidP="00D86CDB">
      <w:pPr>
        <w:spacing w:after="0" w:line="360" w:lineRule="auto"/>
        <w:jc w:val="center"/>
        <w:rPr>
          <w:rFonts w:eastAsia="Times New Roman" w:cs="Times New Roman"/>
          <w:b/>
          <w:bCs/>
          <w:color w:val="0000FF"/>
          <w:szCs w:val="24"/>
          <w:lang w:eastAsia="es-CO"/>
        </w:rPr>
      </w:pPr>
    </w:p>
    <w:p w14:paraId="53D3C3EA" w14:textId="77777777" w:rsidR="0026020D" w:rsidRPr="00D86CDB" w:rsidRDefault="0026020D" w:rsidP="00D86CDB">
      <w:pPr>
        <w:spacing w:after="0" w:line="360" w:lineRule="auto"/>
        <w:jc w:val="center"/>
        <w:rPr>
          <w:rFonts w:eastAsia="Times New Roman" w:cs="Times New Roman"/>
          <w:szCs w:val="24"/>
          <w:lang w:eastAsia="es-CO"/>
        </w:rPr>
      </w:pPr>
      <w:r w:rsidRPr="00D86CDB">
        <w:rPr>
          <w:rFonts w:eastAsia="Times New Roman" w:cs="Times New Roman"/>
          <w:b/>
          <w:bCs/>
          <w:szCs w:val="24"/>
          <w:lang w:eastAsia="es-CO"/>
        </w:rPr>
        <w:t>OFICIO Nº 011758</w:t>
      </w:r>
    </w:p>
    <w:p w14:paraId="7E0FBEFF" w14:textId="77777777" w:rsidR="0026020D" w:rsidRPr="00D86CDB" w:rsidRDefault="0026020D" w:rsidP="00D86CDB">
      <w:pPr>
        <w:spacing w:after="0" w:line="360" w:lineRule="auto"/>
        <w:jc w:val="center"/>
        <w:rPr>
          <w:rFonts w:eastAsia="Times New Roman" w:cs="Times New Roman"/>
          <w:szCs w:val="24"/>
          <w:lang w:eastAsia="es-CO"/>
        </w:rPr>
      </w:pPr>
      <w:r w:rsidRPr="00D86CDB">
        <w:rPr>
          <w:rFonts w:eastAsia="Times New Roman" w:cs="Times New Roman"/>
          <w:b/>
          <w:bCs/>
          <w:szCs w:val="24"/>
          <w:lang w:eastAsia="es-CO"/>
        </w:rPr>
        <w:t>13-05-2016</w:t>
      </w:r>
    </w:p>
    <w:p w14:paraId="3D1F386B" w14:textId="77777777" w:rsidR="0026020D" w:rsidRPr="00D86CDB" w:rsidRDefault="0026020D" w:rsidP="00D86CDB">
      <w:pPr>
        <w:spacing w:after="0" w:line="360" w:lineRule="auto"/>
        <w:jc w:val="center"/>
        <w:rPr>
          <w:rFonts w:eastAsia="Times New Roman" w:cs="Times New Roman"/>
          <w:szCs w:val="24"/>
          <w:lang w:eastAsia="es-CO"/>
        </w:rPr>
      </w:pPr>
      <w:r w:rsidRPr="00D86CDB">
        <w:rPr>
          <w:rFonts w:eastAsia="Times New Roman" w:cs="Times New Roman"/>
          <w:b/>
          <w:bCs/>
          <w:szCs w:val="24"/>
          <w:lang w:eastAsia="es-CO"/>
        </w:rPr>
        <w:t>DIAN</w:t>
      </w:r>
    </w:p>
    <w:p w14:paraId="71C43D68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szCs w:val="24"/>
          <w:lang w:eastAsia="es-CO"/>
        </w:rPr>
      </w:pPr>
      <w:r w:rsidRPr="00D86CDB">
        <w:rPr>
          <w:rFonts w:eastAsia="Times New Roman" w:cs="Times New Roman"/>
          <w:b/>
          <w:bCs/>
          <w:szCs w:val="24"/>
          <w:lang w:eastAsia="es-CO"/>
        </w:rPr>
        <w:t> </w:t>
      </w:r>
    </w:p>
    <w:p w14:paraId="1074A523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b/>
          <w:bCs/>
          <w:color w:val="0000FF"/>
          <w:szCs w:val="24"/>
          <w:lang w:eastAsia="es-CO"/>
        </w:rPr>
        <w:t> </w:t>
      </w:r>
    </w:p>
    <w:p w14:paraId="65EFE7FC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Dirección de Gestión Jurídica</w:t>
      </w:r>
    </w:p>
    <w:p w14:paraId="3FA39832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100202208-0422</w:t>
      </w:r>
    </w:p>
    <w:p w14:paraId="0212945A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Bogotá, D. C.</w:t>
      </w:r>
    </w:p>
    <w:p w14:paraId="1DD20089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1C6B5853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Doctor</w:t>
      </w:r>
    </w:p>
    <w:p w14:paraId="5D281662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b/>
          <w:bCs/>
          <w:color w:val="000000"/>
          <w:szCs w:val="24"/>
          <w:lang w:eastAsia="es-CO"/>
        </w:rPr>
        <w:t>FABIÁN ELÍAS PATERNINA MARTÍNEZ</w:t>
      </w:r>
    </w:p>
    <w:p w14:paraId="65EF8A36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 xml:space="preserve">Auditor </w:t>
      </w:r>
      <w:proofErr w:type="gramStart"/>
      <w:r w:rsidRPr="00D86CDB">
        <w:rPr>
          <w:rFonts w:eastAsia="Times New Roman" w:cs="Times New Roman"/>
          <w:color w:val="000000"/>
          <w:szCs w:val="24"/>
          <w:lang w:eastAsia="es-CO"/>
        </w:rPr>
        <w:t>Delegado</w:t>
      </w:r>
      <w:proofErr w:type="gramEnd"/>
      <w:r w:rsidRPr="00D86CDB">
        <w:rPr>
          <w:rFonts w:eastAsia="Times New Roman" w:cs="Times New Roman"/>
          <w:color w:val="000000"/>
          <w:szCs w:val="24"/>
          <w:lang w:eastAsia="es-CO"/>
        </w:rPr>
        <w:t xml:space="preserve"> para la Vigilancia de la Gestión Fiscal.</w:t>
      </w:r>
    </w:p>
    <w:p w14:paraId="319626F0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Auditoría General de la República</w:t>
      </w:r>
    </w:p>
    <w:p w14:paraId="68609F8D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Carrera 57 C N° 64 A- 29 Barrio Modelo Norte</w:t>
      </w:r>
    </w:p>
    <w:p w14:paraId="5DD5C04F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Bogotá, D. C.</w:t>
      </w:r>
    </w:p>
    <w:p w14:paraId="6C3F799A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b/>
          <w:bCs/>
          <w:color w:val="000000"/>
          <w:szCs w:val="24"/>
          <w:lang w:eastAsia="es-CO"/>
        </w:rPr>
        <w:t> </w:t>
      </w:r>
    </w:p>
    <w:p w14:paraId="5A290028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b/>
          <w:bCs/>
          <w:color w:val="000000"/>
          <w:szCs w:val="24"/>
          <w:lang w:eastAsia="es-CO"/>
        </w:rPr>
        <w:t>Referencia: </w:t>
      </w:r>
      <w:r w:rsidRPr="00D86CDB">
        <w:rPr>
          <w:rFonts w:eastAsia="Times New Roman" w:cs="Times New Roman"/>
          <w:color w:val="000000"/>
          <w:szCs w:val="24"/>
          <w:lang w:eastAsia="es-CO"/>
        </w:rPr>
        <w:t>Radicado 000112 del 08/04/2016- Solicitud de Entrega de Información a la Auditoría General de la Nación.</w:t>
      </w:r>
    </w:p>
    <w:p w14:paraId="71F7D811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C2906B3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b/>
          <w:bCs/>
          <w:color w:val="000000"/>
          <w:szCs w:val="24"/>
          <w:lang w:eastAsia="es-CO"/>
        </w:rPr>
        <w:t>Tema:</w:t>
      </w:r>
      <w:r w:rsidRPr="00D86CDB">
        <w:rPr>
          <w:rFonts w:eastAsia="Times New Roman" w:cs="Times New Roman"/>
          <w:color w:val="000000"/>
          <w:szCs w:val="24"/>
          <w:lang w:eastAsia="es-CO"/>
        </w:rPr>
        <w:t> Procedimiento Tributario</w:t>
      </w:r>
    </w:p>
    <w:p w14:paraId="5CF2EB0D" w14:textId="77777777" w:rsidR="00EA320E" w:rsidRPr="00D86CDB" w:rsidRDefault="00EA320E" w:rsidP="00D86CDB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es-CO"/>
        </w:rPr>
      </w:pPr>
    </w:p>
    <w:p w14:paraId="6E302C62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b/>
          <w:bCs/>
          <w:color w:val="000000"/>
          <w:szCs w:val="24"/>
          <w:highlight w:val="green"/>
          <w:lang w:eastAsia="es-CO"/>
        </w:rPr>
        <w:t>Descriptores:</w:t>
      </w:r>
      <w:r w:rsidRPr="00D86CDB">
        <w:rPr>
          <w:rFonts w:eastAsia="Times New Roman" w:cs="Times New Roman"/>
          <w:color w:val="000000"/>
          <w:szCs w:val="24"/>
          <w:highlight w:val="green"/>
          <w:lang w:eastAsia="es-CO"/>
        </w:rPr>
        <w:t> </w:t>
      </w:r>
      <w:r w:rsidRPr="00D86CDB">
        <w:rPr>
          <w:rFonts w:eastAsia="Times New Roman" w:cs="Times New Roman"/>
          <w:b/>
          <w:color w:val="000000"/>
          <w:szCs w:val="24"/>
          <w:highlight w:val="green"/>
          <w:lang w:eastAsia="es-CO"/>
        </w:rPr>
        <w:t>Reserva Tributaria Información Tributaria que Se Puede Suministrar</w:t>
      </w:r>
    </w:p>
    <w:p w14:paraId="4923A390" w14:textId="77777777" w:rsidR="00EA320E" w:rsidRPr="00D86CDB" w:rsidRDefault="00EA320E" w:rsidP="00D86CDB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es-CO"/>
        </w:rPr>
      </w:pPr>
    </w:p>
    <w:p w14:paraId="77469DCE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b/>
          <w:bCs/>
          <w:color w:val="000000"/>
          <w:szCs w:val="24"/>
          <w:lang w:eastAsia="es-CO"/>
        </w:rPr>
        <w:t>Fuentes formales:</w:t>
      </w:r>
      <w:r w:rsidRPr="00D86CDB">
        <w:rPr>
          <w:rFonts w:eastAsia="Times New Roman" w:cs="Times New Roman"/>
          <w:color w:val="000000"/>
          <w:szCs w:val="24"/>
          <w:lang w:eastAsia="es-CO"/>
        </w:rPr>
        <w:t> Ley Estatutaria 1712 de 2014; Ley 1581 de 2012; </w:t>
      </w:r>
      <w:hyperlink r:id="rId4" w:tooltip="Estatuto Tributario CETA" w:history="1">
        <w:r w:rsidRPr="00D86CDB">
          <w:rPr>
            <w:rFonts w:eastAsia="Times New Roman" w:cs="Times New Roman"/>
            <w:color w:val="0089E1"/>
            <w:szCs w:val="24"/>
            <w:lang w:eastAsia="es-CO"/>
          </w:rPr>
          <w:t>Artículo 583</w:t>
        </w:r>
      </w:hyperlink>
      <w:r w:rsidRPr="00D86CDB">
        <w:rPr>
          <w:rFonts w:eastAsia="Times New Roman" w:cs="Times New Roman"/>
          <w:color w:val="000000"/>
          <w:szCs w:val="24"/>
          <w:lang w:eastAsia="es-CO"/>
        </w:rPr>
        <w:t> del Estatuto Tributario; Circular 001 de 2013; Oficio 000645 de 28 de agosto de 2013; Oficio 061418 de octubre 31 del 2014 y Oficio 027857 de octubre 7 del 2015</w:t>
      </w:r>
    </w:p>
    <w:p w14:paraId="6B20E783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85E7A35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B833992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Cordial saludo, doctor Paternina:</w:t>
      </w:r>
    </w:p>
    <w:p w14:paraId="4444423F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9AE4B2C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De conformidad con el artículo 19 del Decreto 4048 de 2008 es función de esta Dirección absolver las consultas escritas que se formulen sobre la interpretación y aplicación de las normas tributarias de carácter nacional, aduaneras y cambiarias en lo de competencia de la Entidad.</w:t>
      </w:r>
    </w:p>
    <w:p w14:paraId="7E869A1E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CD36783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lastRenderedPageBreak/>
        <w:t>En el radicado de la referencia se indaga por la viabilidad jurídica de entregar por parte de la DIAN a la Auditoría General de la República, la siguiente información:</w:t>
      </w:r>
    </w:p>
    <w:p w14:paraId="2536D4BF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38C7A27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1. Información de renglones de ingresos y patrimonio de las declaraciones tributarias e información para ser utilizada dentro de proceso de cobro coactivo.</w:t>
      </w:r>
    </w:p>
    <w:p w14:paraId="7F37110A" w14:textId="77777777" w:rsidR="00EA320E" w:rsidRPr="00D86CDB" w:rsidRDefault="00EA320E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</w:p>
    <w:p w14:paraId="7E95BBE4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2. Información exógena para identificar patrimonio y las fuentes de ingresos de sus investigados.</w:t>
      </w:r>
    </w:p>
    <w:p w14:paraId="5156256B" w14:textId="77777777" w:rsidR="00EA320E" w:rsidRPr="00D86CDB" w:rsidRDefault="00EA320E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</w:p>
    <w:p w14:paraId="70E662FE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3. Información adicional del RUT sobre consorcios y terceros, para ser utilizada en estudios y análisis. (No procesos) (Sic)</w:t>
      </w:r>
    </w:p>
    <w:p w14:paraId="5170A468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960069D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Según el consultante las necesidades de información se relacionan con las funciones previstas en el artículo 274 de la Constitución Política y artículo 9º del Decreto-ley 272 de 2000.</w:t>
      </w:r>
    </w:p>
    <w:p w14:paraId="23EAB743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E855356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highlight w:val="green"/>
          <w:lang w:eastAsia="es-CO"/>
        </w:rPr>
      </w:pPr>
      <w:r w:rsidRPr="00D86CDB">
        <w:rPr>
          <w:rFonts w:eastAsia="Times New Roman" w:cs="Times New Roman"/>
          <w:color w:val="000000"/>
          <w:szCs w:val="24"/>
          <w:highlight w:val="green"/>
          <w:lang w:eastAsia="es-CO"/>
        </w:rPr>
        <w:t>1. Para atender la solicitud de información a que se refiere la consulta corresponde advertir que el </w:t>
      </w:r>
      <w:hyperlink r:id="rId5" w:tooltip="Estatuto Tributario CETA" w:history="1">
        <w:r w:rsidRPr="00D86CDB">
          <w:rPr>
            <w:rFonts w:eastAsia="Times New Roman" w:cs="Times New Roman"/>
            <w:color w:val="0089E1"/>
            <w:szCs w:val="24"/>
            <w:highlight w:val="green"/>
            <w:lang w:eastAsia="es-CO"/>
          </w:rPr>
          <w:t>artículo 583</w:t>
        </w:r>
      </w:hyperlink>
      <w:r w:rsidRPr="00D86CDB">
        <w:rPr>
          <w:rFonts w:eastAsia="Times New Roman" w:cs="Times New Roman"/>
          <w:color w:val="000000"/>
          <w:szCs w:val="24"/>
          <w:highlight w:val="green"/>
          <w:lang w:eastAsia="es-CO"/>
        </w:rPr>
        <w:t> del Estatuto Tributario, señala:</w:t>
      </w:r>
    </w:p>
    <w:p w14:paraId="5BDB0DD1" w14:textId="77777777" w:rsidR="0026020D" w:rsidRPr="00D86CDB" w:rsidRDefault="0026020D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highlight w:val="green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highlight w:val="green"/>
          <w:lang w:eastAsia="es-CO"/>
        </w:rPr>
        <w:t> </w:t>
      </w:r>
    </w:p>
    <w:p w14:paraId="7DADE343" w14:textId="77777777" w:rsidR="0026020D" w:rsidRPr="00D86CDB" w:rsidRDefault="008C07CA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hyperlink r:id="rId6" w:tooltip="Estatuto Tributario CETA" w:history="1">
        <w:r w:rsidR="0026020D" w:rsidRPr="00D86CDB">
          <w:rPr>
            <w:rFonts w:eastAsia="Times New Roman" w:cs="Times New Roman"/>
            <w:b/>
            <w:bCs/>
            <w:i/>
            <w:iCs/>
            <w:color w:val="0089E1"/>
            <w:szCs w:val="24"/>
            <w:highlight w:val="green"/>
            <w:lang w:eastAsia="es-CO"/>
          </w:rPr>
          <w:t>ARTÍCULO 583</w:t>
        </w:r>
      </w:hyperlink>
      <w:r w:rsidR="0026020D" w:rsidRPr="00D86CDB">
        <w:rPr>
          <w:rFonts w:eastAsia="Times New Roman" w:cs="Times New Roman"/>
          <w:b/>
          <w:bCs/>
          <w:i/>
          <w:iCs/>
          <w:color w:val="000000"/>
          <w:szCs w:val="24"/>
          <w:highlight w:val="green"/>
          <w:lang w:eastAsia="es-CO"/>
        </w:rPr>
        <w:t>. RESERVA DE LA DECLARACIÓN.</w:t>
      </w:r>
      <w:r w:rsidR="0026020D" w:rsidRPr="00D86CDB">
        <w:rPr>
          <w:rFonts w:eastAsia="Times New Roman" w:cs="Times New Roman"/>
          <w:i/>
          <w:iCs/>
          <w:color w:val="000000"/>
          <w:szCs w:val="24"/>
          <w:highlight w:val="green"/>
          <w:lang w:eastAsia="es-CO"/>
        </w:rPr>
        <w:t> </w:t>
      </w:r>
      <w:r w:rsidR="0026020D" w:rsidRPr="00D86CDB">
        <w:rPr>
          <w:rFonts w:eastAsia="Times New Roman" w:cs="Times New Roman"/>
          <w:i/>
          <w:iCs/>
          <w:color w:val="000000"/>
          <w:szCs w:val="24"/>
          <w:highlight w:val="green"/>
          <w:u w:val="single"/>
          <w:lang w:eastAsia="es-CO"/>
        </w:rPr>
        <w:t>La información tributaria respecto de las bases gravables y la determinación privada de los impuestos que figuren en las declaraciones tributarias, tendrá el carácter de información reservada</w:t>
      </w:r>
      <w:r w:rsidR="0026020D" w:rsidRPr="00D86CDB">
        <w:rPr>
          <w:rFonts w:eastAsia="Times New Roman" w:cs="Times New Roman"/>
          <w:i/>
          <w:iCs/>
          <w:color w:val="000000"/>
          <w:szCs w:val="24"/>
          <w:highlight w:val="green"/>
          <w:lang w:eastAsia="es-CO"/>
        </w:rPr>
        <w:t>; por consiguiente, los funcionarios de la Dirección General de Impuestos Nacionales&lt;1&gt; solo podrán utilizarla para el control, recaudo, determinación, discusión y administración de los impuestos y para efectos de informaciones impersonales de estadística.</w:t>
      </w:r>
    </w:p>
    <w:p w14:paraId="12F48777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49FD991A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highlight w:val="green"/>
          <w:lang w:eastAsia="es-CO"/>
        </w:rPr>
        <w:t>Sobre el particular este Despacho se pronunció en Oficio 000645 de 28 de agosto de 2013, explicando:</w:t>
      </w:r>
    </w:p>
    <w:p w14:paraId="20E74F1E" w14:textId="77777777" w:rsidR="0026020D" w:rsidRPr="00D86CDB" w:rsidRDefault="0026020D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4D2EF1D" w14:textId="77777777" w:rsidR="0026020D" w:rsidRPr="00D86CDB" w:rsidRDefault="0026020D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“… el inciso 2 del </w:t>
      </w:r>
      <w:hyperlink r:id="rId7" w:tooltip="Estatuto Tributario CETA" w:history="1">
        <w:r w:rsidRPr="00D86CDB">
          <w:rPr>
            <w:rFonts w:eastAsia="Times New Roman" w:cs="Times New Roman"/>
            <w:color w:val="0089E1"/>
            <w:szCs w:val="24"/>
            <w:lang w:eastAsia="es-CO"/>
          </w:rPr>
          <w:t>artículo 583</w:t>
        </w:r>
      </w:hyperlink>
      <w:r w:rsidRPr="00D86CDB">
        <w:rPr>
          <w:rFonts w:eastAsia="Times New Roman" w:cs="Times New Roman"/>
          <w:color w:val="000000"/>
          <w:szCs w:val="24"/>
          <w:lang w:eastAsia="es-CO"/>
        </w:rPr>
        <w:t> del Estatuto Tributario, el cual determina el carácter reservado de la información tributaria </w:t>
      </w: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“</w:t>
      </w:r>
      <w:r w:rsidRPr="00D86CDB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respecto de las bases gravables y la determinación privada de los impuestos que figuren en las declaraciones tributarias</w:t>
      </w: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”, </w:t>
      </w:r>
      <w:r w:rsidRPr="00D86CDB">
        <w:rPr>
          <w:rFonts w:eastAsia="Times New Roman" w:cs="Times New Roman"/>
          <w:color w:val="000000"/>
          <w:szCs w:val="24"/>
          <w:lang w:eastAsia="es-CO"/>
        </w:rPr>
        <w:t>dispone que </w:t>
      </w: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“En los procesos penales, podrá suministrarse copia de las declaraciones, cuando la correspondiente autoridad lo decrete como prueba en la providencia respectiva”.</w:t>
      </w:r>
    </w:p>
    <w:p w14:paraId="0B2C14BD" w14:textId="77777777" w:rsidR="0026020D" w:rsidRPr="00D86CDB" w:rsidRDefault="0026020D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(…)</w:t>
      </w:r>
    </w:p>
    <w:p w14:paraId="35244B09" w14:textId="77777777" w:rsidR="0026020D" w:rsidRPr="00D86CDB" w:rsidRDefault="0026020D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 xml:space="preserve">Ahora bien, además de los artículos 20 de la Ley 57 de 1985, 20 del Código Contencioso Administrativo y 227 de la Ley 1450 de 2011, es también fundamento de la excepción a la reserva de la información tributaria en las actuaciones adelantadas por la Contraloría </w:t>
      </w:r>
      <w:r w:rsidRPr="00D86CDB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lastRenderedPageBreak/>
        <w:t>General de la República </w:t>
      </w:r>
      <w:r w:rsidRPr="00D86CDB"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es-CO"/>
        </w:rPr>
        <w:t>el numeral 3 del artículo 10 de la Ley 610 de 2000, </w:t>
      </w:r>
      <w:r w:rsidRPr="00D86CDB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el cual instaura que los servidores de las contralorías en desarrollo de las actividades de policía judicial pueden “Solicitar información a entidades oficiales o particulares en procura de datos que interesen </w:t>
      </w:r>
      <w:r w:rsidRPr="00D86CDB">
        <w:rPr>
          <w:rFonts w:eastAsia="Times New Roman" w:cs="Times New Roman"/>
          <w:b/>
          <w:bCs/>
          <w:i/>
          <w:iCs/>
          <w:color w:val="000000"/>
          <w:szCs w:val="24"/>
          <w:u w:val="single"/>
          <w:lang w:eastAsia="es-CO"/>
        </w:rPr>
        <w:t>para solicitar la iniciación del proceso de responsabilidad fiscal o para las indagaciones o investigaciones en trámite, </w:t>
      </w:r>
      <w:r w:rsidRPr="00D86CDB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inclusive para lograr la identificación de bienes de las personas comprometidas en los hechos generadores de daño patrimonial al Estado, sin que al respecto les sea oponible reserva alguna</w:t>
      </w: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”.</w:t>
      </w:r>
    </w:p>
    <w:p w14:paraId="4C5F70D6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0478900C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highlight w:val="green"/>
          <w:lang w:eastAsia="es-CO"/>
        </w:rPr>
        <w:t>En similar sentido mediante el Oficio 034993 de 29 de diciembre de 2015 se concluyó:</w:t>
      </w:r>
    </w:p>
    <w:p w14:paraId="203AC8B8" w14:textId="77777777" w:rsidR="0026020D" w:rsidRPr="00D86CDB" w:rsidRDefault="0026020D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0A3302B4" w14:textId="77777777" w:rsidR="0026020D" w:rsidRPr="00D86CDB" w:rsidRDefault="0026020D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“De la misma manera, debe tenerse en cuenta que mediante </w:t>
      </w:r>
      <w:r w:rsidRPr="00D86CDB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Circular 001 de 14 de enero de 2013, </w:t>
      </w: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referente a la “Estandarización de entrada y salida de información, atendiendo los principios constitucionales y legales”, expedida por el Director General, se fijaron los parámetros para el manejo y suministro de la misma. En el Capítulo III numeral 6, como bien se expresa hay eventos en los cuales no es oponible la reserva de la información y de manera </w:t>
      </w:r>
      <w:r w:rsidRPr="00D86CDB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enunciativa no taxativa</w:t>
      </w: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, señala algunos, sin embargo, como bien expresa “</w:t>
      </w:r>
      <w:r w:rsidRPr="00D86CDB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... es necesario tener en cuenta la legislación especial del solicitante, en donde pueden existir normas que expresamente disponen la inoponibilidad de la reserva para el ejercicio de sus funciones ...</w:t>
      </w: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” así como el principio del habeas data “que establece la posibilidad de suministrar información a las entidades públicas o administrativas en ejercicio de sus funciones legales o por orden judicial” (Oficio 034993 de diciembre 29 de 2015).</w:t>
      </w:r>
    </w:p>
    <w:p w14:paraId="61FB6E48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05C2B785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Lo expuesto se encuentra en concordancia con lo dispuesto en el literal e) del artículo 5° de la Ley 1266 de 2008, que reza:</w:t>
      </w:r>
    </w:p>
    <w:p w14:paraId="1A072A5B" w14:textId="77777777" w:rsidR="0026020D" w:rsidRPr="00D86CDB" w:rsidRDefault="0026020D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1FF0B203" w14:textId="77777777" w:rsidR="0026020D" w:rsidRPr="00D86CDB" w:rsidRDefault="0026020D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ARTÍCULO 5°. CIRCULACIÓN DE INFORMACIÓN.</w:t>
      </w: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 La información personal recolectada o suministrada de conformidad con lo dispuesto en la ley a los operadores que haga parte del banco de datos que administra, podrá ser entregada de manera verbal, escrita, o puesta a disposición de las siguientes personas y en los siguientes términos:</w:t>
      </w:r>
    </w:p>
    <w:p w14:paraId="6FE9E578" w14:textId="77777777" w:rsidR="0026020D" w:rsidRPr="00D86CDB" w:rsidRDefault="0026020D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7B151843" w14:textId="77777777" w:rsidR="0026020D" w:rsidRPr="00D86CDB" w:rsidRDefault="0026020D" w:rsidP="00D86CDB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e) A los órganos de control y demás dependencias de investigación disciplinaria, fiscal, o administrativa, </w:t>
      </w:r>
      <w:r w:rsidRPr="00D86CDB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cuando la información sea necesaria para el desarrollo de una investigación en curso</w:t>
      </w: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”.</w:t>
      </w:r>
    </w:p>
    <w:p w14:paraId="7350C34A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 </w:t>
      </w:r>
    </w:p>
    <w:p w14:paraId="7C60DEF2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 xml:space="preserve">Por lo tanto, de una interpretación literal se colige que la información tributaria respecto de las bases gravables y la determinación privada de los impuestos contenida en las </w:t>
      </w:r>
      <w:r w:rsidRPr="00D86CDB">
        <w:rPr>
          <w:rFonts w:eastAsia="Times New Roman" w:cs="Times New Roman"/>
          <w:color w:val="000000"/>
          <w:szCs w:val="24"/>
          <w:lang w:eastAsia="es-CO"/>
        </w:rPr>
        <w:lastRenderedPageBreak/>
        <w:t>declaraciones tributarias, tiene el carácter de información reservada y no existe una ley que habilite la entrega de estos datos como insumo para adelantar procesos de cobro coactivo como es el caso de la solicitud en estudio.</w:t>
      </w:r>
    </w:p>
    <w:p w14:paraId="2B55EDDD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1A930C2E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Lo mismo se puede predicar de la información exógena para identificar patrimonio, la correspondiente a fuentes de ingresos y la relativa a consorcios y terceros, toda vez que se trata de información conexa que se utiliza para la determinación de bases gravables e impuestos y sus resultados se presentan en las declaraciones tributarias.</w:t>
      </w:r>
    </w:p>
    <w:p w14:paraId="164712D6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FAA5237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En consecuencia, no es procedente suministrar este tipo de información.</w:t>
      </w:r>
    </w:p>
    <w:p w14:paraId="0420E3D9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CD1A377" w14:textId="5A921B51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 xml:space="preserve">No </w:t>
      </w:r>
      <w:r w:rsidR="00D86CDB" w:rsidRPr="00D86CDB">
        <w:rPr>
          <w:rFonts w:eastAsia="Times New Roman" w:cs="Times New Roman"/>
          <w:color w:val="000000"/>
          <w:szCs w:val="24"/>
          <w:lang w:eastAsia="es-CO"/>
        </w:rPr>
        <w:t>obstante,</w:t>
      </w:r>
      <w:r w:rsidRPr="00D86CDB">
        <w:rPr>
          <w:rFonts w:eastAsia="Times New Roman" w:cs="Times New Roman"/>
          <w:color w:val="000000"/>
          <w:szCs w:val="24"/>
          <w:lang w:eastAsia="es-CO"/>
        </w:rPr>
        <w:t xml:space="preserve"> lo señalado, es pertinente destacar que la información reservada puede ser entregada a la Auditoría General de la República a través de su Auditor Delegado para la vigilancia de la Gestión Fiscal, como organismo de control y con facultades de policía judicial con fundamento en el numeral 3 del artículo 10 de la Ley 610 de 2000, cuando sea necesaria para una investigación en curso.</w:t>
      </w:r>
    </w:p>
    <w:p w14:paraId="11790FCF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C602A2D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En dicho caso, corresponde solicitarla de manera individual en el ejercicio de sus funciones para: i) el inicio de un proceso de responsabilidad fiscal o ii) investigaciones en trámite contra el implicado, previo a la emisión de un fallo.</w:t>
      </w:r>
    </w:p>
    <w:p w14:paraId="403EE01B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7284B0B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 w:val="36"/>
          <w:szCs w:val="36"/>
          <w:lang w:eastAsia="es-CO"/>
        </w:rPr>
      </w:pPr>
      <w:r w:rsidRPr="00D86CDB">
        <w:rPr>
          <w:rFonts w:eastAsia="Times New Roman" w:cs="Times New Roman"/>
          <w:color w:val="000000"/>
          <w:sz w:val="36"/>
          <w:szCs w:val="36"/>
          <w:highlight w:val="green"/>
          <w:lang w:eastAsia="es-CO"/>
        </w:rPr>
        <w:t>2. Por otra parte, considerando que en la consulta se hace mención de disponibilidad para la entrega de información del RUT, la cual tiene como finalidad la ubicación e identificación de las personas que sean sujeto de investigación o procesos de cobro coactivo por parte de la Auditoría, este Despacho considera necesario precisar que dichos compromisos se deben limitar a la información básica que puede ser compartida, la cual se relaciona con la identificación (NIT, nombres, apellidos y razón social) y la ubicación (Dirección, municipio, Departamento) de los contribuyentes.</w:t>
      </w:r>
    </w:p>
    <w:p w14:paraId="6FD3B9AA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8869257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highlight w:val="green"/>
          <w:lang w:eastAsia="es-CO"/>
        </w:rPr>
        <w:lastRenderedPageBreak/>
        <w:t>Sobre este tema y los datos referentes a la actividad económica este Despacho se pronunció </w:t>
      </w:r>
      <w:r w:rsidRPr="00D86CDB">
        <w:rPr>
          <w:rFonts w:eastAsia="Times New Roman" w:cs="Times New Roman"/>
          <w:b/>
          <w:bCs/>
          <w:color w:val="000000"/>
          <w:szCs w:val="24"/>
          <w:highlight w:val="green"/>
          <w:lang w:eastAsia="es-CO"/>
        </w:rPr>
        <w:t>en Oficio 027857 de octubre 7 del 2015, </w:t>
      </w:r>
      <w:r w:rsidRPr="00D86CDB">
        <w:rPr>
          <w:rFonts w:eastAsia="Times New Roman" w:cs="Times New Roman"/>
          <w:color w:val="000000"/>
          <w:szCs w:val="24"/>
          <w:highlight w:val="green"/>
          <w:lang w:eastAsia="es-CO"/>
        </w:rPr>
        <w:t>del cual se remite copia para su conocimiento. Allí se afirmó que los datos sobre dicha actividad no reúnen las características del dato semiprivado y privado y por ello, se consideran dato público que no se encuentra sujeto a reserva de ninguna índole.</w:t>
      </w:r>
    </w:p>
    <w:p w14:paraId="4DA8D684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13A67A8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 w:val="36"/>
          <w:szCs w:val="36"/>
          <w:lang w:eastAsia="es-CO"/>
        </w:rPr>
      </w:pPr>
      <w:r w:rsidRPr="00D86CDB">
        <w:rPr>
          <w:rFonts w:eastAsia="Times New Roman" w:cs="Times New Roman"/>
          <w:color w:val="000000"/>
          <w:sz w:val="36"/>
          <w:szCs w:val="36"/>
          <w:highlight w:val="yellow"/>
          <w:lang w:eastAsia="es-CO"/>
        </w:rPr>
        <w:t>Por otra parte, en </w:t>
      </w:r>
      <w:r w:rsidRPr="00D86CDB">
        <w:rPr>
          <w:rFonts w:eastAsia="Times New Roman" w:cs="Times New Roman"/>
          <w:b/>
          <w:bCs/>
          <w:color w:val="000000"/>
          <w:sz w:val="36"/>
          <w:szCs w:val="36"/>
          <w:highlight w:val="yellow"/>
          <w:lang w:eastAsia="es-CO"/>
        </w:rPr>
        <w:t>Oficio 061418 de octubre 31 del 2014 </w:t>
      </w:r>
      <w:r w:rsidRPr="00D86CDB">
        <w:rPr>
          <w:rFonts w:eastAsia="Times New Roman" w:cs="Times New Roman"/>
          <w:color w:val="000000"/>
          <w:sz w:val="36"/>
          <w:szCs w:val="36"/>
          <w:highlight w:val="yellow"/>
          <w:lang w:eastAsia="es-CO"/>
        </w:rPr>
        <w:t>que se anexa, se reiteró la doctrina sobre la información que puede ser compartida y manifestó que aquella es la relacionada con la identificación (NIT, nombres, apellidos, razón social) y la ubicación (dirección, municipio, departamento), siempre y cuando se dé previo cumplimiento de las formas, condiciones, reserva y requisitos para el suministro, manejo, uso y salvaguarda de la información.</w:t>
      </w:r>
    </w:p>
    <w:p w14:paraId="18A792D7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 w:val="36"/>
          <w:szCs w:val="36"/>
          <w:lang w:eastAsia="es-CO"/>
        </w:rPr>
      </w:pPr>
      <w:r w:rsidRPr="00D86CDB">
        <w:rPr>
          <w:rFonts w:eastAsia="Times New Roman" w:cs="Times New Roman"/>
          <w:color w:val="000000"/>
          <w:sz w:val="36"/>
          <w:szCs w:val="36"/>
          <w:lang w:eastAsia="es-CO"/>
        </w:rPr>
        <w:t> </w:t>
      </w:r>
    </w:p>
    <w:p w14:paraId="6FB910C7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 w:val="36"/>
          <w:szCs w:val="36"/>
          <w:lang w:eastAsia="es-CO"/>
        </w:rPr>
      </w:pPr>
      <w:r w:rsidRPr="00D86CDB">
        <w:rPr>
          <w:rFonts w:eastAsia="Times New Roman" w:cs="Times New Roman"/>
          <w:color w:val="000000"/>
          <w:sz w:val="36"/>
          <w:szCs w:val="36"/>
          <w:highlight w:val="yellow"/>
          <w:lang w:eastAsia="es-CO"/>
        </w:rPr>
        <w:t>Por tal motivo, se insiste en que solamente los datos básicos del RUT antes indicados pueden ser entregados previo compromiso de cumplimiento de las formas, condiciones, reserva y requisitos para el suministro, manejo, uso y salvaguarda de la correspondiente información.</w:t>
      </w:r>
    </w:p>
    <w:p w14:paraId="29C597DB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1C5F8640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Atentamente,</w:t>
      </w:r>
    </w:p>
    <w:p w14:paraId="17AE08FD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A9B8D2F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  <w:r w:rsidRPr="00D86CDB">
        <w:rPr>
          <w:rFonts w:eastAsia="Times New Roman" w:cs="Times New Roman"/>
          <w:b/>
          <w:bCs/>
          <w:color w:val="000000"/>
          <w:szCs w:val="24"/>
          <w:lang w:eastAsia="es-CO"/>
        </w:rPr>
        <w:t>La Directora de Gestión Jurídica (e),</w:t>
      </w:r>
    </w:p>
    <w:p w14:paraId="0C83EB31" w14:textId="77777777" w:rsidR="0026020D" w:rsidRPr="00D86CDB" w:rsidRDefault="0026020D" w:rsidP="00D86CDB">
      <w:pPr>
        <w:spacing w:after="0" w:line="360" w:lineRule="auto"/>
        <w:jc w:val="right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 </w:t>
      </w:r>
    </w:p>
    <w:p w14:paraId="3BE2633C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i/>
          <w:iCs/>
          <w:color w:val="000000"/>
          <w:szCs w:val="24"/>
          <w:lang w:eastAsia="es-CO"/>
        </w:rPr>
        <w:t>Liliana Andrea Forero Gómez.</w:t>
      </w:r>
    </w:p>
    <w:p w14:paraId="7705C39E" w14:textId="77777777" w:rsidR="0026020D" w:rsidRPr="00D86CDB" w:rsidRDefault="0026020D" w:rsidP="00D86CDB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b/>
          <w:bCs/>
          <w:color w:val="000000"/>
          <w:szCs w:val="24"/>
          <w:lang w:eastAsia="es-CO"/>
        </w:rPr>
        <w:t>Publicado en D.O. 49.893 del 3 de junio de 2016.</w:t>
      </w:r>
    </w:p>
    <w:p w14:paraId="332E87E6" w14:textId="77777777" w:rsidR="0026020D" w:rsidRPr="00D86CDB" w:rsidRDefault="0026020D" w:rsidP="00D86CDB">
      <w:pPr>
        <w:spacing w:after="285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D86CDB">
        <w:rPr>
          <w:rFonts w:eastAsia="Times New Roman" w:cs="Times New Roman"/>
          <w:color w:val="000000"/>
          <w:szCs w:val="24"/>
          <w:lang w:eastAsia="es-CO"/>
        </w:rPr>
        <w:t> </w:t>
      </w:r>
    </w:p>
    <w:sectPr w:rsidR="0026020D" w:rsidRPr="00D86CDB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20D"/>
    <w:rsid w:val="0026020D"/>
    <w:rsid w:val="0029351E"/>
    <w:rsid w:val="002A4898"/>
    <w:rsid w:val="008C07CA"/>
    <w:rsid w:val="00961BFA"/>
    <w:rsid w:val="00B94BED"/>
    <w:rsid w:val="00D86CDB"/>
    <w:rsid w:val="00E3651C"/>
    <w:rsid w:val="00EA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6ED9"/>
  <w15:chartTrackingRefBased/>
  <w15:docId w15:val="{50A11EDB-094D-46CC-B762-3222F101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ta.org.co/html/vista_de_un_articulo.asp?Norma=7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ta.org.co/html/vista_de_un_articulo.asp?Norma=720" TargetMode="External"/><Relationship Id="rId5" Type="http://schemas.openxmlformats.org/officeDocument/2006/relationships/hyperlink" Target="http://www.ceta.org.co/html/vista_de_un_articulo.asp?Norma=720" TargetMode="External"/><Relationship Id="rId4" Type="http://schemas.openxmlformats.org/officeDocument/2006/relationships/hyperlink" Target="http://www.ceta.org.co/html/vista_de_un_articulo.asp?Norma=7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CNETCO</cp:lastModifiedBy>
  <cp:revision>2</cp:revision>
  <dcterms:created xsi:type="dcterms:W3CDTF">2020-06-05T20:08:00Z</dcterms:created>
  <dcterms:modified xsi:type="dcterms:W3CDTF">2020-06-05T20:08:00Z</dcterms:modified>
</cp:coreProperties>
</file>