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45D" w:rsidRPr="00D8545D" w:rsidRDefault="00D8545D" w:rsidP="00D8545D">
      <w:pPr>
        <w:spacing w:line="240" w:lineRule="auto"/>
        <w:jc w:val="center"/>
        <w:rPr>
          <w:rFonts w:ascii="Arial" w:eastAsia="Times New Roman" w:hAnsi="Arial" w:cs="Arial"/>
          <w:color w:val="000000"/>
          <w:sz w:val="18"/>
          <w:szCs w:val="18"/>
          <w:lang w:eastAsia="es-ES"/>
        </w:rPr>
      </w:pPr>
      <w:r w:rsidRPr="00D8545D">
        <w:rPr>
          <w:rFonts w:ascii="Segoe UI" w:eastAsia="Times New Roman" w:hAnsi="Segoe UI" w:cs="Segoe UI"/>
          <w:b/>
          <w:bCs/>
          <w:color w:val="0000FF"/>
          <w:sz w:val="28"/>
          <w:szCs w:val="28"/>
          <w:lang w:val="es-CO" w:eastAsia="es-ES"/>
        </w:rPr>
        <w:t xml:space="preserve">OFICIO </w:t>
      </w:r>
      <w:proofErr w:type="spellStart"/>
      <w:r w:rsidRPr="00D8545D">
        <w:rPr>
          <w:rFonts w:ascii="Segoe UI" w:eastAsia="Times New Roman" w:hAnsi="Segoe UI" w:cs="Segoe UI"/>
          <w:b/>
          <w:bCs/>
          <w:color w:val="0000FF"/>
          <w:sz w:val="28"/>
          <w:szCs w:val="28"/>
          <w:lang w:val="es-CO" w:eastAsia="es-ES"/>
        </w:rPr>
        <w:t>Nº</w:t>
      </w:r>
      <w:proofErr w:type="spellEnd"/>
      <w:r w:rsidRPr="00D8545D">
        <w:rPr>
          <w:rFonts w:ascii="Segoe UI" w:eastAsia="Times New Roman" w:hAnsi="Segoe UI" w:cs="Segoe UI"/>
          <w:b/>
          <w:bCs/>
          <w:color w:val="0000FF"/>
          <w:sz w:val="28"/>
          <w:szCs w:val="28"/>
          <w:lang w:val="es-CO" w:eastAsia="es-ES"/>
        </w:rPr>
        <w:t xml:space="preserve"> 0057 [001273]</w:t>
      </w:r>
    </w:p>
    <w:p w:rsidR="00D8545D" w:rsidRPr="00D8545D" w:rsidRDefault="00D8545D" w:rsidP="00D8545D">
      <w:pPr>
        <w:spacing w:line="240" w:lineRule="auto"/>
        <w:jc w:val="center"/>
        <w:rPr>
          <w:rFonts w:ascii="Arial" w:eastAsia="Times New Roman" w:hAnsi="Arial" w:cs="Arial"/>
          <w:color w:val="000000"/>
          <w:sz w:val="18"/>
          <w:szCs w:val="18"/>
          <w:lang w:eastAsia="es-ES"/>
        </w:rPr>
      </w:pPr>
      <w:r w:rsidRPr="00D8545D">
        <w:rPr>
          <w:rFonts w:ascii="Segoe UI" w:eastAsia="Times New Roman" w:hAnsi="Segoe UI" w:cs="Segoe UI"/>
          <w:b/>
          <w:bCs/>
          <w:color w:val="0000FF"/>
          <w:sz w:val="28"/>
          <w:szCs w:val="28"/>
          <w:lang w:val="es-CO" w:eastAsia="es-ES"/>
        </w:rPr>
        <w:t>23-01-2020</w:t>
      </w:r>
    </w:p>
    <w:p w:rsidR="00D8545D" w:rsidRPr="00D8545D" w:rsidRDefault="00D8545D" w:rsidP="00D8545D">
      <w:pPr>
        <w:spacing w:line="240" w:lineRule="auto"/>
        <w:jc w:val="center"/>
        <w:rPr>
          <w:rFonts w:ascii="Arial" w:eastAsia="Times New Roman" w:hAnsi="Arial" w:cs="Arial"/>
          <w:color w:val="000000"/>
          <w:sz w:val="18"/>
          <w:szCs w:val="18"/>
          <w:lang w:eastAsia="es-ES"/>
        </w:rPr>
      </w:pPr>
      <w:r w:rsidRPr="00D8545D">
        <w:rPr>
          <w:rFonts w:ascii="Segoe UI" w:eastAsia="Times New Roman" w:hAnsi="Segoe UI" w:cs="Segoe UI"/>
          <w:b/>
          <w:bCs/>
          <w:color w:val="0000FF"/>
          <w:sz w:val="28"/>
          <w:szCs w:val="28"/>
          <w:lang w:val="es-CO" w:eastAsia="es-ES"/>
        </w:rPr>
        <w:t>DIAN</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Subdirección de Gestión Normativa y Doctrina</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Oficio No 100208221-000057</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Bogotá, D.C.</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proofErr w:type="spellStart"/>
      <w:r w:rsidRPr="00D8545D">
        <w:rPr>
          <w:rFonts w:ascii="Segoe UI" w:eastAsia="Times New Roman" w:hAnsi="Segoe UI" w:cs="Segoe UI"/>
          <w:b/>
          <w:bCs/>
          <w:color w:val="000000"/>
          <w:sz w:val="18"/>
          <w:szCs w:val="18"/>
          <w:lang w:val="es-CO" w:eastAsia="es-ES"/>
        </w:rPr>
        <w:t>Ref</w:t>
      </w:r>
      <w:proofErr w:type="spellEnd"/>
      <w:r w:rsidRPr="00D8545D">
        <w:rPr>
          <w:rFonts w:ascii="Segoe UI" w:eastAsia="Times New Roman" w:hAnsi="Segoe UI" w:cs="Segoe UI"/>
          <w:b/>
          <w:bCs/>
          <w:color w:val="000000"/>
          <w:sz w:val="18"/>
          <w:szCs w:val="18"/>
          <w:lang w:val="es-CO" w:eastAsia="es-ES"/>
        </w:rPr>
        <w:t>:</w:t>
      </w:r>
      <w:r w:rsidRPr="00D8545D">
        <w:rPr>
          <w:rFonts w:ascii="Segoe UI" w:eastAsia="Times New Roman" w:hAnsi="Segoe UI" w:cs="Segoe UI"/>
          <w:color w:val="000000"/>
          <w:sz w:val="18"/>
          <w:szCs w:val="18"/>
          <w:lang w:val="es-CO" w:eastAsia="es-ES"/>
        </w:rPr>
        <w:t> Radicado 000010 del 07/01/2020</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Cordial Saludo Dra. Sandra Enith.</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Respecto al radicado de la referencia, el cual fue trasladado por competencia por parte de la Subdirección de Gestión de Representación Externa, se solicita </w:t>
      </w:r>
      <w:r w:rsidRPr="00D8545D">
        <w:rPr>
          <w:rFonts w:ascii="Segoe UI" w:eastAsia="Times New Roman" w:hAnsi="Segoe UI" w:cs="Segoe UI"/>
          <w:i/>
          <w:iCs/>
          <w:color w:val="000000"/>
          <w:sz w:val="18"/>
          <w:szCs w:val="18"/>
          <w:lang w:val="es-CO" w:eastAsia="es-ES"/>
        </w:rPr>
        <w:t>"establecer la línea a seguir en las solicitudes de devolución de IVA a las Instituciones de Educación Superior".</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Sobre el particular, las consideraciones de este Despacho son las siguientes:</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La Ley 30 de 1992 señala, en su artículo 92, que:</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b/>
          <w:bCs/>
          <w:i/>
          <w:iCs/>
          <w:color w:val="000000"/>
          <w:sz w:val="18"/>
          <w:szCs w:val="18"/>
          <w:lang w:val="es-CO" w:eastAsia="es-ES"/>
        </w:rPr>
        <w:t>"ARTÍCULO 92. Las instituciones de Educación Superior, los Colegios de Bachillerato y las instituciones de Educación No Formal, no son responsables del IVA.</w:t>
      </w:r>
      <w:r w:rsidRPr="00D8545D">
        <w:rPr>
          <w:rFonts w:ascii="Segoe UI" w:eastAsia="Times New Roman" w:hAnsi="Segoe UI" w:cs="Segoe UI"/>
          <w:i/>
          <w:iCs/>
          <w:color w:val="000000"/>
          <w:sz w:val="18"/>
          <w:szCs w:val="18"/>
          <w:lang w:val="es-CO" w:eastAsia="es-ES"/>
        </w:rPr>
        <w:t> Adicionalmente, </w:t>
      </w:r>
      <w:r w:rsidRPr="00D8545D">
        <w:rPr>
          <w:rFonts w:ascii="Segoe UI" w:eastAsia="Times New Roman" w:hAnsi="Segoe UI" w:cs="Segoe UI"/>
          <w:b/>
          <w:bCs/>
          <w:i/>
          <w:iCs/>
          <w:color w:val="000000"/>
          <w:sz w:val="18"/>
          <w:szCs w:val="18"/>
          <w:lang w:val="es-CO" w:eastAsia="es-ES"/>
        </w:rPr>
        <w:t>las instituciones estatales u oficiales de Educación Superior tendrán derecho a la devolución del IVA que paguen </w:t>
      </w:r>
      <w:r w:rsidRPr="00D8545D">
        <w:rPr>
          <w:rFonts w:ascii="Segoe UI" w:eastAsia="Times New Roman" w:hAnsi="Segoe UI" w:cs="Segoe UI"/>
          <w:b/>
          <w:bCs/>
          <w:i/>
          <w:iCs/>
          <w:color w:val="000000"/>
          <w:sz w:val="18"/>
          <w:szCs w:val="18"/>
          <w:u w:val="single"/>
          <w:lang w:val="es-CO" w:eastAsia="es-ES"/>
        </w:rPr>
        <w:t>por los bienes, insumos y servicios que adquieran</w:t>
      </w:r>
      <w:r w:rsidRPr="00D8545D">
        <w:rPr>
          <w:rFonts w:ascii="Segoe UI" w:eastAsia="Times New Roman" w:hAnsi="Segoe UI" w:cs="Segoe UI"/>
          <w:i/>
          <w:iCs/>
          <w:color w:val="000000"/>
          <w:sz w:val="18"/>
          <w:szCs w:val="18"/>
          <w:lang w:val="es-CO" w:eastAsia="es-ES"/>
        </w:rPr>
        <w:t>, mediante liquidaciones periódicas que se realicen en los términos que señale el reglamento."</w:t>
      </w:r>
      <w:r w:rsidRPr="00D8545D">
        <w:rPr>
          <w:rFonts w:ascii="Segoe UI" w:eastAsia="Times New Roman" w:hAnsi="Segoe UI" w:cs="Segoe UI"/>
          <w:color w:val="000000"/>
          <w:sz w:val="18"/>
          <w:szCs w:val="18"/>
          <w:lang w:val="es-CO" w:eastAsia="es-ES"/>
        </w:rPr>
        <w:t> (negrilla y subrayado fuera de texto).</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A su vez, el Decreto 2627 de 1993 establece, en su artículo 4, los requisitos de la solicitud de devolución del impuesto sobre las ventas, así:</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b/>
          <w:bCs/>
          <w:i/>
          <w:iCs/>
          <w:color w:val="000000"/>
          <w:sz w:val="18"/>
          <w:szCs w:val="18"/>
          <w:lang w:val="es-CO" w:eastAsia="es-ES"/>
        </w:rPr>
        <w:t>"ARTÍCULO 4°. REQUISITOS DE LA SOLICITUD DE DEVOLUCIÓN DEL IMPUESTO A LAS VENTAS.</w:t>
      </w:r>
      <w:r w:rsidRPr="00D8545D">
        <w:rPr>
          <w:rFonts w:ascii="Segoe UI" w:eastAsia="Times New Roman" w:hAnsi="Segoe UI" w:cs="Segoe UI"/>
          <w:color w:val="000000"/>
          <w:sz w:val="18"/>
          <w:szCs w:val="18"/>
          <w:lang w:val="es-CO" w:eastAsia="es-ES"/>
        </w:rPr>
        <w:t> </w:t>
      </w:r>
      <w:r w:rsidRPr="00D8545D">
        <w:rPr>
          <w:rFonts w:ascii="Segoe UI" w:eastAsia="Times New Roman" w:hAnsi="Segoe UI" w:cs="Segoe UI"/>
          <w:i/>
          <w:iCs/>
          <w:color w:val="000000"/>
          <w:sz w:val="18"/>
          <w:szCs w:val="18"/>
          <w:lang w:val="es-CO" w:eastAsia="es-ES"/>
        </w:rPr>
        <w:t>La solicitud de devolución del Impuesto a las Ventas deberá presentarse diligenciando el formato correspondiente y cumplir los siguientes requisitos:</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i/>
          <w:iCs/>
          <w:color w:val="000000"/>
          <w:sz w:val="18"/>
          <w:szCs w:val="18"/>
          <w:lang w:val="es-CO" w:eastAsia="es-ES"/>
        </w:rPr>
        <w:t>(...)</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i/>
          <w:iCs/>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i/>
          <w:iCs/>
          <w:color w:val="000000"/>
          <w:sz w:val="18"/>
          <w:szCs w:val="18"/>
          <w:lang w:val="es-CO" w:eastAsia="es-ES"/>
        </w:rPr>
        <w:t>3. Que se acompañe de los siguientes documentos:</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i/>
          <w:iCs/>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i/>
          <w:iCs/>
          <w:color w:val="000000"/>
          <w:sz w:val="18"/>
          <w:szCs w:val="18"/>
          <w:lang w:val="es-CO" w:eastAsia="es-ES"/>
        </w:rPr>
        <w:t>(...)</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r w:rsidRPr="00D8545D">
        <w:rPr>
          <w:rFonts w:ascii="Segoe UI" w:eastAsia="Times New Roman" w:hAnsi="Segoe UI" w:cs="Segoe UI"/>
          <w:b/>
          <w:bCs/>
          <w:i/>
          <w:iCs/>
          <w:color w:val="000000"/>
          <w:sz w:val="18"/>
          <w:szCs w:val="18"/>
          <w:lang w:val="es-CO" w:eastAsia="es-ES"/>
        </w:rPr>
        <w:t>Que los bienes e insumos y servicios fueron adquiridos </w:t>
      </w:r>
      <w:r w:rsidRPr="00D8545D">
        <w:rPr>
          <w:rFonts w:ascii="Segoe UI" w:eastAsia="Times New Roman" w:hAnsi="Segoe UI" w:cs="Segoe UI"/>
          <w:b/>
          <w:bCs/>
          <w:i/>
          <w:iCs/>
          <w:color w:val="000000"/>
          <w:sz w:val="18"/>
          <w:szCs w:val="18"/>
          <w:u w:val="single"/>
          <w:lang w:val="es-CO" w:eastAsia="es-ES"/>
        </w:rPr>
        <w:t>para el uso exclusivo de la respectiva Institución</w:t>
      </w:r>
      <w:r w:rsidRPr="00D8545D">
        <w:rPr>
          <w:rFonts w:ascii="Segoe UI" w:eastAsia="Times New Roman" w:hAnsi="Segoe UI" w:cs="Segoe UI"/>
          <w:b/>
          <w:bCs/>
          <w:i/>
          <w:iCs/>
          <w:color w:val="000000"/>
          <w:sz w:val="18"/>
          <w:szCs w:val="18"/>
          <w:lang w:val="es-CO" w:eastAsia="es-ES"/>
        </w:rPr>
        <w:t>."</w:t>
      </w:r>
      <w:r w:rsidRPr="00D8545D">
        <w:rPr>
          <w:rFonts w:ascii="Segoe UI" w:eastAsia="Times New Roman" w:hAnsi="Segoe UI" w:cs="Segoe UI"/>
          <w:color w:val="000000"/>
          <w:sz w:val="18"/>
          <w:szCs w:val="18"/>
          <w:lang w:val="es-CO" w:eastAsia="es-ES"/>
        </w:rPr>
        <w:t> (negrilla y subrayado fuera de texto).</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La expresión </w:t>
      </w:r>
      <w:r w:rsidRPr="00D8545D">
        <w:rPr>
          <w:rFonts w:ascii="Segoe UI" w:eastAsia="Times New Roman" w:hAnsi="Segoe UI" w:cs="Segoe UI"/>
          <w:i/>
          <w:iCs/>
          <w:color w:val="000000"/>
          <w:sz w:val="18"/>
          <w:szCs w:val="18"/>
          <w:lang w:val="es-CO" w:eastAsia="es-ES"/>
        </w:rPr>
        <w:t>"que los insumos y servicios fueron adquiridos para el uso exclusivo de la respectiva institución",</w:t>
      </w:r>
      <w:r w:rsidRPr="00D8545D">
        <w:rPr>
          <w:rFonts w:ascii="Segoe UI" w:eastAsia="Times New Roman" w:hAnsi="Segoe UI" w:cs="Segoe UI"/>
          <w:color w:val="000000"/>
          <w:sz w:val="18"/>
          <w:szCs w:val="18"/>
          <w:lang w:val="es-CO" w:eastAsia="es-ES"/>
        </w:rPr>
        <w:t> contenida en el literal b) numeral 3 del Decreto 2627 de 1993, fue demandada en nulidad ante el Consejo de Estado, que denegó las súplicas de la demanda y en la parte considerativa de la sentencia del 26 de septiembre de 2007, precisó:</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i/>
          <w:iCs/>
          <w:color w:val="000000"/>
          <w:sz w:val="18"/>
          <w:szCs w:val="18"/>
          <w:lang w:val="es-CO" w:eastAsia="es-ES"/>
        </w:rPr>
        <w:t>"Ahora bien, </w:t>
      </w:r>
      <w:r w:rsidRPr="00D8545D">
        <w:rPr>
          <w:rFonts w:ascii="Segoe UI" w:eastAsia="Times New Roman" w:hAnsi="Segoe UI" w:cs="Segoe UI"/>
          <w:b/>
          <w:bCs/>
          <w:i/>
          <w:iCs/>
          <w:color w:val="000000"/>
          <w:sz w:val="18"/>
          <w:szCs w:val="18"/>
          <w:lang w:val="es-CO" w:eastAsia="es-ES"/>
        </w:rPr>
        <w:t>el decreto reglamentario precisa que el medio probatorio para tener derecho a la devolución, es que allegue </w:t>
      </w:r>
      <w:r w:rsidRPr="00D8545D">
        <w:rPr>
          <w:rFonts w:ascii="Segoe UI" w:eastAsia="Times New Roman" w:hAnsi="Segoe UI" w:cs="Segoe UI"/>
          <w:b/>
          <w:bCs/>
          <w:i/>
          <w:iCs/>
          <w:color w:val="000000"/>
          <w:sz w:val="18"/>
          <w:szCs w:val="18"/>
          <w:u w:val="single"/>
          <w:lang w:val="es-CO" w:eastAsia="es-ES"/>
        </w:rPr>
        <w:t xml:space="preserve">un certificado del contador o del revisor fiscal de la Institución en el que se acredite que los bienes, insumos y servicios, fueron adquiridos para el uso exclusivo de la misma, lo </w:t>
      </w:r>
      <w:proofErr w:type="gramStart"/>
      <w:r w:rsidRPr="00D8545D">
        <w:rPr>
          <w:rFonts w:ascii="Segoe UI" w:eastAsia="Times New Roman" w:hAnsi="Segoe UI" w:cs="Segoe UI"/>
          <w:b/>
          <w:bCs/>
          <w:i/>
          <w:iCs/>
          <w:color w:val="000000"/>
          <w:sz w:val="18"/>
          <w:szCs w:val="18"/>
          <w:u w:val="single"/>
          <w:lang w:val="es-CO" w:eastAsia="es-ES"/>
        </w:rPr>
        <w:t>cual</w:t>
      </w:r>
      <w:proofErr w:type="gramEnd"/>
      <w:r w:rsidRPr="00D8545D">
        <w:rPr>
          <w:rFonts w:ascii="Segoe UI" w:eastAsia="Times New Roman" w:hAnsi="Segoe UI" w:cs="Segoe UI"/>
          <w:b/>
          <w:bCs/>
          <w:i/>
          <w:iCs/>
          <w:color w:val="000000"/>
          <w:sz w:val="18"/>
          <w:szCs w:val="18"/>
          <w:u w:val="single"/>
          <w:lang w:val="es-CO" w:eastAsia="es-ES"/>
        </w:rPr>
        <w:t xml:space="preserve"> a juicio de la Sala, no limita el alcance del beneficio legal, ni restringe su derecho.</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i/>
          <w:iCs/>
          <w:color w:val="000000"/>
          <w:sz w:val="18"/>
          <w:szCs w:val="18"/>
          <w:lang w:val="es-CO" w:eastAsia="es-ES"/>
        </w:rPr>
        <w:t>La devolución del IVA consagrada en el artículo 92 de la Ley 30 de 1992, como se señaló, atiende precisamente a la calidad de pública u oficial de la institución de educación superior. Se trata de una ventaja en cabeza de una persona de derecho público, con el ánimo (sic) equiparar las condiciones económicas frente a las instituciones privadas, por las razones que expuso la Corte en la sentencia citada. </w:t>
      </w:r>
      <w:r w:rsidRPr="00D8545D">
        <w:rPr>
          <w:rFonts w:ascii="Segoe UI" w:eastAsia="Times New Roman" w:hAnsi="Segoe UI" w:cs="Segoe UI"/>
          <w:b/>
          <w:bCs/>
          <w:i/>
          <w:iCs/>
          <w:color w:val="000000"/>
          <w:sz w:val="18"/>
          <w:szCs w:val="18"/>
          <w:lang w:val="es-CO" w:eastAsia="es-ES"/>
        </w:rPr>
        <w:t>En consecuencia, es una concesión de carácter personal</w:t>
      </w:r>
      <w:r w:rsidRPr="00D8545D">
        <w:rPr>
          <w:rFonts w:ascii="Segoe UI" w:eastAsia="Times New Roman" w:hAnsi="Segoe UI" w:cs="Segoe UI"/>
          <w:b/>
          <w:bCs/>
          <w:color w:val="000000"/>
          <w:sz w:val="18"/>
          <w:szCs w:val="18"/>
          <w:lang w:val="es-CO" w:eastAsia="es-ES"/>
        </w:rPr>
        <w:t>.</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Por lo anterior</w:t>
      </w:r>
      <w:r w:rsidRPr="00D8545D">
        <w:rPr>
          <w:rFonts w:ascii="Segoe UI" w:eastAsia="Times New Roman" w:hAnsi="Segoe UI" w:cs="Segoe UI"/>
          <w:b/>
          <w:bCs/>
          <w:i/>
          <w:iCs/>
          <w:color w:val="000000"/>
          <w:sz w:val="18"/>
          <w:szCs w:val="18"/>
          <w:u w:val="single"/>
          <w:lang w:val="es-CO" w:eastAsia="es-ES"/>
        </w:rPr>
        <w:t>, la exigencia demandada se ajusta a la norma superior, pues, el uso exclusivo de los bienes, insumos y servicios adquiridos por la institución es coherente con el carácter personal del beneficio establecido en su favor.</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b/>
          <w:bCs/>
          <w:color w:val="000000"/>
          <w:sz w:val="18"/>
          <w:szCs w:val="18"/>
          <w:lang w:val="es-CO" w:eastAsia="es-ES"/>
        </w:rPr>
        <w:lastRenderedPageBreak/>
        <w:t>En efecto, </w:t>
      </w:r>
      <w:r w:rsidRPr="00D8545D">
        <w:rPr>
          <w:rFonts w:ascii="Segoe UI" w:eastAsia="Times New Roman" w:hAnsi="Segoe UI" w:cs="Segoe UI"/>
          <w:b/>
          <w:bCs/>
          <w:i/>
          <w:iCs/>
          <w:color w:val="000000"/>
          <w:sz w:val="18"/>
          <w:szCs w:val="18"/>
          <w:u w:val="single"/>
          <w:lang w:val="es-CO" w:eastAsia="es-ES"/>
        </w:rPr>
        <w:t>la exclusividad que advierte el reglamento debe entenderse en el sentido de que el beneficio no se extienda a personas diferentes a la institución pública, que es la titular, pues si el Estado deja de percibir un ingreso lo hace precisamente porque es un beneficio de una entidad pública de educación superior y no de una persona natural</w:t>
      </w:r>
      <w:r w:rsidRPr="00D8545D">
        <w:rPr>
          <w:rFonts w:ascii="Segoe UI" w:eastAsia="Times New Roman" w:hAnsi="Segoe UI" w:cs="Segoe UI"/>
          <w:b/>
          <w:bCs/>
          <w:color w:val="000000"/>
          <w:sz w:val="18"/>
          <w:szCs w:val="18"/>
          <w:lang w:val="es-CO" w:eastAsia="es-ES"/>
        </w:rPr>
        <w:t>.”</w:t>
      </w:r>
      <w:r w:rsidRPr="00D8545D">
        <w:rPr>
          <w:rFonts w:ascii="Segoe UI" w:eastAsia="Times New Roman" w:hAnsi="Segoe UI" w:cs="Segoe UI"/>
          <w:color w:val="000000"/>
          <w:sz w:val="18"/>
          <w:szCs w:val="18"/>
          <w:lang w:val="es-CO" w:eastAsia="es-ES"/>
        </w:rPr>
        <w:t> (negrilla y subrayado fuera de texto).</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En el mismo sentido, y de forma reiterada, esta Subdirección se ha pronunciado en los Oficios Nos. 034463 del 1 de diciembre de 2015, 2017900764 del 2 de marzo de 2017 y, recientemente, en el Oficio No. 020988 del 23 de agosto de 2019, en donde insistió recalcando:</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i/>
          <w:iCs/>
          <w:color w:val="000000"/>
          <w:sz w:val="18"/>
          <w:szCs w:val="18"/>
          <w:lang w:val="es-CO" w:eastAsia="es-ES"/>
        </w:rPr>
        <w:t>"(...) </w:t>
      </w:r>
      <w:r w:rsidRPr="00D8545D">
        <w:rPr>
          <w:rFonts w:ascii="Segoe UI" w:eastAsia="Times New Roman" w:hAnsi="Segoe UI" w:cs="Segoe UI"/>
          <w:b/>
          <w:bCs/>
          <w:i/>
          <w:iCs/>
          <w:color w:val="000000"/>
          <w:sz w:val="18"/>
          <w:szCs w:val="18"/>
          <w:lang w:val="es-CO" w:eastAsia="es-ES"/>
        </w:rPr>
        <w:t>este beneficio no puede hacerse extensivo a personas distintas para las que fue creado, es decir, aquellas que no se encuentran dentro de la ley de educación.</w:t>
      </w:r>
      <w:r w:rsidRPr="00D8545D">
        <w:rPr>
          <w:rFonts w:ascii="Segoe UI" w:eastAsia="Times New Roman" w:hAnsi="Segoe UI" w:cs="Segoe UI"/>
          <w:i/>
          <w:iCs/>
          <w:color w:val="000000"/>
          <w:sz w:val="18"/>
          <w:szCs w:val="18"/>
          <w:lang w:val="es-CO" w:eastAsia="es-ES"/>
        </w:rPr>
        <w:t> La Corte Constitucional en sentencia C-333 del 17 de mayo de 2017, considera que:</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i/>
          <w:iCs/>
          <w:color w:val="000000"/>
          <w:sz w:val="18"/>
          <w:szCs w:val="18"/>
          <w:lang w:val="es-CO" w:eastAsia="es-ES"/>
        </w:rPr>
        <w:t xml:space="preserve">"Los beneficios tributarios se han catalogado como taxativos, limitados, personales e intransferibles, teniendo en cuenta que se dirigen a favorecer únicamente a los sujetos pasivos que se subsumen dentro de </w:t>
      </w:r>
      <w:proofErr w:type="gramStart"/>
      <w:r w:rsidRPr="00D8545D">
        <w:rPr>
          <w:rFonts w:ascii="Segoe UI" w:eastAsia="Times New Roman" w:hAnsi="Segoe UI" w:cs="Segoe UI"/>
          <w:i/>
          <w:iCs/>
          <w:color w:val="000000"/>
          <w:sz w:val="18"/>
          <w:szCs w:val="18"/>
          <w:lang w:val="es-CO" w:eastAsia="es-ES"/>
        </w:rPr>
        <w:t>la hipótesis reguladas</w:t>
      </w:r>
      <w:proofErr w:type="gramEnd"/>
      <w:r w:rsidRPr="00D8545D">
        <w:rPr>
          <w:rFonts w:ascii="Segoe UI" w:eastAsia="Times New Roman" w:hAnsi="Segoe UI" w:cs="Segoe UI"/>
          <w:i/>
          <w:iCs/>
          <w:color w:val="000000"/>
          <w:sz w:val="18"/>
          <w:szCs w:val="18"/>
          <w:lang w:val="es-CO" w:eastAsia="es-ES"/>
        </w:rPr>
        <w:t>, lo que significa una estrecha relación entre el beneficiario y el gravamen que - al menos en principio – no puede ser trasladado a otro sujeto".</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b/>
          <w:bCs/>
          <w:i/>
          <w:iCs/>
          <w:color w:val="000000"/>
          <w:sz w:val="18"/>
          <w:szCs w:val="18"/>
          <w:lang w:val="es-CO" w:eastAsia="es-ES"/>
        </w:rPr>
        <w:t>Igualmente, no resulta congruente con la función social que cumplen las instituciones educativas aquella actividad comercial que no guarda una relación directa con la actividad educativa y por la cual se le exonera de manera expresa del deber de ser responsable</w:t>
      </w:r>
      <w:r w:rsidRPr="00D8545D">
        <w:rPr>
          <w:rFonts w:ascii="Segoe UI" w:eastAsia="Times New Roman" w:hAnsi="Segoe UI" w:cs="Segoe UI"/>
          <w:i/>
          <w:iCs/>
          <w:color w:val="000000"/>
          <w:sz w:val="18"/>
          <w:szCs w:val="18"/>
          <w:lang w:val="es-CO" w:eastAsia="es-ES"/>
        </w:rPr>
        <w:t>, toda vez que se trata de estimular e incentivar la formación profesional e integral de los colombianos, dentro de unos precisos objetivos trazados por el legislador.</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ind w:left="284"/>
        <w:rPr>
          <w:rFonts w:ascii="Arial" w:eastAsia="Times New Roman" w:hAnsi="Arial" w:cs="Arial"/>
          <w:color w:val="000000"/>
          <w:sz w:val="18"/>
          <w:szCs w:val="18"/>
          <w:lang w:eastAsia="es-ES"/>
        </w:rPr>
      </w:pPr>
      <w:r w:rsidRPr="00D8545D">
        <w:rPr>
          <w:rFonts w:ascii="Segoe UI" w:eastAsia="Times New Roman" w:hAnsi="Segoe UI" w:cs="Segoe UI"/>
          <w:b/>
          <w:bCs/>
          <w:i/>
          <w:iCs/>
          <w:color w:val="000000"/>
          <w:sz w:val="18"/>
          <w:szCs w:val="18"/>
          <w:lang w:val="es-CO" w:eastAsia="es-ES"/>
        </w:rPr>
        <w:t>Así las cosas, se pierde toda fuerza jurídica la exclusión del IVA cuando se realizan actividades de comercio sin conexión estrecha con los objetivos buscados en la ley de servicio público de educación que consagra esa exclusión. Luego no es posible exigir un tratamiento preferente en materia de impuestos que se otorga para una finalidad especial, máxime cuando las exclusiones o exenciones tributarias son cláusulas de interpretación restrictiva</w:t>
      </w:r>
      <w:proofErr w:type="gramStart"/>
      <w:r w:rsidRPr="00D8545D">
        <w:rPr>
          <w:rFonts w:ascii="Segoe UI" w:eastAsia="Times New Roman" w:hAnsi="Segoe UI" w:cs="Segoe UI"/>
          <w:b/>
          <w:bCs/>
          <w:i/>
          <w:iCs/>
          <w:color w:val="000000"/>
          <w:sz w:val="18"/>
          <w:szCs w:val="18"/>
          <w:lang w:val="es-CO" w:eastAsia="es-ES"/>
        </w:rPr>
        <w:t>.”(</w:t>
      </w:r>
      <w:proofErr w:type="gramEnd"/>
      <w:r w:rsidRPr="00D8545D">
        <w:rPr>
          <w:rFonts w:ascii="Segoe UI" w:eastAsia="Times New Roman" w:hAnsi="Segoe UI" w:cs="Segoe UI"/>
          <w:color w:val="000000"/>
          <w:sz w:val="18"/>
          <w:szCs w:val="18"/>
          <w:lang w:val="es-CO" w:eastAsia="es-ES"/>
        </w:rPr>
        <w:t>negrilla fuera de texto).</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xml:space="preserve">Ahora bien, y en referencia puntual a la sentencia del Consejo de Estado del 6 de septiembre de 2017, además de ser una providencia con efectos </w:t>
      </w:r>
      <w:proofErr w:type="spellStart"/>
      <w:r w:rsidRPr="00D8545D">
        <w:rPr>
          <w:rFonts w:ascii="Segoe UI" w:eastAsia="Times New Roman" w:hAnsi="Segoe UI" w:cs="Segoe UI"/>
          <w:color w:val="000000"/>
          <w:sz w:val="18"/>
          <w:szCs w:val="18"/>
          <w:lang w:val="es-CO" w:eastAsia="es-ES"/>
        </w:rPr>
        <w:t>interpartes</w:t>
      </w:r>
      <w:proofErr w:type="spellEnd"/>
      <w:r w:rsidRPr="00D8545D">
        <w:rPr>
          <w:rFonts w:ascii="Segoe UI" w:eastAsia="Times New Roman" w:hAnsi="Segoe UI" w:cs="Segoe UI"/>
          <w:color w:val="000000"/>
          <w:sz w:val="18"/>
          <w:szCs w:val="18"/>
          <w:lang w:val="es-CO" w:eastAsia="es-ES"/>
        </w:rPr>
        <w:t>, conviene precisar que no cualquier decisión judicial proferida por el Consejo de Estado puede ser invocada para solicitar la aplicación de los efectos de la misma, a través del mecanismo de extensión jurisprudencial regulado en los artículos 102 y 269 del CPACA.</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En este orden de ideas, para este Despacho no hay lugar a un lineamiento o reconsideración alguna en relación con la devolución de IVA a las instituciones estatales u oficiales de educación superior, establecida en el artículo 92 de la Ley 30 de 1992 y en el Decreto 2627 de 1993, sobre los cuales se ha pronunciado esta Subdirección.</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Atentamente,</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b/>
          <w:bCs/>
          <w:color w:val="000000"/>
          <w:sz w:val="18"/>
          <w:szCs w:val="18"/>
          <w:lang w:val="es-CO" w:eastAsia="es-ES"/>
        </w:rPr>
        <w:t> </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b/>
          <w:bCs/>
          <w:color w:val="000000"/>
          <w:sz w:val="18"/>
          <w:szCs w:val="18"/>
          <w:lang w:val="es-CO" w:eastAsia="es-ES"/>
        </w:rPr>
        <w:t>PABLO EMILIO MENDOZA VELILLA</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Subdirector de Gestión Normativa y Doctrina (E)</w:t>
      </w:r>
    </w:p>
    <w:p w:rsidR="00D8545D" w:rsidRPr="00D8545D" w:rsidRDefault="00D8545D" w:rsidP="00D8545D">
      <w:pPr>
        <w:spacing w:line="240" w:lineRule="auto"/>
        <w:rPr>
          <w:rFonts w:ascii="Arial" w:eastAsia="Times New Roman" w:hAnsi="Arial" w:cs="Arial"/>
          <w:color w:val="000000"/>
          <w:sz w:val="18"/>
          <w:szCs w:val="18"/>
          <w:lang w:eastAsia="es-ES"/>
        </w:rPr>
      </w:pPr>
      <w:r w:rsidRPr="00D8545D">
        <w:rPr>
          <w:rFonts w:ascii="Segoe UI" w:eastAsia="Times New Roman" w:hAnsi="Segoe UI" w:cs="Segoe UI"/>
          <w:color w:val="000000"/>
          <w:sz w:val="18"/>
          <w:szCs w:val="18"/>
          <w:lang w:val="es-CO" w:eastAsia="es-ES"/>
        </w:rPr>
        <w:t>Dirección de Gestión Jurídica U.A.E. DIAN</w:t>
      </w:r>
    </w:p>
    <w:p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5D"/>
    <w:rsid w:val="001E311E"/>
    <w:rsid w:val="00434AE6"/>
    <w:rsid w:val="007F5CC8"/>
    <w:rsid w:val="008779BE"/>
    <w:rsid w:val="00D8545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B240C-A63C-4892-BB62-A92ACA6F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0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1044</Words>
  <Characters>5744</Characters>
  <Application>Microsoft Office Word</Application>
  <DocSecurity>0</DocSecurity>
  <Lines>47</Lines>
  <Paragraphs>13</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2020-04-14T14:30:00Z</dcterms:created>
  <dcterms:modified xsi:type="dcterms:W3CDTF">2020-04-14T14:31:00Z</dcterms:modified>
</cp:coreProperties>
</file>