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57277" w14:textId="75512EF4" w:rsidR="00F75659" w:rsidRPr="005731D7" w:rsidRDefault="00F75659" w:rsidP="005731D7">
      <w:pPr>
        <w:jc w:val="center"/>
        <w:rPr>
          <w:rFonts w:eastAsia="Arial" w:cs="Times New Roman"/>
          <w:b/>
          <w:bCs/>
          <w:sz w:val="32"/>
          <w:szCs w:val="32"/>
          <w:lang w:val="es-419" w:eastAsia="es-419"/>
        </w:rPr>
      </w:pPr>
      <w:r w:rsidRPr="005731D7">
        <w:rPr>
          <w:rFonts w:eastAsia="Arial" w:cs="Times New Roman"/>
          <w:b/>
          <w:bCs/>
          <w:sz w:val="32"/>
          <w:szCs w:val="32"/>
          <w:lang w:val="es-419" w:eastAsia="es-419"/>
        </w:rPr>
        <w:t>RESOLUCIÓN 000042 DE MAYO 5 DE 2020.</w:t>
      </w:r>
    </w:p>
    <w:p w14:paraId="46833622" w14:textId="32C09AFB" w:rsidR="00F75659" w:rsidRPr="005731D7" w:rsidRDefault="00F75659" w:rsidP="005731D7">
      <w:pPr>
        <w:jc w:val="center"/>
        <w:rPr>
          <w:rFonts w:eastAsia="Arial" w:cs="Times New Roman"/>
          <w:b/>
          <w:bCs/>
          <w:sz w:val="32"/>
          <w:szCs w:val="32"/>
          <w:lang w:val="es-419" w:eastAsia="es-419"/>
        </w:rPr>
      </w:pPr>
    </w:p>
    <w:p w14:paraId="220666DA" w14:textId="77777777" w:rsidR="00F75659" w:rsidRPr="005731D7" w:rsidRDefault="00F75659" w:rsidP="00F75659">
      <w:pPr>
        <w:rPr>
          <w:rFonts w:eastAsia="Arial" w:cs="Times New Roman"/>
          <w:b/>
          <w:bCs/>
          <w:sz w:val="32"/>
          <w:szCs w:val="32"/>
          <w:lang w:val="es-419" w:eastAsia="es-419"/>
        </w:rPr>
      </w:pPr>
    </w:p>
    <w:p w14:paraId="745BB70B" w14:textId="7AA6E2D5" w:rsidR="00F75659" w:rsidRPr="005731D7" w:rsidRDefault="00F75659" w:rsidP="00F75659">
      <w:pPr>
        <w:rPr>
          <w:rFonts w:eastAsiaTheme="minorEastAsia" w:cs="Times New Roman"/>
          <w:sz w:val="32"/>
          <w:szCs w:val="32"/>
          <w:lang w:val="es-419" w:eastAsia="es-419"/>
        </w:rPr>
      </w:pPr>
      <w:r w:rsidRPr="005731D7">
        <w:rPr>
          <w:rFonts w:eastAsia="Arial" w:cs="Times New Roman"/>
          <w:b/>
          <w:bCs/>
          <w:sz w:val="32"/>
          <w:szCs w:val="32"/>
          <w:highlight w:val="green"/>
          <w:lang w:val="es-419" w:eastAsia="es-419"/>
        </w:rPr>
        <w:t>“Artículo 80. Porcentaje máximo que podrá soportarse sin factura electrónica de venta</w:t>
      </w:r>
      <w:r w:rsidRPr="005731D7">
        <w:rPr>
          <w:rFonts w:eastAsia="Arial" w:cs="Times New Roman"/>
          <w:b/>
          <w:bCs/>
          <w:sz w:val="32"/>
          <w:szCs w:val="32"/>
          <w:lang w:val="es-419" w:eastAsia="es-419"/>
        </w:rPr>
        <w:t xml:space="preserve">. </w:t>
      </w:r>
      <w:r w:rsidRPr="005731D7">
        <w:rPr>
          <w:rFonts w:eastAsia="Arial" w:cs="Times New Roman"/>
          <w:sz w:val="32"/>
          <w:szCs w:val="32"/>
          <w:lang w:val="es-419" w:eastAsia="es-419"/>
        </w:rPr>
        <w:t>Para efecto de lo indicado en el parágrafo transitorio 1 del artículo 616-1 del</w:t>
      </w:r>
      <w:r w:rsidRPr="005731D7">
        <w:rPr>
          <w:rFonts w:eastAsia="Arial" w:cs="Times New Roman"/>
          <w:b/>
          <w:bCs/>
          <w:sz w:val="32"/>
          <w:szCs w:val="32"/>
          <w:lang w:val="es-419" w:eastAsia="es-419"/>
        </w:rPr>
        <w:t xml:space="preserve"> </w:t>
      </w:r>
      <w:r w:rsidRPr="005731D7">
        <w:rPr>
          <w:rFonts w:eastAsia="Arial" w:cs="Times New Roman"/>
          <w:sz w:val="32"/>
          <w:szCs w:val="32"/>
          <w:lang w:val="es-419" w:eastAsia="es-419"/>
        </w:rPr>
        <w:t>Estatuto Tributario y de conformidad con lo previsto en artículo 1.6.1.4.27. del Decreto 1625 de 2016, Único Reglamentario en Materia Tributaria, el porcentaje máximo que podrá soportarse sin factura electrónica de venta para la procedencia de impuestos descontables, de costos y gastos deducibles, sujetos a documentos soporte que se deriven en operaciones de compra de bienes o prestación de servicios, se tendrá en cuenta:</w:t>
      </w:r>
    </w:p>
    <w:p w14:paraId="7D8A1AC0" w14:textId="77777777" w:rsidR="00F75659" w:rsidRPr="005731D7" w:rsidRDefault="00F75659" w:rsidP="00F75659">
      <w:pPr>
        <w:rPr>
          <w:rFonts w:eastAsiaTheme="minorEastAsia" w:cs="Times New Roman"/>
          <w:sz w:val="32"/>
          <w:szCs w:val="32"/>
          <w:lang w:val="es-419" w:eastAsia="es-419"/>
        </w:rPr>
      </w:pPr>
    </w:p>
    <w:p w14:paraId="36313E66" w14:textId="77777777" w:rsidR="00F75659" w:rsidRPr="005731D7" w:rsidRDefault="00F75659" w:rsidP="00F75659">
      <w:pPr>
        <w:numPr>
          <w:ilvl w:val="0"/>
          <w:numId w:val="1"/>
        </w:numPr>
        <w:tabs>
          <w:tab w:val="left" w:pos="1040"/>
        </w:tabs>
        <w:ind w:left="1040" w:hanging="353"/>
        <w:rPr>
          <w:rFonts w:eastAsia="Arial" w:cs="Times New Roman"/>
          <w:sz w:val="32"/>
          <w:szCs w:val="32"/>
          <w:lang w:val="es-419" w:eastAsia="es-419"/>
        </w:rPr>
      </w:pPr>
      <w:r w:rsidRPr="005731D7">
        <w:rPr>
          <w:rFonts w:eastAsia="Arial" w:cs="Times New Roman"/>
          <w:sz w:val="32"/>
          <w:szCs w:val="32"/>
          <w:lang w:val="es-419" w:eastAsia="es-419"/>
        </w:rPr>
        <w:t xml:space="preserve">Los documentos equivalentes vigentes, </w:t>
      </w:r>
      <w:r w:rsidRPr="005731D7">
        <w:rPr>
          <w:rFonts w:eastAsia="Arial" w:cs="Times New Roman"/>
          <w:sz w:val="32"/>
          <w:szCs w:val="32"/>
          <w:highlight w:val="green"/>
          <w:lang w:val="es-419" w:eastAsia="es-419"/>
        </w:rPr>
        <w:t>salvo el generado por máquinas registradoras con sistema POS,</w:t>
      </w:r>
      <w:r w:rsidRPr="005731D7">
        <w:rPr>
          <w:rFonts w:eastAsia="Arial" w:cs="Times New Roman"/>
          <w:sz w:val="32"/>
          <w:szCs w:val="32"/>
          <w:lang w:val="es-419" w:eastAsia="es-419"/>
        </w:rPr>
        <w:t xml:space="preserve"> de conformidad con lo previsto en el artículo 1.6.1.4.26., del Decreto 1625 de 2016 Único Reglamentario en Materia Tributaria y el artículo 13 de esta resolución;</w:t>
      </w:r>
    </w:p>
    <w:p w14:paraId="1A339245" w14:textId="77777777" w:rsidR="00F75659" w:rsidRPr="005731D7" w:rsidRDefault="00F75659" w:rsidP="00F75659">
      <w:pPr>
        <w:rPr>
          <w:rFonts w:eastAsia="Arial" w:cs="Times New Roman"/>
          <w:sz w:val="32"/>
          <w:szCs w:val="32"/>
          <w:lang w:val="es-419" w:eastAsia="es-419"/>
        </w:rPr>
      </w:pPr>
    </w:p>
    <w:p w14:paraId="477F11EB" w14:textId="77777777" w:rsidR="00F75659" w:rsidRPr="005731D7" w:rsidRDefault="00F75659" w:rsidP="00F75659">
      <w:pPr>
        <w:numPr>
          <w:ilvl w:val="0"/>
          <w:numId w:val="1"/>
        </w:numPr>
        <w:tabs>
          <w:tab w:val="left" w:pos="1120"/>
        </w:tabs>
        <w:ind w:left="1120" w:hanging="433"/>
        <w:rPr>
          <w:rFonts w:eastAsia="Arial" w:cs="Times New Roman"/>
          <w:sz w:val="32"/>
          <w:szCs w:val="32"/>
          <w:lang w:val="es-419" w:eastAsia="es-419"/>
        </w:rPr>
      </w:pPr>
      <w:r w:rsidRPr="005731D7">
        <w:rPr>
          <w:rFonts w:eastAsia="Arial" w:cs="Times New Roman"/>
          <w:sz w:val="32"/>
          <w:szCs w:val="32"/>
          <w:lang w:val="es-419" w:eastAsia="es-419"/>
        </w:rPr>
        <w:t>Los documentos que constituyen soporte en adquisiciones efectuadas a no obligados a facturar, de que trata el artículo 1.6.1.4.12., del Decreto 1625 de 2016 Único Reglamentario en Materia Tributaria y el artículo 55 de esta resolución;</w:t>
      </w:r>
    </w:p>
    <w:p w14:paraId="70DF4EB1" w14:textId="77777777" w:rsidR="00F75659" w:rsidRPr="005731D7" w:rsidRDefault="00F75659" w:rsidP="00F75659">
      <w:pPr>
        <w:rPr>
          <w:rFonts w:eastAsia="Arial" w:cs="Times New Roman"/>
          <w:sz w:val="32"/>
          <w:szCs w:val="32"/>
          <w:lang w:val="es-419" w:eastAsia="es-419"/>
        </w:rPr>
      </w:pPr>
    </w:p>
    <w:p w14:paraId="41DAD2D6" w14:textId="77777777" w:rsidR="00F75659" w:rsidRPr="005731D7" w:rsidRDefault="00F75659" w:rsidP="00F75659">
      <w:pPr>
        <w:numPr>
          <w:ilvl w:val="0"/>
          <w:numId w:val="1"/>
        </w:numPr>
        <w:tabs>
          <w:tab w:val="left" w:pos="1120"/>
        </w:tabs>
        <w:ind w:left="1120" w:right="20" w:hanging="433"/>
        <w:rPr>
          <w:rFonts w:eastAsia="Arial" w:cs="Times New Roman"/>
          <w:sz w:val="32"/>
          <w:szCs w:val="32"/>
          <w:lang w:val="es-419" w:eastAsia="es-419"/>
        </w:rPr>
      </w:pPr>
      <w:r w:rsidRPr="005731D7">
        <w:rPr>
          <w:rFonts w:eastAsia="Arial" w:cs="Times New Roman"/>
          <w:sz w:val="32"/>
          <w:szCs w:val="32"/>
          <w:lang w:val="es-419" w:eastAsia="es-419"/>
        </w:rPr>
        <w:t>Las facturas de venta de talonario o de papel, en los casos en que se deba utilizar este sistema;</w:t>
      </w:r>
    </w:p>
    <w:p w14:paraId="02D7435F" w14:textId="77777777" w:rsidR="00F75659" w:rsidRPr="005731D7" w:rsidRDefault="00F75659" w:rsidP="00F75659">
      <w:pPr>
        <w:rPr>
          <w:rFonts w:eastAsia="Arial" w:cs="Times New Roman"/>
          <w:sz w:val="32"/>
          <w:szCs w:val="32"/>
          <w:lang w:val="es-419" w:eastAsia="es-419"/>
        </w:rPr>
      </w:pPr>
    </w:p>
    <w:p w14:paraId="17404F02" w14:textId="77777777" w:rsidR="00F75659" w:rsidRPr="005731D7" w:rsidRDefault="00F75659" w:rsidP="00F75659">
      <w:pPr>
        <w:numPr>
          <w:ilvl w:val="0"/>
          <w:numId w:val="1"/>
        </w:numPr>
        <w:tabs>
          <w:tab w:val="left" w:pos="1120"/>
        </w:tabs>
        <w:ind w:left="1120" w:hanging="433"/>
        <w:rPr>
          <w:rFonts w:eastAsia="Arial Narrow" w:cs="Times New Roman"/>
          <w:b/>
          <w:bCs/>
          <w:sz w:val="32"/>
          <w:szCs w:val="32"/>
          <w:lang w:val="es-419" w:eastAsia="es-419"/>
        </w:rPr>
      </w:pPr>
      <w:r w:rsidRPr="005731D7">
        <w:rPr>
          <w:rFonts w:eastAsia="Arial" w:cs="Times New Roman"/>
          <w:sz w:val="32"/>
          <w:szCs w:val="32"/>
          <w:lang w:val="es-419" w:eastAsia="es-419"/>
        </w:rPr>
        <w:t xml:space="preserve">Las importaciones y demás soportes regulados en las disposiciones vigentes, respecto de la adquisición de bienes y </w:t>
      </w:r>
      <w:r w:rsidRPr="005731D7">
        <w:rPr>
          <w:rFonts w:eastAsia="Arial" w:cs="Times New Roman"/>
          <w:sz w:val="32"/>
          <w:szCs w:val="32"/>
          <w:lang w:val="es-419" w:eastAsia="es-419"/>
        </w:rPr>
        <w:lastRenderedPageBreak/>
        <w:t>servicios que se realicen fuera del territorio aduanero nacional y de zona franca;</w:t>
      </w:r>
    </w:p>
    <w:p w14:paraId="1923BBC0" w14:textId="77777777" w:rsidR="00F75659" w:rsidRPr="005731D7" w:rsidRDefault="00F75659" w:rsidP="00F75659">
      <w:pPr>
        <w:rPr>
          <w:rFonts w:eastAsia="Arial Narrow" w:cs="Times New Roman"/>
          <w:b/>
          <w:bCs/>
          <w:sz w:val="32"/>
          <w:szCs w:val="32"/>
          <w:lang w:val="es-419" w:eastAsia="es-419"/>
        </w:rPr>
      </w:pPr>
    </w:p>
    <w:p w14:paraId="0AE66BD3" w14:textId="77777777" w:rsidR="00F75659" w:rsidRPr="005731D7" w:rsidRDefault="00F75659" w:rsidP="00F75659">
      <w:pPr>
        <w:numPr>
          <w:ilvl w:val="0"/>
          <w:numId w:val="1"/>
        </w:numPr>
        <w:tabs>
          <w:tab w:val="left" w:pos="1120"/>
        </w:tabs>
        <w:ind w:left="1120" w:hanging="433"/>
        <w:rPr>
          <w:rFonts w:eastAsia="Arial Narrow" w:cs="Times New Roman"/>
          <w:b/>
          <w:bCs/>
          <w:sz w:val="32"/>
          <w:szCs w:val="32"/>
          <w:highlight w:val="green"/>
          <w:lang w:val="es-419" w:eastAsia="es-419"/>
        </w:rPr>
      </w:pPr>
      <w:r w:rsidRPr="005731D7">
        <w:rPr>
          <w:rFonts w:eastAsia="Arial" w:cs="Times New Roman"/>
          <w:sz w:val="32"/>
          <w:szCs w:val="32"/>
          <w:highlight w:val="green"/>
          <w:lang w:val="es-419" w:eastAsia="es-419"/>
        </w:rPr>
        <w:t xml:space="preserve">Los demás </w:t>
      </w:r>
      <w:proofErr w:type="gramStart"/>
      <w:r w:rsidRPr="005731D7">
        <w:rPr>
          <w:rFonts w:eastAsia="Arial" w:cs="Times New Roman"/>
          <w:sz w:val="32"/>
          <w:szCs w:val="32"/>
          <w:highlight w:val="green"/>
          <w:lang w:val="es-419" w:eastAsia="es-419"/>
        </w:rPr>
        <w:t>documentos soportes</w:t>
      </w:r>
      <w:proofErr w:type="gramEnd"/>
      <w:r w:rsidRPr="005731D7">
        <w:rPr>
          <w:rFonts w:eastAsia="Arial" w:cs="Times New Roman"/>
          <w:sz w:val="32"/>
          <w:szCs w:val="32"/>
          <w:highlight w:val="green"/>
          <w:lang w:val="es-419" w:eastAsia="es-419"/>
        </w:rPr>
        <w:t xml:space="preserve"> de costos, deducciones e impuestos descontables en la adquisición de bienes y servicios, de los cuales no se exija la factura de venta y/o el documento equivalente.</w:t>
      </w:r>
    </w:p>
    <w:p w14:paraId="2185A182" w14:textId="7FF6DCCE" w:rsidR="007F5CC8" w:rsidRPr="005731D7" w:rsidRDefault="007F5CC8" w:rsidP="00F75659">
      <w:pPr>
        <w:rPr>
          <w:sz w:val="32"/>
          <w:szCs w:val="32"/>
          <w:lang w:val="es-419"/>
        </w:rPr>
      </w:pPr>
    </w:p>
    <w:p w14:paraId="2084E78E" w14:textId="77777777" w:rsidR="00F75659" w:rsidRPr="005731D7" w:rsidRDefault="00F75659" w:rsidP="00F75659">
      <w:pPr>
        <w:rPr>
          <w:rFonts w:eastAsiaTheme="minorEastAsia" w:cs="Times New Roman"/>
          <w:sz w:val="32"/>
          <w:szCs w:val="32"/>
          <w:u w:val="single"/>
          <w:lang w:val="es-419" w:eastAsia="es-419"/>
        </w:rPr>
      </w:pPr>
      <w:r w:rsidRPr="005731D7">
        <w:rPr>
          <w:rFonts w:eastAsia="Arial" w:cs="Times New Roman"/>
          <w:b/>
          <w:bCs/>
          <w:sz w:val="32"/>
          <w:szCs w:val="32"/>
          <w:lang w:val="es-419" w:eastAsia="es-419"/>
        </w:rPr>
        <w:t xml:space="preserve">Parágrafo. </w:t>
      </w:r>
      <w:r w:rsidRPr="005731D7">
        <w:rPr>
          <w:rFonts w:eastAsia="Arial" w:cs="Times New Roman"/>
          <w:sz w:val="32"/>
          <w:szCs w:val="32"/>
          <w:lang w:val="es-419" w:eastAsia="es-419"/>
        </w:rPr>
        <w:t>Los documentos enunciados en los numerales 1 al 5 de este artículo,</w:t>
      </w:r>
      <w:r w:rsidRPr="005731D7">
        <w:rPr>
          <w:rFonts w:eastAsia="Arial" w:cs="Times New Roman"/>
          <w:b/>
          <w:bCs/>
          <w:sz w:val="32"/>
          <w:szCs w:val="32"/>
          <w:lang w:val="es-419" w:eastAsia="es-419"/>
        </w:rPr>
        <w:t xml:space="preserve"> </w:t>
      </w:r>
      <w:r w:rsidRPr="005731D7">
        <w:rPr>
          <w:rFonts w:eastAsia="Arial" w:cs="Times New Roman"/>
          <w:sz w:val="32"/>
          <w:szCs w:val="32"/>
          <w:lang w:val="es-419" w:eastAsia="es-419"/>
        </w:rPr>
        <w:t xml:space="preserve">serán soporte de costos y gastos en el impuesto sobre la renta y complementarios y descontables en el impuesto sobre las ventas -IVA, </w:t>
      </w:r>
      <w:r w:rsidRPr="005731D7">
        <w:rPr>
          <w:rFonts w:eastAsia="Arial" w:cs="Times New Roman"/>
          <w:sz w:val="32"/>
          <w:szCs w:val="32"/>
          <w:u w:val="single"/>
          <w:lang w:val="es-419" w:eastAsia="es-419"/>
        </w:rPr>
        <w:t>hasta tanto la Unidad Administrativa Especial Dirección de Impuestos y Aduanas Nacionales -DIAN, los implemente en el sistema de facturación de que trata el parágrafo 6 del artículo 616-1 del Estatuto Tributario y artículo 90 de esta resolución.</w:t>
      </w:r>
    </w:p>
    <w:p w14:paraId="25B400E3" w14:textId="77777777" w:rsidR="00F75659" w:rsidRPr="005731D7" w:rsidRDefault="00F75659" w:rsidP="00F75659">
      <w:pPr>
        <w:rPr>
          <w:rFonts w:eastAsiaTheme="minorEastAsia" w:cs="Times New Roman"/>
          <w:sz w:val="32"/>
          <w:szCs w:val="32"/>
          <w:lang w:val="es-419" w:eastAsia="es-419"/>
        </w:rPr>
      </w:pPr>
    </w:p>
    <w:p w14:paraId="3C81BF93" w14:textId="6D56144B" w:rsidR="00F75659" w:rsidRPr="005731D7" w:rsidRDefault="00F75659" w:rsidP="00F75659">
      <w:pPr>
        <w:rPr>
          <w:sz w:val="32"/>
          <w:szCs w:val="32"/>
          <w:lang w:val="es-419"/>
        </w:rPr>
      </w:pPr>
    </w:p>
    <w:p w14:paraId="1A556281" w14:textId="0012CB40" w:rsidR="00F75659" w:rsidRPr="005731D7" w:rsidRDefault="00F75659" w:rsidP="00F75659">
      <w:pPr>
        <w:rPr>
          <w:sz w:val="32"/>
          <w:szCs w:val="32"/>
          <w:lang w:val="es-419"/>
        </w:rPr>
      </w:pPr>
      <w:r w:rsidRPr="005731D7">
        <w:rPr>
          <w:sz w:val="32"/>
          <w:szCs w:val="32"/>
          <w:lang w:val="es-419"/>
        </w:rPr>
        <w:t>(….)</w:t>
      </w:r>
    </w:p>
    <w:p w14:paraId="7C5A957A" w14:textId="77777777" w:rsidR="00F75659" w:rsidRPr="005731D7" w:rsidRDefault="00F75659" w:rsidP="00F75659">
      <w:pPr>
        <w:rPr>
          <w:sz w:val="32"/>
          <w:szCs w:val="32"/>
          <w:lang w:val="es-419"/>
        </w:rPr>
      </w:pPr>
    </w:p>
    <w:p w14:paraId="7906FED8" w14:textId="77777777" w:rsidR="00F75659" w:rsidRPr="005731D7" w:rsidRDefault="00F75659" w:rsidP="00F75659">
      <w:pPr>
        <w:rPr>
          <w:rFonts w:eastAsiaTheme="minorEastAsia" w:cs="Times New Roman"/>
          <w:sz w:val="32"/>
          <w:szCs w:val="32"/>
          <w:lang w:val="es-419" w:eastAsia="es-419"/>
        </w:rPr>
      </w:pPr>
      <w:bookmarkStart w:id="0" w:name="_Hlk41659868"/>
      <w:r w:rsidRPr="005731D7">
        <w:rPr>
          <w:rFonts w:eastAsia="Arial" w:cs="Times New Roman"/>
          <w:b/>
          <w:bCs/>
          <w:sz w:val="32"/>
          <w:szCs w:val="32"/>
          <w:lang w:val="es-419" w:eastAsia="es-419"/>
        </w:rPr>
        <w:t xml:space="preserve">Artículo 83. Porcentaje máximo que podrá soportarse sin factura electrónica de venta para el año 2020. </w:t>
      </w:r>
      <w:r w:rsidRPr="005731D7">
        <w:rPr>
          <w:rFonts w:eastAsia="Arial" w:cs="Times New Roman"/>
          <w:sz w:val="32"/>
          <w:szCs w:val="32"/>
          <w:lang w:val="es-419" w:eastAsia="es-419"/>
        </w:rPr>
        <w:t>Para efecto de lo establecido en el artículo 1.6.4.27. del</w:t>
      </w:r>
      <w:r w:rsidRPr="005731D7">
        <w:rPr>
          <w:rFonts w:eastAsia="Arial" w:cs="Times New Roman"/>
          <w:b/>
          <w:bCs/>
          <w:sz w:val="32"/>
          <w:szCs w:val="32"/>
          <w:lang w:val="es-419" w:eastAsia="es-419"/>
        </w:rPr>
        <w:t xml:space="preserve"> </w:t>
      </w:r>
      <w:r w:rsidRPr="005731D7">
        <w:rPr>
          <w:rFonts w:eastAsia="Arial" w:cs="Times New Roman"/>
          <w:sz w:val="32"/>
          <w:szCs w:val="32"/>
          <w:lang w:val="es-419" w:eastAsia="es-419"/>
        </w:rPr>
        <w:t xml:space="preserve">Decreto 1625 de 2016 Único Reglamentario en Materia Tributaria, respecto del porcentaje máximo que podrá soportarse sin factura electrónica de venta correspondiente al treinta por ciento (30%) para el año 2020, en atención a los calendarios de implementación de la factura electrónica de venta de qué trata el TÍTULO VI y conforme a la facultad otorgada a la Unidad Administrativa Especial Dirección de Impuestos y Aduanas Nacionales -DIAN, en el parágrafo transitorio 2 del artículo 616-1 del Estatuto Tributario, </w:t>
      </w:r>
      <w:r w:rsidRPr="005731D7">
        <w:rPr>
          <w:rFonts w:eastAsia="Arial" w:cs="Times New Roman"/>
          <w:sz w:val="32"/>
          <w:szCs w:val="32"/>
          <w:highlight w:val="green"/>
          <w:lang w:val="es-419" w:eastAsia="es-419"/>
        </w:rPr>
        <w:t xml:space="preserve">el citado porcentaje aplicará en el periodo comprendido entre el 2 de Noviembre y el 31 de diciembre del </w:t>
      </w:r>
      <w:r w:rsidRPr="005731D7">
        <w:rPr>
          <w:rFonts w:eastAsia="Arial" w:cs="Times New Roman"/>
          <w:sz w:val="32"/>
          <w:szCs w:val="32"/>
          <w:highlight w:val="green"/>
          <w:lang w:val="es-419" w:eastAsia="es-419"/>
        </w:rPr>
        <w:lastRenderedPageBreak/>
        <w:t>año 2020. Lo anterior en concordancia con lo dispuesto en el artículo 80 de esta resolución.</w:t>
      </w:r>
    </w:p>
    <w:bookmarkEnd w:id="0"/>
    <w:p w14:paraId="0FC30211" w14:textId="1C6BA280" w:rsidR="00F75659" w:rsidRPr="005731D7" w:rsidRDefault="00F75659" w:rsidP="00F75659">
      <w:pPr>
        <w:rPr>
          <w:sz w:val="32"/>
          <w:szCs w:val="32"/>
          <w:lang w:val="es-419"/>
        </w:rPr>
      </w:pPr>
    </w:p>
    <w:p w14:paraId="6845D00E" w14:textId="037371D7" w:rsidR="00F75659" w:rsidRPr="005731D7" w:rsidRDefault="00F75659" w:rsidP="00F75659">
      <w:pPr>
        <w:rPr>
          <w:sz w:val="32"/>
          <w:szCs w:val="32"/>
          <w:lang w:val="es-419"/>
        </w:rPr>
      </w:pPr>
      <w:r w:rsidRPr="005731D7">
        <w:rPr>
          <w:sz w:val="32"/>
          <w:szCs w:val="32"/>
          <w:lang w:val="es-419"/>
        </w:rPr>
        <w:t>_____________________________________________________________________________</w:t>
      </w:r>
    </w:p>
    <w:sectPr w:rsidR="00F75659" w:rsidRPr="005731D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6D648"/>
    <w:multiLevelType w:val="hybridMultilevel"/>
    <w:tmpl w:val="F18E7226"/>
    <w:lvl w:ilvl="0" w:tplc="963E3F76">
      <w:start w:val="1"/>
      <w:numFmt w:val="decimal"/>
      <w:lvlText w:val="%1."/>
      <w:lvlJc w:val="left"/>
    </w:lvl>
    <w:lvl w:ilvl="1" w:tplc="0AF6EAD4">
      <w:numFmt w:val="decimal"/>
      <w:lvlText w:val=""/>
      <w:lvlJc w:val="left"/>
    </w:lvl>
    <w:lvl w:ilvl="2" w:tplc="8390CDFE">
      <w:numFmt w:val="decimal"/>
      <w:lvlText w:val=""/>
      <w:lvlJc w:val="left"/>
    </w:lvl>
    <w:lvl w:ilvl="3" w:tplc="0D68CFA4">
      <w:numFmt w:val="decimal"/>
      <w:lvlText w:val=""/>
      <w:lvlJc w:val="left"/>
    </w:lvl>
    <w:lvl w:ilvl="4" w:tplc="618CBE18">
      <w:numFmt w:val="decimal"/>
      <w:lvlText w:val=""/>
      <w:lvlJc w:val="left"/>
    </w:lvl>
    <w:lvl w:ilvl="5" w:tplc="16C6E754">
      <w:numFmt w:val="decimal"/>
      <w:lvlText w:val=""/>
      <w:lvlJc w:val="left"/>
    </w:lvl>
    <w:lvl w:ilvl="6" w:tplc="3BA8107E">
      <w:numFmt w:val="decimal"/>
      <w:lvlText w:val=""/>
      <w:lvlJc w:val="left"/>
    </w:lvl>
    <w:lvl w:ilvl="7" w:tplc="37844024">
      <w:numFmt w:val="decimal"/>
      <w:lvlText w:val=""/>
      <w:lvlJc w:val="left"/>
    </w:lvl>
    <w:lvl w:ilvl="8" w:tplc="1BCE369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59"/>
    <w:rsid w:val="000F3837"/>
    <w:rsid w:val="001E311E"/>
    <w:rsid w:val="00434AE6"/>
    <w:rsid w:val="005731D7"/>
    <w:rsid w:val="007F5CC8"/>
    <w:rsid w:val="008779BE"/>
    <w:rsid w:val="00EB5ADB"/>
    <w:rsid w:val="00F7565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BA6A"/>
  <w15:chartTrackingRefBased/>
  <w15:docId w15:val="{8C01EEB9-47A3-4C8C-884C-6C97996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59"/>
    <w:pPr>
      <w:spacing w:after="0" w:line="36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469</Words>
  <Characters>2580</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2020-12-22T19:00:00Z</dcterms:created>
  <dcterms:modified xsi:type="dcterms:W3CDTF">2021-01-18T22:46:00Z</dcterms:modified>
</cp:coreProperties>
</file>