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BEC07" w14:textId="77777777" w:rsidR="009A1DF6" w:rsidRPr="00BE192D" w:rsidRDefault="009A1DF6" w:rsidP="004F1352">
      <w:pPr>
        <w:spacing w:after="0" w:line="360" w:lineRule="auto"/>
        <w:jc w:val="center"/>
        <w:rPr>
          <w:rFonts w:eastAsia="Times New Roman" w:cs="Times New Roman"/>
          <w:color w:val="000000"/>
          <w:szCs w:val="24"/>
          <w:lang w:eastAsia="es-CO"/>
        </w:rPr>
      </w:pPr>
      <w:r w:rsidRPr="00BE192D">
        <w:rPr>
          <w:rFonts w:eastAsia="Times New Roman" w:cs="Times New Roman"/>
          <w:b/>
          <w:bCs/>
          <w:color w:val="0000FF"/>
          <w:szCs w:val="24"/>
          <w:lang w:eastAsia="es-CO"/>
        </w:rPr>
        <w:t xml:space="preserve">OFICIO </w:t>
      </w:r>
      <w:proofErr w:type="spellStart"/>
      <w:r w:rsidRPr="00BE192D">
        <w:rPr>
          <w:rFonts w:eastAsia="Times New Roman" w:cs="Times New Roman"/>
          <w:b/>
          <w:bCs/>
          <w:color w:val="0000FF"/>
          <w:szCs w:val="24"/>
          <w:lang w:eastAsia="es-CO"/>
        </w:rPr>
        <w:t>Nº</w:t>
      </w:r>
      <w:proofErr w:type="spellEnd"/>
      <w:r w:rsidRPr="00BE192D">
        <w:rPr>
          <w:rFonts w:eastAsia="Times New Roman" w:cs="Times New Roman"/>
          <w:b/>
          <w:bCs/>
          <w:color w:val="0000FF"/>
          <w:szCs w:val="24"/>
          <w:lang w:eastAsia="es-CO"/>
        </w:rPr>
        <w:t xml:space="preserve"> 1348 [906395]</w:t>
      </w:r>
    </w:p>
    <w:p w14:paraId="149A7953" w14:textId="77777777" w:rsidR="009A1DF6" w:rsidRPr="00BE192D" w:rsidRDefault="009A1DF6" w:rsidP="004F1352">
      <w:pPr>
        <w:spacing w:after="0" w:line="360" w:lineRule="auto"/>
        <w:jc w:val="center"/>
        <w:rPr>
          <w:rFonts w:eastAsia="Times New Roman" w:cs="Times New Roman"/>
          <w:color w:val="000000"/>
          <w:szCs w:val="24"/>
          <w:lang w:eastAsia="es-CO"/>
        </w:rPr>
      </w:pPr>
      <w:r w:rsidRPr="00BE192D">
        <w:rPr>
          <w:rFonts w:eastAsia="Times New Roman" w:cs="Times New Roman"/>
          <w:b/>
          <w:bCs/>
          <w:color w:val="0000FF"/>
          <w:szCs w:val="24"/>
          <w:lang w:eastAsia="es-CO"/>
        </w:rPr>
        <w:t>23-10-2020</w:t>
      </w:r>
    </w:p>
    <w:p w14:paraId="052D2226" w14:textId="77777777" w:rsidR="009A1DF6" w:rsidRPr="00BE192D" w:rsidRDefault="009A1DF6" w:rsidP="004F1352">
      <w:pPr>
        <w:spacing w:after="0" w:line="360" w:lineRule="auto"/>
        <w:jc w:val="center"/>
        <w:rPr>
          <w:rFonts w:eastAsia="Times New Roman" w:cs="Times New Roman"/>
          <w:color w:val="000000"/>
          <w:szCs w:val="24"/>
          <w:lang w:eastAsia="es-CO"/>
        </w:rPr>
      </w:pPr>
      <w:r w:rsidRPr="00BE192D">
        <w:rPr>
          <w:rFonts w:eastAsia="Times New Roman" w:cs="Times New Roman"/>
          <w:b/>
          <w:bCs/>
          <w:color w:val="0000FF"/>
          <w:szCs w:val="24"/>
          <w:lang w:eastAsia="es-CO"/>
        </w:rPr>
        <w:t>DIAN</w:t>
      </w:r>
    </w:p>
    <w:p w14:paraId="2F83B9BD"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6B794865"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26DB487F"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Subdirección de Gestión Normativa y Doctrina</w:t>
      </w:r>
    </w:p>
    <w:p w14:paraId="45790914"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100208221-1348</w:t>
      </w:r>
    </w:p>
    <w:p w14:paraId="4F5E0F0B"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Bogotá, D.C.</w:t>
      </w:r>
    </w:p>
    <w:p w14:paraId="6673FD7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989"/>
      </w:tblGrid>
      <w:tr w:rsidR="009A1DF6" w:rsidRPr="00BE192D" w14:paraId="693609E9" w14:textId="77777777" w:rsidTr="009A1DF6">
        <w:tc>
          <w:tcPr>
            <w:tcW w:w="0" w:type="auto"/>
            <w:tcBorders>
              <w:top w:val="nil"/>
              <w:left w:val="nil"/>
              <w:bottom w:val="nil"/>
              <w:right w:val="nil"/>
            </w:tcBorders>
            <w:shd w:val="clear" w:color="auto" w:fill="auto"/>
            <w:tcMar>
              <w:top w:w="0" w:type="dxa"/>
              <w:left w:w="108" w:type="dxa"/>
              <w:bottom w:w="0" w:type="dxa"/>
              <w:right w:w="108" w:type="dxa"/>
            </w:tcMar>
            <w:hideMark/>
          </w:tcPr>
          <w:p w14:paraId="0ACFFB0E"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DEF15F"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DEA692"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A91FCE"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Factura electrónica de venta</w:t>
            </w:r>
          </w:p>
        </w:tc>
      </w:tr>
      <w:tr w:rsidR="009A1DF6" w:rsidRPr="00BE192D" w14:paraId="28457FE9" w14:textId="77777777" w:rsidTr="009A1DF6">
        <w:tc>
          <w:tcPr>
            <w:tcW w:w="0" w:type="auto"/>
            <w:tcBorders>
              <w:top w:val="nil"/>
              <w:left w:val="nil"/>
              <w:bottom w:val="nil"/>
              <w:right w:val="nil"/>
            </w:tcBorders>
            <w:shd w:val="clear" w:color="auto" w:fill="auto"/>
            <w:tcMar>
              <w:top w:w="0" w:type="dxa"/>
              <w:left w:w="108" w:type="dxa"/>
              <w:bottom w:w="0" w:type="dxa"/>
              <w:right w:w="108" w:type="dxa"/>
            </w:tcMar>
            <w:hideMark/>
          </w:tcPr>
          <w:p w14:paraId="59271505"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B5E57CD"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5B3E64"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758A40"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Obligación de facturar</w:t>
            </w:r>
          </w:p>
        </w:tc>
      </w:tr>
      <w:tr w:rsidR="009A1DF6" w:rsidRPr="00BE192D" w14:paraId="3925B4BD" w14:textId="77777777" w:rsidTr="009A1DF6">
        <w:tc>
          <w:tcPr>
            <w:tcW w:w="0" w:type="auto"/>
            <w:tcBorders>
              <w:top w:val="nil"/>
              <w:left w:val="nil"/>
              <w:bottom w:val="nil"/>
              <w:right w:val="nil"/>
            </w:tcBorders>
            <w:shd w:val="clear" w:color="auto" w:fill="auto"/>
            <w:tcMar>
              <w:top w:w="0" w:type="dxa"/>
              <w:left w:w="108" w:type="dxa"/>
              <w:bottom w:w="0" w:type="dxa"/>
              <w:right w:w="108" w:type="dxa"/>
            </w:tcMar>
            <w:hideMark/>
          </w:tcPr>
          <w:p w14:paraId="0D48CC23"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CC20EC"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17DF23"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D84702" w14:textId="77777777" w:rsidR="009A1DF6" w:rsidRPr="00BE192D" w:rsidRDefault="004F1352" w:rsidP="004F1352">
            <w:pPr>
              <w:spacing w:after="0" w:line="360" w:lineRule="auto"/>
              <w:jc w:val="both"/>
              <w:rPr>
                <w:rFonts w:eastAsia="Times New Roman" w:cs="Times New Roman"/>
                <w:szCs w:val="24"/>
                <w:lang w:eastAsia="es-CO"/>
              </w:rPr>
            </w:pPr>
            <w:hyperlink r:id="rId4" w:tooltip="Estatuto Tributario CETA" w:history="1">
              <w:r w:rsidR="009A1DF6" w:rsidRPr="00BE192D">
                <w:rPr>
                  <w:rFonts w:eastAsia="Times New Roman" w:cs="Times New Roman"/>
                  <w:color w:val="0089E1"/>
                  <w:szCs w:val="24"/>
                  <w:lang w:eastAsia="es-CO"/>
                </w:rPr>
                <w:t>Artículo 616-1</w:t>
              </w:r>
            </w:hyperlink>
            <w:r w:rsidR="009A1DF6" w:rsidRPr="00BE192D">
              <w:rPr>
                <w:rFonts w:eastAsia="Times New Roman" w:cs="Times New Roman"/>
                <w:szCs w:val="24"/>
                <w:lang w:eastAsia="es-CO"/>
              </w:rPr>
              <w:t> del Estatuto Tributario</w:t>
            </w:r>
          </w:p>
          <w:p w14:paraId="28291D53"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Artículos 1.6.1.4.12. y 1.6.1.4.27. del Decreto 1625 de 2016</w:t>
            </w:r>
          </w:p>
          <w:p w14:paraId="4C56CDE5" w14:textId="77777777" w:rsidR="009A1DF6" w:rsidRPr="00BE192D" w:rsidRDefault="009A1DF6" w:rsidP="004F1352">
            <w:pPr>
              <w:spacing w:after="0" w:line="360" w:lineRule="auto"/>
              <w:jc w:val="both"/>
              <w:rPr>
                <w:rFonts w:eastAsia="Times New Roman" w:cs="Times New Roman"/>
                <w:szCs w:val="24"/>
                <w:lang w:eastAsia="es-CO"/>
              </w:rPr>
            </w:pPr>
            <w:r w:rsidRPr="00BE192D">
              <w:rPr>
                <w:rFonts w:eastAsia="Times New Roman" w:cs="Times New Roman"/>
                <w:szCs w:val="24"/>
                <w:lang w:eastAsia="es-CO"/>
              </w:rPr>
              <w:t>Artículos 7, 55, 80 y 90 de la Resolución 000042 de 2020</w:t>
            </w:r>
          </w:p>
        </w:tc>
      </w:tr>
    </w:tbl>
    <w:p w14:paraId="76939BBC"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17CA7CC7"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4E218CF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Cordial saludo,</w:t>
      </w:r>
    </w:p>
    <w:p w14:paraId="782A0C83"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002EF88D"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501EF8C"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564F9BC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Mediante el radicado de la referencia, la peticionaria solicita concepto de interpretación y aplicación del parágrafo transitorio 1º del </w:t>
      </w:r>
      <w:hyperlink r:id="rId5" w:tooltip="Estatuto Tributario CETA" w:history="1">
        <w:r w:rsidRPr="00BE192D">
          <w:rPr>
            <w:rFonts w:eastAsia="Times New Roman" w:cs="Times New Roman"/>
            <w:color w:val="0089E1"/>
            <w:szCs w:val="24"/>
            <w:lang w:eastAsia="es-CO"/>
          </w:rPr>
          <w:t>artículo 616-1</w:t>
        </w:r>
      </w:hyperlink>
      <w:r w:rsidRPr="00BE192D">
        <w:rPr>
          <w:rFonts w:eastAsia="Times New Roman" w:cs="Times New Roman"/>
          <w:szCs w:val="24"/>
          <w:lang w:eastAsia="es-CO"/>
        </w:rPr>
        <w:t> del Estatuto Tributario, y realiza las siguientes preguntas:</w:t>
      </w:r>
    </w:p>
    <w:p w14:paraId="471852A6"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0B2781F9"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a) “De la lectura del artículo 80 de la Resolución 000042 de 2020 en concordancia con el artículo 1.6.1.4.27 del Decreto 358 de 2020 se podría concluir que, si bien es cierto, está autorizada la emisión de estos documentos, sin que aún sean electrónicos y sirven como soporte de costos y gastos; ¿mientras no sean electrónicos, se encuentran dentro de esta limitación (30%) en el período comprendido entre el 2 de noviembre y 31 de diciembre de 2020, así como en los períodos siguientes en que la DIAN no ha implementado el sistema de documentos soportes electrónicos?“</w:t>
      </w:r>
    </w:p>
    <w:p w14:paraId="05B1F4DE"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170BA01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De acuerdo con el parágrafo transitorio 1º del </w:t>
      </w:r>
      <w:hyperlink r:id="rId6" w:tooltip="Estatuto Tributario CETA" w:history="1">
        <w:r w:rsidRPr="00BE192D">
          <w:rPr>
            <w:rFonts w:eastAsia="Times New Roman" w:cs="Times New Roman"/>
            <w:color w:val="0089E1"/>
            <w:szCs w:val="24"/>
            <w:lang w:eastAsia="es-CO"/>
          </w:rPr>
          <w:t>artículo 616-1</w:t>
        </w:r>
      </w:hyperlink>
      <w:r w:rsidRPr="00BE192D">
        <w:rPr>
          <w:rFonts w:eastAsia="Times New Roman" w:cs="Times New Roman"/>
          <w:szCs w:val="24"/>
          <w:lang w:eastAsia="es-CO"/>
        </w:rPr>
        <w:t> del Estatuto Tributario, el porcentaje máximo de costos y gastos que podrá soportarse sin factura electrónica será del 30% en el año 2020, del 20% en el 2021 y del 10% para el 2022.</w:t>
      </w:r>
    </w:p>
    <w:p w14:paraId="3409A272"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lastRenderedPageBreak/>
        <w:t> </w:t>
      </w:r>
    </w:p>
    <w:p w14:paraId="70A9AE34"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El artículo 80 de la Resolución 000042 de 2020, de conformidad con el artículo 1.6.1.4.27 del Decreto 1625 de 2016, estableció que:</w:t>
      </w:r>
    </w:p>
    <w:p w14:paraId="388CE2F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color w:val="000000"/>
          <w:szCs w:val="24"/>
          <w:lang w:eastAsia="es-CO"/>
        </w:rPr>
        <w:t> </w:t>
      </w:r>
    </w:p>
    <w:p w14:paraId="0FEC3B75"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color w:val="000000"/>
          <w:szCs w:val="24"/>
          <w:lang w:eastAsia="es-CO"/>
        </w:rPr>
        <w:t>ARTÍCULO 80. PORCENTAJE MÁXIMO QUE PODRÁ SOPORTARSE SIN FACTURA ELECTRÓNICA DE VENTA. </w:t>
      </w:r>
      <w:r w:rsidRPr="00BE192D">
        <w:rPr>
          <w:rFonts w:eastAsia="Times New Roman" w:cs="Times New Roman"/>
          <w:i/>
          <w:iCs/>
          <w:color w:val="000000"/>
          <w:szCs w:val="24"/>
          <w:lang w:eastAsia="es-CO"/>
        </w:rPr>
        <w:t>Para efecto de lo indicado en el parágrafo transitorio 1 del </w:t>
      </w:r>
      <w:hyperlink r:id="rId7" w:tooltip="Estatuto Tributario CETA" w:history="1">
        <w:r w:rsidRPr="00BE192D">
          <w:rPr>
            <w:rFonts w:eastAsia="Times New Roman" w:cs="Times New Roman"/>
            <w:i/>
            <w:iCs/>
            <w:color w:val="0089E1"/>
            <w:szCs w:val="24"/>
            <w:lang w:eastAsia="es-CO"/>
          </w:rPr>
          <w:t>artículo 616-1</w:t>
        </w:r>
      </w:hyperlink>
      <w:r w:rsidRPr="00BE192D">
        <w:rPr>
          <w:rFonts w:eastAsia="Times New Roman" w:cs="Times New Roman"/>
          <w:i/>
          <w:iCs/>
          <w:color w:val="000000"/>
          <w:szCs w:val="24"/>
          <w:lang w:eastAsia="es-CO"/>
        </w:rPr>
        <w:t> del 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74B1B88A"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 </w:t>
      </w:r>
    </w:p>
    <w:p w14:paraId="61017972"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1. Los documentos equivalentes vigentes, salvo el generado por máquinas registradoras con sistema POS, de conformidad con lo previsto en el artículo 1.6.1.4.26. del Decreto 1625 de 2016 Único Reglamentario en Materia Tributaria y el artículo 13 de esta resolución;</w:t>
      </w:r>
    </w:p>
    <w:p w14:paraId="2E308BBD" w14:textId="77777777" w:rsidR="005C3E95" w:rsidRPr="00BE192D" w:rsidRDefault="005C3E95" w:rsidP="004F1352">
      <w:pPr>
        <w:spacing w:after="0" w:line="360" w:lineRule="auto"/>
        <w:ind w:left="284"/>
        <w:jc w:val="both"/>
        <w:rPr>
          <w:rFonts w:eastAsia="Times New Roman" w:cs="Times New Roman"/>
          <w:i/>
          <w:iCs/>
          <w:szCs w:val="24"/>
          <w:lang w:eastAsia="es-CO"/>
        </w:rPr>
      </w:pPr>
    </w:p>
    <w:p w14:paraId="109CF93C" w14:textId="095F75A2"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2. Los documentos que constituyen soporte en adquisiciones efectuadas a no obligados a facturar, de que trata el artículo 1.6.1.4.12. del Decreto 1625 de 2016 Único Reglamentario en Materia Tributaria y el artículo 55 de esta resolución;</w:t>
      </w:r>
    </w:p>
    <w:p w14:paraId="62DAFBE1" w14:textId="77777777" w:rsidR="005C3E95" w:rsidRPr="00BE192D" w:rsidRDefault="005C3E95" w:rsidP="004F1352">
      <w:pPr>
        <w:spacing w:after="0" w:line="360" w:lineRule="auto"/>
        <w:ind w:left="284"/>
        <w:jc w:val="both"/>
        <w:rPr>
          <w:rFonts w:eastAsia="Times New Roman" w:cs="Times New Roman"/>
          <w:i/>
          <w:iCs/>
          <w:szCs w:val="24"/>
          <w:lang w:eastAsia="es-CO"/>
        </w:rPr>
      </w:pPr>
    </w:p>
    <w:p w14:paraId="71123F12" w14:textId="176D9ADE"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3. Las facturas de venta de talonario o de papel, en los casos en que se deba utilizar este sistema;</w:t>
      </w:r>
    </w:p>
    <w:p w14:paraId="77A00815" w14:textId="77777777" w:rsidR="005C3E95" w:rsidRPr="00BE192D" w:rsidRDefault="005C3E95" w:rsidP="004F1352">
      <w:pPr>
        <w:spacing w:after="0" w:line="360" w:lineRule="auto"/>
        <w:ind w:left="284"/>
        <w:jc w:val="both"/>
        <w:rPr>
          <w:rFonts w:eastAsia="Times New Roman" w:cs="Times New Roman"/>
          <w:i/>
          <w:iCs/>
          <w:szCs w:val="24"/>
          <w:lang w:eastAsia="es-CO"/>
        </w:rPr>
      </w:pPr>
    </w:p>
    <w:p w14:paraId="640A924B" w14:textId="05FDE0A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4. Las importaciones y demás soportes regulados en las disposiciones vigentes, respecto de la adquisición de bienes y servicios que se realicen fuera del territorio aduanero nacional y de zona franca;</w:t>
      </w:r>
    </w:p>
    <w:p w14:paraId="6027B559" w14:textId="77777777" w:rsidR="005C3E95" w:rsidRPr="00BE192D" w:rsidRDefault="005C3E95" w:rsidP="004F1352">
      <w:pPr>
        <w:spacing w:after="0" w:line="360" w:lineRule="auto"/>
        <w:ind w:left="284"/>
        <w:jc w:val="both"/>
        <w:rPr>
          <w:rFonts w:eastAsia="Times New Roman" w:cs="Times New Roman"/>
          <w:i/>
          <w:iCs/>
          <w:szCs w:val="24"/>
          <w:lang w:eastAsia="es-CO"/>
        </w:rPr>
      </w:pPr>
    </w:p>
    <w:p w14:paraId="049B31B9" w14:textId="51630E48"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i/>
          <w:iCs/>
          <w:szCs w:val="24"/>
          <w:lang w:eastAsia="es-CO"/>
        </w:rPr>
        <w:t xml:space="preserve">5. Los demás </w:t>
      </w:r>
      <w:proofErr w:type="gramStart"/>
      <w:r w:rsidRPr="00BE192D">
        <w:rPr>
          <w:rFonts w:eastAsia="Times New Roman" w:cs="Times New Roman"/>
          <w:i/>
          <w:iCs/>
          <w:szCs w:val="24"/>
          <w:lang w:eastAsia="es-CO"/>
        </w:rPr>
        <w:t>documentos soportes</w:t>
      </w:r>
      <w:proofErr w:type="gramEnd"/>
      <w:r w:rsidRPr="00BE192D">
        <w:rPr>
          <w:rFonts w:eastAsia="Times New Roman" w:cs="Times New Roman"/>
          <w:i/>
          <w:iCs/>
          <w:szCs w:val="24"/>
          <w:lang w:eastAsia="es-CO"/>
        </w:rPr>
        <w:t xml:space="preserve"> de costos, deducciones e impuestos descontables en la adquisición de bienes y servicios, de los cuales no se exija la factura de venta y/o el documento equivalente.</w:t>
      </w:r>
    </w:p>
    <w:p w14:paraId="50CF3DF4"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szCs w:val="24"/>
          <w:lang w:eastAsia="es-CO"/>
        </w:rPr>
        <w:t> </w:t>
      </w:r>
    </w:p>
    <w:p w14:paraId="398898E0"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PARÁGRAFO. Los documentos enunciados en los numerales 1 al 5 de este artículo, serán soporte de costos y gastos en el impuesto sobre la renta y complementarios y descontables en el Impuesto sobre las Ventas (IVA), hasta tanto la Unidad Administrativa Especial Dirección de Impuestos y Aduanas Nacionales (DIAN), los implemente en el sistema de facturación de que trata el parágrafo 6 del </w:t>
      </w:r>
      <w:hyperlink r:id="rId8" w:tooltip="Estatuto Tributario CETA" w:history="1">
        <w:r w:rsidRPr="00BE192D">
          <w:rPr>
            <w:rFonts w:eastAsia="Times New Roman" w:cs="Times New Roman"/>
            <w:b/>
            <w:bCs/>
            <w:i/>
            <w:iCs/>
            <w:color w:val="0089E1"/>
            <w:szCs w:val="24"/>
            <w:lang w:eastAsia="es-CO"/>
          </w:rPr>
          <w:t>artículo 616-1</w:t>
        </w:r>
      </w:hyperlink>
      <w:r w:rsidRPr="00BE192D">
        <w:rPr>
          <w:rFonts w:eastAsia="Times New Roman" w:cs="Times New Roman"/>
          <w:b/>
          <w:bCs/>
          <w:i/>
          <w:iCs/>
          <w:szCs w:val="24"/>
          <w:lang w:eastAsia="es-CO"/>
        </w:rPr>
        <w:t> del Estatuto Tributario y artículo 90 de esta resolución</w:t>
      </w:r>
      <w:r w:rsidRPr="00BE192D">
        <w:rPr>
          <w:rFonts w:eastAsia="Times New Roman" w:cs="Times New Roman"/>
          <w:i/>
          <w:iCs/>
          <w:szCs w:val="24"/>
          <w:lang w:eastAsia="es-CO"/>
        </w:rPr>
        <w:t>. </w:t>
      </w:r>
      <w:r w:rsidRPr="00BE192D">
        <w:rPr>
          <w:rFonts w:eastAsia="Times New Roman" w:cs="Times New Roman"/>
          <w:szCs w:val="24"/>
          <w:lang w:eastAsia="es-CO"/>
        </w:rPr>
        <w:t>(Negrita fuera de texto).</w:t>
      </w:r>
    </w:p>
    <w:p w14:paraId="485D9E0B"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4A84EF93"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xml:space="preserve">Así las cosas, los documentos de que tratan los numerales 1 al 5 del artículo 80 de la Resolución 000042 de 2020, continúan siendo soporte de costos, gastos e impuestos descontables, mientras </w:t>
      </w:r>
      <w:r w:rsidRPr="00BE192D">
        <w:rPr>
          <w:rFonts w:eastAsia="Times New Roman" w:cs="Times New Roman"/>
          <w:szCs w:val="24"/>
          <w:lang w:eastAsia="es-CO"/>
        </w:rPr>
        <w:lastRenderedPageBreak/>
        <w:t xml:space="preserve">no sean implementados en el sistema de facturación electrónica. </w:t>
      </w:r>
      <w:r w:rsidRPr="00BE192D">
        <w:rPr>
          <w:rFonts w:eastAsia="Times New Roman" w:cs="Times New Roman"/>
          <w:szCs w:val="24"/>
          <w:highlight w:val="green"/>
          <w:lang w:eastAsia="es-CO"/>
        </w:rPr>
        <w:t>En consecuencia, dichos documentos, no hacen parte de la limitación del porcentaje máximo a soportarse sin factura electrónica de que trata el numeral transitorio 1º del </w:t>
      </w:r>
      <w:hyperlink r:id="rId9" w:tooltip="Estatuto Tributario CETA" w:history="1">
        <w:r w:rsidRPr="00BE192D">
          <w:rPr>
            <w:rFonts w:eastAsia="Times New Roman" w:cs="Times New Roman"/>
            <w:color w:val="0089E1"/>
            <w:szCs w:val="24"/>
            <w:highlight w:val="green"/>
            <w:lang w:eastAsia="es-CO"/>
          </w:rPr>
          <w:t>artículo 616-1</w:t>
        </w:r>
      </w:hyperlink>
      <w:r w:rsidRPr="00BE192D">
        <w:rPr>
          <w:rFonts w:eastAsia="Times New Roman" w:cs="Times New Roman"/>
          <w:szCs w:val="24"/>
          <w:highlight w:val="green"/>
          <w:lang w:eastAsia="es-CO"/>
        </w:rPr>
        <w:t> del Estatuto Tributario.</w:t>
      </w:r>
    </w:p>
    <w:p w14:paraId="68E7C39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1E47C5B0"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Sobre este asunto se remiten los Oficios Nos. 100208221-1004 del 21 de agosto de 2020 y 100208221-907 del 24 de julio de 2020, los cuales se adjuntan para su conocimiento.</w:t>
      </w:r>
    </w:p>
    <w:p w14:paraId="4277A324"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02BA6A62"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b) “Si la entidad conceptúa que, si aplica la limitación al 30% de los costos o gastos respecto a los documentos antes mencionados, en el caso de los servicios electrónicos o digitales prestados desde el exterior por prestadores sin residencia fiscal en Colombia, ¿implica esto que les aplica un doble límite, esto es, el del 15% por pagos al exterior del </w:t>
      </w:r>
      <w:hyperlink r:id="rId10" w:tooltip="Estatuto Tributario CETA" w:history="1">
        <w:r w:rsidRPr="00BE192D">
          <w:rPr>
            <w:rFonts w:eastAsia="Times New Roman" w:cs="Times New Roman"/>
            <w:b/>
            <w:bCs/>
            <w:i/>
            <w:iCs/>
            <w:color w:val="0089E1"/>
            <w:szCs w:val="24"/>
            <w:lang w:eastAsia="es-CO"/>
          </w:rPr>
          <w:t>artículo 122</w:t>
        </w:r>
      </w:hyperlink>
      <w:r w:rsidRPr="00BE192D">
        <w:rPr>
          <w:rFonts w:eastAsia="Times New Roman" w:cs="Times New Roman"/>
          <w:b/>
          <w:bCs/>
          <w:i/>
          <w:iCs/>
          <w:szCs w:val="24"/>
          <w:lang w:eastAsia="es-CO"/>
        </w:rPr>
        <w:t> del E.T. y 30% por no tener un documento soporte electrónico?”</w:t>
      </w:r>
    </w:p>
    <w:p w14:paraId="448FDDF6"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5E42EE3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Sobre el particular, este Despacho se pronunció a través de Concepto 100208221-1328 de 2020, el cual se anexa para su conocimiento.</w:t>
      </w:r>
    </w:p>
    <w:p w14:paraId="48B9F8F7"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21910A07"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c) “En el caso de importadores de bienes, ¿aplicaría también la limitación del 30% al no contar con la factura electrónica, ni tener acceso a los documentos soporte electrónicos, en la medida que no han sido implementados por la DIAN?”</w:t>
      </w:r>
    </w:p>
    <w:p w14:paraId="543A7067"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60F712A8"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color w:val="000000"/>
          <w:szCs w:val="24"/>
          <w:lang w:eastAsia="es-CO"/>
        </w:rPr>
        <w:t>Por favor remitirse a la respuesta señalada en la pregunta a).</w:t>
      </w:r>
    </w:p>
    <w:p w14:paraId="01939ED0"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174034A2"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Sumado a ello, se informa que el parágrafo 2º del artículo 55 de la Resolución 000042 de 2020, señaló que el documento soporte para la importación de bienes que prueba la respectiva transacción y da lugar a costos, deducciones, o impuestos descontables, es la declaración de importación presentada de conformidad con la normatividad vigente, siempre y cuando no correspondan a operaciones celebradas con o entre usuarios de zona franca.</w:t>
      </w:r>
    </w:p>
    <w:p w14:paraId="152FDEA2"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687C992B"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d) “¿El documento de soporte electrónico se asimilará a factura electrónica de acuerdo con el artículo 90 de la Resolución 000042 de 2020, para efectos de cumplir el requisito de soporte del costo y deducción sin límite?”</w:t>
      </w:r>
    </w:p>
    <w:p w14:paraId="0F0D048B"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0173F24F"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Entiende este Despacho que la consultante se refiere al documento soporte en adquisiciones efectuadas a sujetos no obligados a expedir factura de venta o documento equivalente de que trata el artículo 55 de la Resolución 000042 de 2020. Este documento es soporte de costos, gastos e impuesto descontables según lo dispone el parágrafo del artículo 80 de la citada resolución.</w:t>
      </w:r>
    </w:p>
    <w:p w14:paraId="582381D0"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6537DC7B"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Ahora bien, el artículo 90 de la Resolución 000042 de 2020, estableció las operaciones a implementar en el sistema de facturación electrónica, señalando en su numeral 3º lo siguiente:</w:t>
      </w:r>
    </w:p>
    <w:p w14:paraId="2B1250C6"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78B17998"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lastRenderedPageBreak/>
        <w:t>“ARTÍCULO 90. EL SISTEMA DE FACTURACIÓN ELECTRÓNICA</w:t>
      </w:r>
      <w:r w:rsidRPr="00BE192D">
        <w:rPr>
          <w:rFonts w:eastAsia="Times New Roman" w:cs="Times New Roman"/>
          <w:i/>
          <w:iCs/>
          <w:szCs w:val="24"/>
          <w:lang w:eastAsia="es-CO"/>
        </w:rPr>
        <w:t>. Conforme lo establecido en el parágrafo 6 del </w:t>
      </w:r>
      <w:hyperlink r:id="rId11" w:tooltip="Estatuto Tributario CETA" w:history="1">
        <w:r w:rsidRPr="00BE192D">
          <w:rPr>
            <w:rFonts w:eastAsia="Times New Roman" w:cs="Times New Roman"/>
            <w:i/>
            <w:iCs/>
            <w:color w:val="0089E1"/>
            <w:szCs w:val="24"/>
            <w:lang w:eastAsia="es-CO"/>
          </w:rPr>
          <w:t>artículo 616-1</w:t>
        </w:r>
      </w:hyperlink>
      <w:r w:rsidRPr="00BE192D">
        <w:rPr>
          <w:rFonts w:eastAsia="Times New Roman" w:cs="Times New Roman"/>
          <w:i/>
          <w:iCs/>
          <w:szCs w:val="24"/>
          <w:lang w:eastAsia="es-CO"/>
        </w:rPr>
        <w:t> del Estatuto Tributario, el numeral 13 del artículo 1.6.1.4.6. y los incisos 2, 3 y 4 del artículo 1.6.1.4.27. del Decreto 1625 de 2016 Único Reglamentario en Materia Tributaria, </w:t>
      </w:r>
      <w:r w:rsidRPr="00BE192D">
        <w:rPr>
          <w:rFonts w:eastAsia="Times New Roman" w:cs="Times New Roman"/>
          <w:b/>
          <w:bCs/>
          <w:i/>
          <w:iCs/>
          <w:szCs w:val="24"/>
          <w:lang w:eastAsia="es-CO"/>
        </w:rPr>
        <w:t>las operaciones a implementar en el sistema de facturación electrónica corresponden a:</w:t>
      </w:r>
    </w:p>
    <w:p w14:paraId="4B92A8DD"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szCs w:val="24"/>
          <w:lang w:eastAsia="es-CO"/>
        </w:rPr>
        <w:t> </w:t>
      </w:r>
    </w:p>
    <w:p w14:paraId="54650ECF"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szCs w:val="24"/>
          <w:lang w:eastAsia="es-CO"/>
        </w:rPr>
        <w:t>(…) </w:t>
      </w:r>
      <w:r w:rsidRPr="00BE192D">
        <w:rPr>
          <w:rFonts w:eastAsia="Times New Roman" w:cs="Times New Roman"/>
          <w:b/>
          <w:bCs/>
          <w:szCs w:val="24"/>
          <w:lang w:eastAsia="es-CO"/>
        </w:rPr>
        <w:t>3. C</w:t>
      </w:r>
      <w:r w:rsidRPr="00BE192D">
        <w:rPr>
          <w:rFonts w:eastAsia="Times New Roman" w:cs="Times New Roman"/>
          <w:b/>
          <w:bCs/>
          <w:i/>
          <w:iCs/>
          <w:szCs w:val="24"/>
          <w:lang w:eastAsia="es-CO"/>
        </w:rPr>
        <w:t>ompra de bienes y/o servicios, incluyendo los pagos a favor de no responsables del Impuesto sobre las Ventas (IVA), los cuales se debe garantizar con los documentos soporte en adquisiciones efectuadas a sujetos no obligados a expedir factura de venta o documento equivalente</w:t>
      </w:r>
      <w:r w:rsidRPr="00BE192D">
        <w:rPr>
          <w:rFonts w:eastAsia="Times New Roman" w:cs="Times New Roman"/>
          <w:szCs w:val="24"/>
          <w:lang w:eastAsia="es-CO"/>
        </w:rPr>
        <w:t>. (…)” (Negrilla fuera de texto).</w:t>
      </w:r>
    </w:p>
    <w:p w14:paraId="43F603F3"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50025891"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Así las cosas, el documento soporte en adquisiciones efectuadas a sujetos no obligados a expedir factura de venta o documento equivalente debe expedirse en forma física hasta tanto la DIAN lo implemente en forma electrónica. Adicionalmente, por favor remitirse a la respuesta señalada en la pregunta a).</w:t>
      </w:r>
    </w:p>
    <w:p w14:paraId="050CA3F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50FB2D25"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e) “Los gastos y costos incurridos en el exterior, ¿deberán soportarse con documento soporte electrónico, como requisito para que sean 100% deducibles?”</w:t>
      </w:r>
    </w:p>
    <w:p w14:paraId="4EFFCC4B"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464D29A5"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El inciso 3º del parágrafo 1º del artículo 55 de la Resolución 000042 de 2020, señaló que, el documento soporte en adquisiciones efectuadas a sujetos no obligados a expedir factura de venta o documento equivalente, “</w:t>
      </w:r>
      <w:r w:rsidRPr="00BE192D">
        <w:rPr>
          <w:rFonts w:eastAsia="Times New Roman" w:cs="Times New Roman"/>
          <w:b/>
          <w:bCs/>
          <w:i/>
          <w:iCs/>
          <w:szCs w:val="24"/>
          <w:lang w:eastAsia="es-CO"/>
        </w:rPr>
        <w:t>será válido en los contratos celebrados con personas o entidades no residentes en Colombia</w:t>
      </w:r>
      <w:r w:rsidRPr="00BE192D">
        <w:rPr>
          <w:rFonts w:eastAsia="Times New Roman" w:cs="Times New Roman"/>
          <w:i/>
          <w:iCs/>
          <w:szCs w:val="24"/>
          <w:lang w:eastAsia="es-CO"/>
        </w:rPr>
        <w:t>, </w:t>
      </w:r>
      <w:r w:rsidRPr="00BE192D">
        <w:rPr>
          <w:rFonts w:eastAsia="Times New Roman" w:cs="Times New Roman"/>
          <w:b/>
          <w:bCs/>
          <w:i/>
          <w:iCs/>
          <w:szCs w:val="24"/>
          <w:lang w:eastAsia="es-CO"/>
        </w:rPr>
        <w:t>en cuyo caso, se deberán cumplir los requisitos establecidos en este artículo”</w:t>
      </w:r>
      <w:r w:rsidRPr="00BE192D">
        <w:rPr>
          <w:rFonts w:eastAsia="Times New Roman" w:cs="Times New Roman"/>
          <w:szCs w:val="24"/>
          <w:lang w:eastAsia="es-CO"/>
        </w:rPr>
        <w:t>. Adicionalmente, por favor remitirse a la respuesta señalada en la pregunta a).</w:t>
      </w:r>
    </w:p>
    <w:p w14:paraId="194374F6"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4BEAC8EC"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Lo anterior sin perjuicio de las disposiciones consagradas en el </w:t>
      </w:r>
      <w:hyperlink r:id="rId12" w:tooltip="Estatuto Tributario CETA" w:history="1">
        <w:r w:rsidRPr="00BE192D">
          <w:rPr>
            <w:rFonts w:eastAsia="Times New Roman" w:cs="Times New Roman"/>
            <w:color w:val="0089E1"/>
            <w:szCs w:val="24"/>
            <w:lang w:eastAsia="es-CO"/>
          </w:rPr>
          <w:t>artículo 122</w:t>
        </w:r>
      </w:hyperlink>
      <w:r w:rsidRPr="00BE192D">
        <w:rPr>
          <w:rFonts w:eastAsia="Times New Roman" w:cs="Times New Roman"/>
          <w:szCs w:val="24"/>
          <w:lang w:eastAsia="es-CO"/>
        </w:rPr>
        <w:t> del Estatuto Tributario.</w:t>
      </w:r>
    </w:p>
    <w:p w14:paraId="092AF17C"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i/>
          <w:iCs/>
          <w:szCs w:val="24"/>
          <w:lang w:eastAsia="es-CO"/>
        </w:rPr>
        <w:t> </w:t>
      </w:r>
    </w:p>
    <w:p w14:paraId="4F7EDD2A" w14:textId="77777777" w:rsidR="009A1DF6" w:rsidRPr="00BE192D" w:rsidRDefault="009A1DF6" w:rsidP="004F1352">
      <w:pPr>
        <w:spacing w:after="0" w:line="360" w:lineRule="auto"/>
        <w:ind w:left="284"/>
        <w:jc w:val="both"/>
        <w:rPr>
          <w:rFonts w:eastAsia="Times New Roman" w:cs="Times New Roman"/>
          <w:color w:val="000000"/>
          <w:szCs w:val="24"/>
          <w:lang w:eastAsia="es-CO"/>
        </w:rPr>
      </w:pPr>
      <w:r w:rsidRPr="00BE192D">
        <w:rPr>
          <w:rFonts w:eastAsia="Times New Roman" w:cs="Times New Roman"/>
          <w:b/>
          <w:bCs/>
          <w:i/>
          <w:iCs/>
          <w:szCs w:val="24"/>
          <w:lang w:eastAsia="es-CO"/>
        </w:rPr>
        <w:t>f) “¿Qué ocurre con gastos propios del sistema económico colombiano, tales como, taxis, buses, caja menor, sobre los cuales no es posible obtener factura electrónica, pero son gastos necesarios para la ejecución de la actividad?”</w:t>
      </w:r>
    </w:p>
    <w:p w14:paraId="50F77A2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color w:val="000000"/>
          <w:szCs w:val="24"/>
          <w:lang w:eastAsia="es-CO"/>
        </w:rPr>
        <w:t> </w:t>
      </w:r>
    </w:p>
    <w:p w14:paraId="411651EF"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De conformidad con el artículo 1.6.1.4.12. del Decreto 1625 de 2016, y el artículo 55 de la Resolución 000042 de 2020, el documento soporte de las transacciones con sujetos no obligados a expedir factura de venta y/o documento equivalente, corresponderá al </w:t>
      </w:r>
      <w:r w:rsidRPr="00BE192D">
        <w:rPr>
          <w:rFonts w:eastAsia="Times New Roman" w:cs="Times New Roman"/>
          <w:b/>
          <w:bCs/>
          <w:szCs w:val="24"/>
          <w:lang w:eastAsia="es-CO"/>
        </w:rPr>
        <w:t>documento soporte en adquisiciones efectuadas a sujetos no obligados a expedir factura de venta o documento equivalente</w:t>
      </w:r>
      <w:r w:rsidRPr="00BE192D">
        <w:rPr>
          <w:rFonts w:eastAsia="Times New Roman" w:cs="Times New Roman"/>
          <w:szCs w:val="24"/>
          <w:lang w:eastAsia="es-CO"/>
        </w:rPr>
        <w:t>.</w:t>
      </w:r>
    </w:p>
    <w:p w14:paraId="10520BE7"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1A68B285"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 </w:t>
      </w:r>
    </w:p>
    <w:p w14:paraId="3D955216"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Atentamente,</w:t>
      </w:r>
    </w:p>
    <w:p w14:paraId="247AF18E"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szCs w:val="24"/>
          <w:lang w:eastAsia="es-CO"/>
        </w:rPr>
        <w:lastRenderedPageBreak/>
        <w:t> </w:t>
      </w:r>
    </w:p>
    <w:p w14:paraId="1B91AD14"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szCs w:val="24"/>
          <w:lang w:eastAsia="es-CO"/>
        </w:rPr>
        <w:t> </w:t>
      </w:r>
    </w:p>
    <w:p w14:paraId="3EA99F99"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b/>
          <w:bCs/>
          <w:szCs w:val="24"/>
          <w:lang w:eastAsia="es-CO"/>
        </w:rPr>
        <w:t>PABLO EMILIO MENDOZA VELILLA</w:t>
      </w:r>
    </w:p>
    <w:p w14:paraId="0C5C876D"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Subdirector de Gestión Normativa y Doctrina</w:t>
      </w:r>
    </w:p>
    <w:p w14:paraId="54C42814" w14:textId="77777777" w:rsidR="009A1DF6" w:rsidRPr="00BE192D"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szCs w:val="24"/>
          <w:lang w:eastAsia="es-CO"/>
        </w:rPr>
        <w:t>Dirección de Gestión Jurídica</w:t>
      </w:r>
    </w:p>
    <w:p w14:paraId="04426C0C" w14:textId="563F0721" w:rsidR="009A1DF6" w:rsidRDefault="009A1DF6" w:rsidP="004F1352">
      <w:pPr>
        <w:spacing w:after="0" w:line="360" w:lineRule="auto"/>
        <w:jc w:val="both"/>
        <w:rPr>
          <w:rFonts w:eastAsia="Times New Roman" w:cs="Times New Roman"/>
          <w:color w:val="000000"/>
          <w:szCs w:val="24"/>
          <w:lang w:eastAsia="es-CO"/>
        </w:rPr>
      </w:pPr>
      <w:r w:rsidRPr="00BE192D">
        <w:rPr>
          <w:rFonts w:eastAsia="Times New Roman" w:cs="Times New Roman"/>
          <w:color w:val="000000"/>
          <w:szCs w:val="24"/>
          <w:lang w:eastAsia="es-CO"/>
        </w:rPr>
        <w:t>UAE-DIAN</w:t>
      </w:r>
    </w:p>
    <w:p w14:paraId="4B0173D3" w14:textId="232E2643" w:rsidR="0066656A" w:rsidRPr="00BE192D" w:rsidRDefault="0066656A" w:rsidP="004F1352">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7F0F867D" w14:textId="77777777" w:rsidR="007F5CC8" w:rsidRPr="00BE192D" w:rsidRDefault="007F5CC8" w:rsidP="004F1352">
      <w:pPr>
        <w:spacing w:line="360" w:lineRule="auto"/>
        <w:rPr>
          <w:rFonts w:cs="Times New Roman"/>
          <w:szCs w:val="24"/>
        </w:rPr>
      </w:pPr>
    </w:p>
    <w:sectPr w:rsidR="007F5CC8" w:rsidRPr="00BE192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F6"/>
    <w:rsid w:val="000F3837"/>
    <w:rsid w:val="001E311E"/>
    <w:rsid w:val="003C341F"/>
    <w:rsid w:val="003F3EA5"/>
    <w:rsid w:val="00434AE6"/>
    <w:rsid w:val="004676BC"/>
    <w:rsid w:val="004F1352"/>
    <w:rsid w:val="005C3E95"/>
    <w:rsid w:val="0066656A"/>
    <w:rsid w:val="007F5CC8"/>
    <w:rsid w:val="008779BE"/>
    <w:rsid w:val="009A1DF6"/>
    <w:rsid w:val="00BE192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AA66"/>
  <w15:chartTrackingRefBased/>
  <w15:docId w15:val="{5DCA226C-677A-4AD9-8835-E6A5268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3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1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758" TargetMode="External"/><Relationship Id="rId5" Type="http://schemas.openxmlformats.org/officeDocument/2006/relationships/hyperlink" Target="https://www.ceta.org.co/html/vista_de_un_articulo.asp?Norma=758" TargetMode="External"/><Relationship Id="rId10" Type="http://schemas.openxmlformats.org/officeDocument/2006/relationships/hyperlink" Target="https://www.ceta.org.co/html/vista_de_un_articulo.asp?Norma=173"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5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1616</Words>
  <Characters>8892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7</cp:revision>
  <dcterms:created xsi:type="dcterms:W3CDTF">2021-01-09T17:19:00Z</dcterms:created>
  <dcterms:modified xsi:type="dcterms:W3CDTF">2021-01-15T18:06:00Z</dcterms:modified>
</cp:coreProperties>
</file>