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694CE" w14:textId="77777777" w:rsidR="00D55152" w:rsidRPr="00D55152" w:rsidRDefault="00D55152" w:rsidP="00043C35">
      <w:pPr>
        <w:spacing w:after="0" w:line="360" w:lineRule="auto"/>
        <w:jc w:val="center"/>
        <w:rPr>
          <w:rFonts w:eastAsia="Times New Roman" w:cs="Times New Roman"/>
          <w:b/>
          <w:color w:val="0000FF"/>
          <w:szCs w:val="24"/>
          <w:lang w:eastAsia="es-CO"/>
        </w:rPr>
      </w:pPr>
      <w:r w:rsidRPr="00D55152">
        <w:rPr>
          <w:rFonts w:eastAsia="Times New Roman" w:cs="Times New Roman"/>
          <w:b/>
          <w:color w:val="0000FF"/>
          <w:szCs w:val="24"/>
          <w:lang w:eastAsia="es-CO"/>
        </w:rPr>
        <w:t xml:space="preserve">OFICIO </w:t>
      </w:r>
      <w:proofErr w:type="spellStart"/>
      <w:r w:rsidRPr="00D55152">
        <w:rPr>
          <w:rFonts w:eastAsia="Times New Roman" w:cs="Times New Roman"/>
          <w:b/>
          <w:color w:val="0000FF"/>
          <w:szCs w:val="24"/>
          <w:lang w:eastAsia="es-CO"/>
        </w:rPr>
        <w:t>Nº</w:t>
      </w:r>
      <w:proofErr w:type="spellEnd"/>
      <w:r w:rsidRPr="00D55152">
        <w:rPr>
          <w:rFonts w:eastAsia="Times New Roman" w:cs="Times New Roman"/>
          <w:b/>
          <w:color w:val="0000FF"/>
          <w:szCs w:val="24"/>
          <w:lang w:eastAsia="es-CO"/>
        </w:rPr>
        <w:t xml:space="preserve"> 1245 [905693]</w:t>
      </w:r>
    </w:p>
    <w:p w14:paraId="10978020" w14:textId="77777777" w:rsidR="00D55152" w:rsidRPr="00D55152" w:rsidRDefault="00D55152" w:rsidP="00043C35">
      <w:pPr>
        <w:spacing w:after="0" w:line="360" w:lineRule="auto"/>
        <w:jc w:val="center"/>
        <w:rPr>
          <w:rFonts w:eastAsia="Times New Roman" w:cs="Times New Roman"/>
          <w:b/>
          <w:color w:val="0000FF"/>
          <w:szCs w:val="24"/>
          <w:lang w:eastAsia="es-CO"/>
        </w:rPr>
      </w:pPr>
      <w:r w:rsidRPr="00D55152">
        <w:rPr>
          <w:rFonts w:eastAsia="Times New Roman" w:cs="Times New Roman"/>
          <w:b/>
          <w:color w:val="0000FF"/>
          <w:szCs w:val="24"/>
          <w:lang w:eastAsia="es-CO"/>
        </w:rPr>
        <w:t>07-10-2020</w:t>
      </w:r>
    </w:p>
    <w:p w14:paraId="1F1B0493" w14:textId="77777777" w:rsidR="00D55152" w:rsidRPr="00D55152" w:rsidRDefault="00D55152" w:rsidP="00043C35">
      <w:pPr>
        <w:spacing w:after="0" w:line="360" w:lineRule="auto"/>
        <w:jc w:val="center"/>
        <w:rPr>
          <w:rFonts w:eastAsia="Times New Roman" w:cs="Times New Roman"/>
          <w:b/>
          <w:color w:val="0000FF"/>
          <w:szCs w:val="24"/>
          <w:lang w:eastAsia="es-CO"/>
        </w:rPr>
      </w:pPr>
      <w:r w:rsidRPr="00D55152">
        <w:rPr>
          <w:rFonts w:eastAsia="Times New Roman" w:cs="Times New Roman"/>
          <w:b/>
          <w:color w:val="0000FF"/>
          <w:szCs w:val="24"/>
          <w:lang w:eastAsia="es-CO"/>
        </w:rPr>
        <w:t>DIAN</w:t>
      </w:r>
    </w:p>
    <w:p w14:paraId="6A8B30AD" w14:textId="77777777" w:rsidR="00D55152" w:rsidRPr="00D55152" w:rsidRDefault="00D55152" w:rsidP="00043C35">
      <w:pPr>
        <w:spacing w:after="0" w:line="360" w:lineRule="auto"/>
        <w:jc w:val="both"/>
        <w:rPr>
          <w:rFonts w:eastAsia="Times New Roman" w:cs="Times New Roman"/>
          <w:szCs w:val="24"/>
          <w:lang w:eastAsia="es-CO"/>
        </w:rPr>
      </w:pPr>
    </w:p>
    <w:p w14:paraId="78D73C4E" w14:textId="77777777" w:rsidR="00D55152" w:rsidRPr="00D55152" w:rsidRDefault="00D55152" w:rsidP="00043C35">
      <w:pPr>
        <w:spacing w:after="0" w:line="360" w:lineRule="auto"/>
        <w:jc w:val="both"/>
        <w:rPr>
          <w:rFonts w:eastAsia="Times New Roman" w:cs="Times New Roman"/>
          <w:szCs w:val="24"/>
          <w:lang w:eastAsia="es-CO"/>
        </w:rPr>
      </w:pPr>
    </w:p>
    <w:p w14:paraId="743165E8" w14:textId="77777777" w:rsidR="00D55152" w:rsidRPr="00D55152" w:rsidRDefault="00D55152" w:rsidP="00043C35">
      <w:pPr>
        <w:spacing w:after="0" w:line="360" w:lineRule="auto"/>
        <w:jc w:val="both"/>
        <w:rPr>
          <w:rFonts w:eastAsia="Times New Roman" w:cs="Times New Roman"/>
          <w:szCs w:val="24"/>
          <w:lang w:eastAsia="es-CO"/>
        </w:rPr>
      </w:pPr>
      <w:r w:rsidRPr="00D55152">
        <w:rPr>
          <w:rFonts w:eastAsia="Times New Roman" w:cs="Times New Roman"/>
          <w:szCs w:val="24"/>
          <w:lang w:eastAsia="es-CO"/>
        </w:rPr>
        <w:t>Subdirección de Gestión Normativa y Doctrina</w:t>
      </w:r>
    </w:p>
    <w:p w14:paraId="261F72F0" w14:textId="77777777" w:rsidR="00D55152" w:rsidRPr="00D55152" w:rsidRDefault="00D55152" w:rsidP="00043C35">
      <w:pPr>
        <w:spacing w:after="0" w:line="360" w:lineRule="auto"/>
        <w:jc w:val="both"/>
        <w:rPr>
          <w:rFonts w:eastAsia="Times New Roman" w:cs="Times New Roman"/>
          <w:szCs w:val="24"/>
          <w:lang w:eastAsia="es-CO"/>
        </w:rPr>
      </w:pPr>
      <w:r w:rsidRPr="00D55152">
        <w:rPr>
          <w:rFonts w:eastAsia="Times New Roman" w:cs="Times New Roman"/>
          <w:szCs w:val="24"/>
          <w:lang w:eastAsia="es-CO"/>
        </w:rPr>
        <w:t>100208221-1245</w:t>
      </w:r>
    </w:p>
    <w:p w14:paraId="1F892C31" w14:textId="77777777" w:rsidR="00D55152" w:rsidRPr="00D55152" w:rsidRDefault="00D55152" w:rsidP="00043C35">
      <w:pPr>
        <w:spacing w:after="0" w:line="360" w:lineRule="auto"/>
        <w:jc w:val="both"/>
        <w:rPr>
          <w:rFonts w:eastAsia="Times New Roman" w:cs="Times New Roman"/>
          <w:szCs w:val="24"/>
          <w:lang w:eastAsia="es-CO"/>
        </w:rPr>
      </w:pPr>
      <w:r w:rsidRPr="00D55152">
        <w:rPr>
          <w:rFonts w:eastAsia="Times New Roman" w:cs="Times New Roman"/>
          <w:szCs w:val="24"/>
          <w:lang w:eastAsia="es-CO"/>
        </w:rPr>
        <w:t>Bogotá, D.C.</w:t>
      </w:r>
    </w:p>
    <w:p w14:paraId="6C7126D2" w14:textId="77777777" w:rsidR="00D55152" w:rsidRPr="00D55152" w:rsidRDefault="00D55152" w:rsidP="00043C35">
      <w:pPr>
        <w:spacing w:line="360" w:lineRule="auto"/>
        <w:jc w:val="both"/>
        <w:rPr>
          <w:rFonts w:eastAsia="Times New Roman" w:cs="Times New Roman"/>
          <w:szCs w:val="24"/>
          <w:lang w:eastAsia="es-CO"/>
        </w:rPr>
      </w:pPr>
    </w:p>
    <w:tbl>
      <w:tblPr>
        <w:tblW w:w="0" w:type="auto"/>
        <w:tblInd w:w="-108" w:type="dxa"/>
        <w:tblLook w:val="04A0" w:firstRow="1" w:lastRow="0" w:firstColumn="1" w:lastColumn="0" w:noHBand="0" w:noVBand="1"/>
      </w:tblPr>
      <w:tblGrid>
        <w:gridCol w:w="1809"/>
        <w:gridCol w:w="6803"/>
      </w:tblGrid>
      <w:tr w:rsidR="00D55152" w:rsidRPr="00D55152" w14:paraId="02199D3A" w14:textId="77777777" w:rsidTr="00D55152">
        <w:trPr>
          <w:trHeight w:val="103"/>
        </w:trPr>
        <w:tc>
          <w:tcPr>
            <w:tcW w:w="1809" w:type="dxa"/>
            <w:tcBorders>
              <w:top w:val="nil"/>
              <w:left w:val="nil"/>
              <w:bottom w:val="nil"/>
              <w:right w:val="nil"/>
            </w:tcBorders>
            <w:shd w:val="clear" w:color="auto" w:fill="auto"/>
            <w:hideMark/>
          </w:tcPr>
          <w:p w14:paraId="4BEB2A05" w14:textId="77777777" w:rsidR="00D55152" w:rsidRPr="00D55152" w:rsidRDefault="00D55152" w:rsidP="00043C35">
            <w:pPr>
              <w:spacing w:after="0" w:line="360" w:lineRule="auto"/>
              <w:jc w:val="both"/>
              <w:rPr>
                <w:rFonts w:eastAsia="Times New Roman" w:cs="Times New Roman"/>
                <w:b/>
                <w:szCs w:val="24"/>
                <w:lang w:eastAsia="es-CO"/>
              </w:rPr>
            </w:pPr>
            <w:r w:rsidRPr="00D55152">
              <w:rPr>
                <w:rFonts w:eastAsia="Times New Roman" w:cs="Times New Roman"/>
                <w:b/>
                <w:szCs w:val="24"/>
                <w:lang w:eastAsia="es-CO"/>
              </w:rPr>
              <w:t>Tema</w:t>
            </w:r>
          </w:p>
        </w:tc>
        <w:tc>
          <w:tcPr>
            <w:tcW w:w="6803" w:type="dxa"/>
            <w:tcBorders>
              <w:top w:val="nil"/>
              <w:left w:val="nil"/>
              <w:bottom w:val="nil"/>
              <w:right w:val="nil"/>
            </w:tcBorders>
            <w:shd w:val="clear" w:color="auto" w:fill="auto"/>
            <w:hideMark/>
          </w:tcPr>
          <w:p w14:paraId="17B7D2AB" w14:textId="77777777" w:rsidR="00D55152" w:rsidRPr="00D55152" w:rsidRDefault="00D55152" w:rsidP="00043C35">
            <w:pPr>
              <w:spacing w:after="0" w:line="360" w:lineRule="auto"/>
              <w:jc w:val="both"/>
              <w:rPr>
                <w:rFonts w:eastAsia="Times New Roman" w:cs="Times New Roman"/>
                <w:szCs w:val="24"/>
                <w:lang w:eastAsia="es-CO"/>
              </w:rPr>
            </w:pPr>
            <w:r w:rsidRPr="00D55152">
              <w:rPr>
                <w:rFonts w:eastAsia="Times New Roman" w:cs="Times New Roman"/>
                <w:szCs w:val="24"/>
                <w:lang w:eastAsia="es-CO"/>
              </w:rPr>
              <w:t>Factura electrónica de venta</w:t>
            </w:r>
          </w:p>
        </w:tc>
      </w:tr>
      <w:tr w:rsidR="00D55152" w:rsidRPr="00D55152" w14:paraId="5F94CB0F" w14:textId="77777777" w:rsidTr="00D55152">
        <w:trPr>
          <w:trHeight w:val="482"/>
        </w:trPr>
        <w:tc>
          <w:tcPr>
            <w:tcW w:w="1809" w:type="dxa"/>
            <w:tcBorders>
              <w:top w:val="nil"/>
              <w:left w:val="nil"/>
              <w:bottom w:val="nil"/>
              <w:right w:val="nil"/>
            </w:tcBorders>
            <w:shd w:val="clear" w:color="auto" w:fill="auto"/>
            <w:hideMark/>
          </w:tcPr>
          <w:p w14:paraId="2BB168E7" w14:textId="77777777" w:rsidR="00D55152" w:rsidRPr="00D55152" w:rsidRDefault="00D55152" w:rsidP="00043C35">
            <w:pPr>
              <w:spacing w:after="0" w:line="360" w:lineRule="auto"/>
              <w:jc w:val="both"/>
              <w:rPr>
                <w:rFonts w:eastAsia="Times New Roman" w:cs="Times New Roman"/>
                <w:b/>
                <w:szCs w:val="24"/>
                <w:lang w:eastAsia="es-CO"/>
              </w:rPr>
            </w:pPr>
            <w:r w:rsidRPr="00D55152">
              <w:rPr>
                <w:rFonts w:eastAsia="Times New Roman" w:cs="Times New Roman"/>
                <w:b/>
                <w:szCs w:val="24"/>
                <w:lang w:eastAsia="es-CO"/>
              </w:rPr>
              <w:t>Descriptores</w:t>
            </w:r>
          </w:p>
        </w:tc>
        <w:tc>
          <w:tcPr>
            <w:tcW w:w="6803" w:type="dxa"/>
            <w:tcBorders>
              <w:top w:val="nil"/>
              <w:left w:val="nil"/>
              <w:bottom w:val="nil"/>
              <w:right w:val="nil"/>
            </w:tcBorders>
            <w:shd w:val="clear" w:color="auto" w:fill="auto"/>
            <w:hideMark/>
          </w:tcPr>
          <w:p w14:paraId="50122D8D" w14:textId="77777777" w:rsidR="00D55152" w:rsidRPr="00D55152" w:rsidRDefault="00D55152" w:rsidP="00043C35">
            <w:pPr>
              <w:spacing w:after="0" w:line="360" w:lineRule="auto"/>
              <w:jc w:val="both"/>
              <w:rPr>
                <w:rFonts w:eastAsia="Times New Roman" w:cs="Times New Roman"/>
                <w:szCs w:val="24"/>
                <w:lang w:eastAsia="es-CO"/>
              </w:rPr>
            </w:pPr>
            <w:r w:rsidRPr="00D55152">
              <w:rPr>
                <w:rFonts w:eastAsia="Times New Roman" w:cs="Times New Roman"/>
                <w:szCs w:val="24"/>
                <w:lang w:eastAsia="es-CO"/>
              </w:rPr>
              <w:t>Documento soporte en adquisiciones efectuadas a sujetos no obligados a expedir factura de venta o documento equivalente</w:t>
            </w:r>
          </w:p>
          <w:p w14:paraId="646A5D93" w14:textId="77777777" w:rsidR="00D55152" w:rsidRPr="00D55152" w:rsidRDefault="00D55152" w:rsidP="00043C35">
            <w:pPr>
              <w:spacing w:after="0" w:line="360" w:lineRule="auto"/>
              <w:jc w:val="both"/>
              <w:rPr>
                <w:rFonts w:eastAsia="Times New Roman" w:cs="Times New Roman"/>
                <w:szCs w:val="24"/>
                <w:lang w:eastAsia="es-CO"/>
              </w:rPr>
            </w:pPr>
            <w:r w:rsidRPr="00D55152">
              <w:rPr>
                <w:rFonts w:eastAsia="Times New Roman" w:cs="Times New Roman"/>
                <w:szCs w:val="24"/>
                <w:lang w:eastAsia="es-CO"/>
              </w:rPr>
              <w:t>Documentos equivalentes a la factura</w:t>
            </w:r>
          </w:p>
        </w:tc>
      </w:tr>
      <w:tr w:rsidR="00D55152" w:rsidRPr="00D55152" w14:paraId="5A1D916C" w14:textId="77777777" w:rsidTr="00D55152">
        <w:trPr>
          <w:trHeight w:val="355"/>
        </w:trPr>
        <w:tc>
          <w:tcPr>
            <w:tcW w:w="1809" w:type="dxa"/>
            <w:tcBorders>
              <w:top w:val="nil"/>
              <w:left w:val="nil"/>
              <w:bottom w:val="nil"/>
              <w:right w:val="nil"/>
            </w:tcBorders>
            <w:shd w:val="clear" w:color="auto" w:fill="auto"/>
            <w:hideMark/>
          </w:tcPr>
          <w:p w14:paraId="6A3EE58C" w14:textId="77777777" w:rsidR="00D55152" w:rsidRPr="00D55152" w:rsidRDefault="00D55152" w:rsidP="00043C35">
            <w:pPr>
              <w:spacing w:after="0" w:line="360" w:lineRule="auto"/>
              <w:jc w:val="both"/>
              <w:rPr>
                <w:rFonts w:eastAsia="Times New Roman" w:cs="Times New Roman"/>
                <w:b/>
                <w:szCs w:val="24"/>
                <w:lang w:eastAsia="es-CO"/>
              </w:rPr>
            </w:pPr>
            <w:r w:rsidRPr="00D55152">
              <w:rPr>
                <w:rFonts w:eastAsia="Times New Roman" w:cs="Times New Roman"/>
                <w:b/>
                <w:szCs w:val="24"/>
                <w:lang w:eastAsia="es-CO"/>
              </w:rPr>
              <w:t>Fuentes formales</w:t>
            </w:r>
          </w:p>
        </w:tc>
        <w:tc>
          <w:tcPr>
            <w:tcW w:w="6803" w:type="dxa"/>
            <w:tcBorders>
              <w:top w:val="nil"/>
              <w:left w:val="nil"/>
              <w:bottom w:val="nil"/>
              <w:right w:val="nil"/>
            </w:tcBorders>
            <w:shd w:val="clear" w:color="auto" w:fill="auto"/>
            <w:hideMark/>
          </w:tcPr>
          <w:p w14:paraId="09F929AB" w14:textId="77777777" w:rsidR="00D55152" w:rsidRPr="00D55152" w:rsidRDefault="00D55152" w:rsidP="00043C35">
            <w:pPr>
              <w:spacing w:after="0" w:line="360" w:lineRule="auto"/>
              <w:jc w:val="both"/>
              <w:rPr>
                <w:rFonts w:eastAsia="Times New Roman" w:cs="Times New Roman"/>
                <w:szCs w:val="24"/>
                <w:lang w:eastAsia="es-CO"/>
              </w:rPr>
            </w:pPr>
            <w:r w:rsidRPr="00D55152">
              <w:rPr>
                <w:rFonts w:eastAsia="Times New Roman" w:cs="Times New Roman"/>
                <w:szCs w:val="24"/>
                <w:lang w:eastAsia="es-CO"/>
              </w:rPr>
              <w:t>Artículos 1.6.1.4.6 y 1.6.1.4.12 del Decreto 1625 de 2026 (sic)</w:t>
            </w:r>
          </w:p>
          <w:p w14:paraId="36C037A0" w14:textId="77777777" w:rsidR="00D55152" w:rsidRPr="00D55152" w:rsidRDefault="00D55152" w:rsidP="00043C35">
            <w:pPr>
              <w:spacing w:after="0" w:line="360" w:lineRule="auto"/>
              <w:jc w:val="both"/>
              <w:rPr>
                <w:rFonts w:eastAsia="Times New Roman" w:cs="Times New Roman"/>
                <w:szCs w:val="24"/>
                <w:lang w:eastAsia="es-CO"/>
              </w:rPr>
            </w:pPr>
            <w:r w:rsidRPr="00D55152">
              <w:rPr>
                <w:rFonts w:eastAsia="Times New Roman" w:cs="Times New Roman"/>
                <w:szCs w:val="24"/>
                <w:lang w:eastAsia="es-CO"/>
              </w:rPr>
              <w:t>Decreto 358 de 2020</w:t>
            </w:r>
          </w:p>
          <w:p w14:paraId="0722B8F0" w14:textId="77777777" w:rsidR="00D55152" w:rsidRPr="00D55152" w:rsidRDefault="00D55152" w:rsidP="00043C35">
            <w:pPr>
              <w:spacing w:after="0" w:line="360" w:lineRule="auto"/>
              <w:jc w:val="both"/>
              <w:rPr>
                <w:rFonts w:eastAsia="Times New Roman" w:cs="Times New Roman"/>
                <w:szCs w:val="24"/>
                <w:lang w:eastAsia="es-CO"/>
              </w:rPr>
            </w:pPr>
            <w:r w:rsidRPr="00D55152">
              <w:rPr>
                <w:rFonts w:eastAsia="Times New Roman" w:cs="Times New Roman"/>
                <w:szCs w:val="24"/>
                <w:lang w:eastAsia="es-CO"/>
              </w:rPr>
              <w:t>Artículos 13, 39 y 55 de la Resolución 000042 de 2020</w:t>
            </w:r>
          </w:p>
        </w:tc>
      </w:tr>
    </w:tbl>
    <w:p w14:paraId="3B60CBF4" w14:textId="77777777" w:rsidR="00D55152" w:rsidRPr="00D55152" w:rsidRDefault="00D55152" w:rsidP="00043C35">
      <w:pPr>
        <w:spacing w:after="0" w:line="360" w:lineRule="auto"/>
        <w:jc w:val="both"/>
        <w:rPr>
          <w:rFonts w:eastAsia="Times New Roman" w:cs="Times New Roman"/>
          <w:szCs w:val="24"/>
          <w:lang w:eastAsia="es-CO"/>
        </w:rPr>
      </w:pPr>
    </w:p>
    <w:p w14:paraId="0B7D22D1" w14:textId="77777777" w:rsidR="00D55152" w:rsidRPr="00D55152" w:rsidRDefault="00D55152" w:rsidP="00043C35">
      <w:pPr>
        <w:spacing w:after="0" w:line="360" w:lineRule="auto"/>
        <w:jc w:val="both"/>
        <w:rPr>
          <w:rFonts w:eastAsia="Times New Roman" w:cs="Times New Roman"/>
          <w:szCs w:val="24"/>
          <w:lang w:eastAsia="es-CO"/>
        </w:rPr>
      </w:pPr>
    </w:p>
    <w:p w14:paraId="5AAD50DD" w14:textId="77777777" w:rsidR="00D55152" w:rsidRPr="00D55152" w:rsidRDefault="00D55152" w:rsidP="00043C35">
      <w:pPr>
        <w:adjustRightInd w:val="0"/>
        <w:spacing w:after="0" w:line="360" w:lineRule="auto"/>
        <w:jc w:val="both"/>
        <w:rPr>
          <w:rFonts w:eastAsia="Times New Roman" w:cs="Times New Roman"/>
          <w:szCs w:val="24"/>
          <w:lang w:eastAsia="es-CO"/>
        </w:rPr>
      </w:pPr>
      <w:r w:rsidRPr="00D55152">
        <w:rPr>
          <w:rFonts w:eastAsia="Times New Roman" w:cs="Times New Roman"/>
          <w:szCs w:val="24"/>
          <w:lang w:eastAsia="es-CO"/>
        </w:rPr>
        <w:t>Cordial saludo.</w:t>
      </w:r>
    </w:p>
    <w:p w14:paraId="46041D2E" w14:textId="77777777" w:rsidR="00D55152" w:rsidRPr="00D55152" w:rsidRDefault="00D55152" w:rsidP="00043C35">
      <w:pPr>
        <w:adjustRightInd w:val="0"/>
        <w:spacing w:after="0" w:line="360" w:lineRule="auto"/>
        <w:jc w:val="both"/>
        <w:rPr>
          <w:rFonts w:eastAsia="Times New Roman" w:cs="Times New Roman"/>
          <w:szCs w:val="24"/>
          <w:lang w:eastAsia="es-CO"/>
        </w:rPr>
      </w:pPr>
    </w:p>
    <w:p w14:paraId="26E040F5" w14:textId="77777777" w:rsidR="00D55152" w:rsidRPr="00D55152" w:rsidRDefault="00D55152" w:rsidP="00043C35">
      <w:pPr>
        <w:adjustRightInd w:val="0"/>
        <w:spacing w:after="0" w:line="360" w:lineRule="auto"/>
        <w:jc w:val="both"/>
        <w:rPr>
          <w:rFonts w:eastAsia="Times New Roman" w:cs="Times New Roman"/>
          <w:szCs w:val="24"/>
          <w:lang w:eastAsia="es-CO"/>
        </w:rPr>
      </w:pPr>
      <w:r w:rsidRPr="00D55152">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428C947" w14:textId="77777777" w:rsidR="00D55152" w:rsidRPr="00D55152" w:rsidRDefault="00D55152" w:rsidP="00043C35">
      <w:pPr>
        <w:spacing w:after="0" w:line="360" w:lineRule="auto"/>
        <w:jc w:val="both"/>
        <w:rPr>
          <w:rFonts w:eastAsia="Times New Roman" w:cs="Times New Roman"/>
          <w:szCs w:val="24"/>
          <w:lang w:eastAsia="es-CO"/>
        </w:rPr>
      </w:pPr>
    </w:p>
    <w:p w14:paraId="2BBE6D34" w14:textId="77777777" w:rsidR="00D55152" w:rsidRPr="00D55152" w:rsidRDefault="00D55152" w:rsidP="00043C35">
      <w:pPr>
        <w:spacing w:after="0" w:line="360" w:lineRule="auto"/>
        <w:jc w:val="both"/>
        <w:rPr>
          <w:rFonts w:eastAsia="Times New Roman" w:cs="Times New Roman"/>
          <w:szCs w:val="24"/>
          <w:lang w:eastAsia="es-CO"/>
        </w:rPr>
      </w:pPr>
      <w:r w:rsidRPr="00D55152">
        <w:rPr>
          <w:rFonts w:eastAsia="Times New Roman" w:cs="Times New Roman"/>
          <w:szCs w:val="24"/>
          <w:lang w:eastAsia="es-CO"/>
        </w:rPr>
        <w:t>Mediante el radicado de la referencia, los peticionarios plantean una serie de interrogantes los cuales se atenderán en el orden en que fueron propuestos, precisando en primer lugar, que sobre las tres primeras inquietudes este Despacho se pronunció con oficio No. 100208221-1226 de 2020, el cual se remite para mayor conocimiento.</w:t>
      </w:r>
    </w:p>
    <w:p w14:paraId="43703783" w14:textId="77777777" w:rsidR="00D55152" w:rsidRPr="00D55152" w:rsidRDefault="00D55152" w:rsidP="00043C35">
      <w:pPr>
        <w:adjustRightInd w:val="0"/>
        <w:spacing w:after="0" w:line="360" w:lineRule="auto"/>
        <w:jc w:val="both"/>
        <w:rPr>
          <w:rFonts w:eastAsia="Times New Roman" w:cs="Times New Roman"/>
          <w:b/>
          <w:bCs/>
          <w:szCs w:val="24"/>
          <w:lang w:eastAsia="es-CO"/>
        </w:rPr>
      </w:pPr>
    </w:p>
    <w:p w14:paraId="430E6B57" w14:textId="77777777" w:rsidR="00D55152" w:rsidRPr="00D55152" w:rsidRDefault="00D55152" w:rsidP="00043C35">
      <w:pPr>
        <w:adjustRightInd w:val="0"/>
        <w:spacing w:after="0" w:line="360" w:lineRule="auto"/>
        <w:ind w:left="524"/>
        <w:jc w:val="both"/>
        <w:rPr>
          <w:rFonts w:eastAsia="Times New Roman" w:cs="Times New Roman"/>
          <w:szCs w:val="24"/>
          <w:lang w:eastAsia="es-CO"/>
        </w:rPr>
      </w:pPr>
      <w:r w:rsidRPr="00D55152">
        <w:rPr>
          <w:rFonts w:eastAsia="Times New Roman" w:cs="Times New Roman"/>
          <w:b/>
          <w:bCs/>
          <w:szCs w:val="24"/>
          <w:lang w:eastAsia="es-CO"/>
        </w:rPr>
        <w:t>4. “En la resolución 042 de 2020 señalan para varios documentos soporte del sistema de facturación la obligación de informar la calidad de autorretenedor de renta y complementarios, a qué hace referencia esta condición?”</w:t>
      </w:r>
    </w:p>
    <w:p w14:paraId="1B38BEC7" w14:textId="77777777" w:rsidR="00D55152" w:rsidRPr="00D55152" w:rsidRDefault="00D55152" w:rsidP="00043C35">
      <w:pPr>
        <w:adjustRightInd w:val="0"/>
        <w:spacing w:after="0" w:line="360" w:lineRule="auto"/>
        <w:jc w:val="both"/>
        <w:rPr>
          <w:rFonts w:eastAsia="Times New Roman" w:cs="Times New Roman"/>
          <w:szCs w:val="24"/>
          <w:lang w:eastAsia="es-CO"/>
        </w:rPr>
      </w:pPr>
    </w:p>
    <w:p w14:paraId="6AFB876C" w14:textId="77777777" w:rsidR="00D55152" w:rsidRPr="00D55152" w:rsidRDefault="00D55152" w:rsidP="00043C35">
      <w:pPr>
        <w:adjustRightInd w:val="0"/>
        <w:spacing w:after="0" w:line="360" w:lineRule="auto"/>
        <w:jc w:val="both"/>
        <w:rPr>
          <w:rFonts w:eastAsia="Times New Roman" w:cs="Times New Roman"/>
          <w:szCs w:val="24"/>
          <w:lang w:eastAsia="es-CO"/>
        </w:rPr>
      </w:pPr>
      <w:r w:rsidRPr="00D55152">
        <w:rPr>
          <w:rFonts w:eastAsia="Times New Roman" w:cs="Times New Roman"/>
          <w:szCs w:val="24"/>
          <w:lang w:eastAsia="es-CO"/>
        </w:rPr>
        <w:t xml:space="preserve">El artículo 1.6.1.4.6 del Decreto 1625 de 2016, en concordancia con el artículo 13 de la Resolución 000042 de 2020, señalan los documentos equivalentes a la factura de venta y sus requisitos. A su vez, los numerales 1 y 4 del artículo 13 de la resolución mencionada disponen sobre el tiquete de </w:t>
      </w:r>
      <w:r w:rsidRPr="00D55152">
        <w:rPr>
          <w:rFonts w:eastAsia="Times New Roman" w:cs="Times New Roman"/>
          <w:szCs w:val="24"/>
          <w:lang w:eastAsia="es-CO"/>
        </w:rPr>
        <w:lastRenderedPageBreak/>
        <w:t>máquinas registradoras con sistema POS y el extracto, que estos documentos equivalentes a la factura de venta requieren que se indique: “</w:t>
      </w:r>
      <w:r w:rsidRPr="00D55152">
        <w:rPr>
          <w:rFonts w:eastAsia="Times New Roman" w:cs="Times New Roman"/>
          <w:b/>
          <w:bCs/>
          <w:i/>
          <w:iCs/>
          <w:szCs w:val="24"/>
          <w:u w:val="single"/>
          <w:lang w:eastAsia="es-CO"/>
        </w:rPr>
        <w:t>la calidad del agente</w:t>
      </w:r>
      <w:r w:rsidRPr="00D55152">
        <w:rPr>
          <w:rFonts w:eastAsia="Times New Roman" w:cs="Times New Roman"/>
          <w:b/>
          <w:bCs/>
          <w:i/>
          <w:iCs/>
          <w:szCs w:val="24"/>
          <w:lang w:eastAsia="es-CO"/>
        </w:rPr>
        <w:t xml:space="preserve"> </w:t>
      </w:r>
      <w:r w:rsidRPr="00D55152">
        <w:rPr>
          <w:rFonts w:eastAsia="Times New Roman" w:cs="Times New Roman"/>
          <w:i/>
          <w:iCs/>
          <w:szCs w:val="24"/>
          <w:lang w:eastAsia="es-CO"/>
        </w:rPr>
        <w:t xml:space="preserve">(…) y </w:t>
      </w:r>
      <w:r w:rsidRPr="00D55152">
        <w:rPr>
          <w:rFonts w:eastAsia="Times New Roman" w:cs="Times New Roman"/>
          <w:b/>
          <w:bCs/>
          <w:i/>
          <w:iCs/>
          <w:szCs w:val="24"/>
          <w:u w:val="single"/>
          <w:lang w:eastAsia="es-CO"/>
        </w:rPr>
        <w:t>autorretenedor en el Impuesto sobre la Renta y Complementarios</w:t>
      </w:r>
      <w:r w:rsidRPr="00D55152">
        <w:rPr>
          <w:rFonts w:eastAsia="Times New Roman" w:cs="Times New Roman"/>
          <w:i/>
          <w:iCs/>
          <w:szCs w:val="24"/>
          <w:u w:val="single"/>
          <w:lang w:eastAsia="es-CO"/>
        </w:rPr>
        <w:t>”</w:t>
      </w:r>
      <w:r w:rsidRPr="00D55152">
        <w:rPr>
          <w:rFonts w:eastAsia="Times New Roman" w:cs="Times New Roman"/>
          <w:szCs w:val="24"/>
          <w:u w:val="single"/>
          <w:lang w:eastAsia="es-CO"/>
        </w:rPr>
        <w:t>.</w:t>
      </w:r>
    </w:p>
    <w:p w14:paraId="4E871DBD" w14:textId="77777777" w:rsidR="00D55152" w:rsidRPr="00D55152" w:rsidRDefault="00D55152" w:rsidP="00043C35">
      <w:pPr>
        <w:adjustRightInd w:val="0"/>
        <w:spacing w:after="0" w:line="360" w:lineRule="auto"/>
        <w:jc w:val="both"/>
        <w:rPr>
          <w:rFonts w:eastAsia="Times New Roman" w:cs="Times New Roman"/>
          <w:szCs w:val="24"/>
          <w:lang w:eastAsia="es-CO"/>
        </w:rPr>
      </w:pPr>
    </w:p>
    <w:p w14:paraId="308CBDE4" w14:textId="77777777" w:rsidR="00D55152" w:rsidRPr="00D55152" w:rsidRDefault="00D55152" w:rsidP="00043C35">
      <w:pPr>
        <w:adjustRightInd w:val="0"/>
        <w:spacing w:after="0" w:line="360" w:lineRule="auto"/>
        <w:jc w:val="both"/>
        <w:rPr>
          <w:rFonts w:eastAsia="Times New Roman" w:cs="Times New Roman"/>
          <w:szCs w:val="24"/>
          <w:lang w:eastAsia="es-CO"/>
        </w:rPr>
      </w:pPr>
      <w:r w:rsidRPr="00D55152">
        <w:rPr>
          <w:rFonts w:eastAsia="Times New Roman" w:cs="Times New Roman"/>
          <w:szCs w:val="24"/>
          <w:lang w:eastAsia="es-CO"/>
        </w:rPr>
        <w:t>En este sentido, se informa que la Resolución 005707 de 2020, en desarrollo del artículo 368 del Estatuto Tributario, establece los requisitos para ser autorizado y actuar como autorretenedor del impuesto sobre la renta y señala las personas y/o entidades que tienen dicha calidad.</w:t>
      </w:r>
    </w:p>
    <w:p w14:paraId="225DB2B1" w14:textId="77777777" w:rsidR="00D55152" w:rsidRPr="00D55152" w:rsidRDefault="00D55152" w:rsidP="00043C35">
      <w:pPr>
        <w:adjustRightInd w:val="0"/>
        <w:spacing w:after="0" w:line="360" w:lineRule="auto"/>
        <w:jc w:val="both"/>
        <w:rPr>
          <w:rFonts w:eastAsia="Times New Roman" w:cs="Times New Roman"/>
          <w:szCs w:val="24"/>
          <w:lang w:eastAsia="es-CO"/>
        </w:rPr>
      </w:pPr>
    </w:p>
    <w:p w14:paraId="7F9CE220" w14:textId="77777777" w:rsidR="00D55152" w:rsidRPr="00D55152" w:rsidRDefault="00D55152" w:rsidP="00043C35">
      <w:pPr>
        <w:adjustRightInd w:val="0"/>
        <w:spacing w:after="0" w:line="360" w:lineRule="auto"/>
        <w:jc w:val="both"/>
        <w:rPr>
          <w:rFonts w:eastAsia="Times New Roman" w:cs="Times New Roman"/>
          <w:szCs w:val="24"/>
          <w:lang w:eastAsia="es-CO"/>
        </w:rPr>
      </w:pPr>
      <w:r w:rsidRPr="00D55152">
        <w:rPr>
          <w:rFonts w:eastAsia="Times New Roman" w:cs="Times New Roman"/>
          <w:szCs w:val="24"/>
          <w:lang w:eastAsia="es-CO"/>
        </w:rPr>
        <w:t xml:space="preserve">Por otra parte, se informa que mediante el Decreto 2201 de 2016, por el cual se modificó el Decreto No. 1625 de 2016, se reglamentó la nueva autorretención especial a título de renta y complementarios establecida en el artículo 365 del Estatuto Tributario modificado por el artículo 125 de la Ley 1819 de 2016. Por lo cual, el artículo 1.2.6.6. del Decreto 1625 del 2016 establece quienes y </w:t>
      </w:r>
      <w:proofErr w:type="gramStart"/>
      <w:r w:rsidRPr="00D55152">
        <w:rPr>
          <w:rFonts w:eastAsia="Times New Roman" w:cs="Times New Roman"/>
          <w:szCs w:val="24"/>
          <w:lang w:eastAsia="es-CO"/>
        </w:rPr>
        <w:t>bajo qué condiciones</w:t>
      </w:r>
      <w:proofErr w:type="gramEnd"/>
      <w:r w:rsidRPr="00D55152">
        <w:rPr>
          <w:rFonts w:eastAsia="Times New Roman" w:cs="Times New Roman"/>
          <w:szCs w:val="24"/>
          <w:lang w:eastAsia="es-CO"/>
        </w:rPr>
        <w:t>, son los nuevos autorretenedores del impuesto sobre la renta y complementarios.</w:t>
      </w:r>
    </w:p>
    <w:p w14:paraId="409BDDCF" w14:textId="77777777" w:rsidR="00D55152" w:rsidRPr="00D55152" w:rsidRDefault="00D55152" w:rsidP="00043C35">
      <w:pPr>
        <w:adjustRightInd w:val="0"/>
        <w:spacing w:after="0" w:line="360" w:lineRule="auto"/>
        <w:jc w:val="both"/>
        <w:rPr>
          <w:rFonts w:eastAsia="Times New Roman" w:cs="Times New Roman"/>
          <w:szCs w:val="24"/>
          <w:lang w:eastAsia="es-CO"/>
        </w:rPr>
      </w:pPr>
    </w:p>
    <w:p w14:paraId="36993587" w14:textId="77777777" w:rsidR="00D55152" w:rsidRPr="00D55152" w:rsidRDefault="00D55152" w:rsidP="00043C35">
      <w:pPr>
        <w:adjustRightInd w:val="0"/>
        <w:spacing w:after="0" w:line="360" w:lineRule="auto"/>
        <w:jc w:val="both"/>
        <w:rPr>
          <w:rFonts w:eastAsia="Times New Roman" w:cs="Times New Roman"/>
          <w:szCs w:val="24"/>
          <w:lang w:eastAsia="es-CO"/>
        </w:rPr>
      </w:pPr>
      <w:r w:rsidRPr="00D55152">
        <w:rPr>
          <w:rFonts w:eastAsia="Times New Roman" w:cs="Times New Roman"/>
          <w:szCs w:val="24"/>
          <w:lang w:eastAsia="es-CO"/>
        </w:rPr>
        <w:t xml:space="preserve">En consecuencia, nótese que cuando los numerales 1 y 4 del artículo 13 de la Resolución 000042 de 2020, señalan como requisito indicar la calidad del agente retenedor y autorretenedor en el impuesto sobre la renta y complementarios, no se hace distinción entre los tipos de agentes autorretenedores; por lo tanto, acogiendo el principio de interpretación jurídica conforme al cual, si el legislador no distingue no le es dado al interprete hacerlo, deberán informarse dichas calidades respecto de los modelos de </w:t>
      </w:r>
      <w:proofErr w:type="spellStart"/>
      <w:r w:rsidRPr="00D55152">
        <w:rPr>
          <w:rFonts w:eastAsia="Times New Roman" w:cs="Times New Roman"/>
          <w:szCs w:val="24"/>
          <w:lang w:eastAsia="es-CO"/>
        </w:rPr>
        <w:t>autorrentención</w:t>
      </w:r>
      <w:proofErr w:type="spellEnd"/>
      <w:r w:rsidRPr="00D55152">
        <w:rPr>
          <w:rFonts w:eastAsia="Times New Roman" w:cs="Times New Roman"/>
          <w:szCs w:val="24"/>
          <w:lang w:eastAsia="es-CO"/>
        </w:rPr>
        <w:t xml:space="preserve"> y retención previamente referidos.</w:t>
      </w:r>
    </w:p>
    <w:p w14:paraId="2EA74207" w14:textId="77777777" w:rsidR="00D55152" w:rsidRPr="00D55152" w:rsidRDefault="00D55152" w:rsidP="00043C35">
      <w:pPr>
        <w:adjustRightInd w:val="0"/>
        <w:spacing w:after="0" w:line="360" w:lineRule="auto"/>
        <w:jc w:val="both"/>
        <w:rPr>
          <w:rFonts w:eastAsia="Times New Roman" w:cs="Times New Roman"/>
          <w:b/>
          <w:bCs/>
          <w:i/>
          <w:iCs/>
          <w:szCs w:val="24"/>
          <w:lang w:eastAsia="es-CO"/>
        </w:rPr>
      </w:pPr>
    </w:p>
    <w:p w14:paraId="619CD30B" w14:textId="77777777" w:rsidR="00D55152" w:rsidRPr="00D55152" w:rsidRDefault="00D55152" w:rsidP="00043C35">
      <w:pPr>
        <w:adjustRightInd w:val="0"/>
        <w:spacing w:after="0" w:line="360" w:lineRule="auto"/>
        <w:ind w:left="524"/>
        <w:jc w:val="both"/>
        <w:rPr>
          <w:rFonts w:eastAsia="Times New Roman" w:cs="Times New Roman"/>
          <w:szCs w:val="24"/>
          <w:lang w:eastAsia="es-CO"/>
        </w:rPr>
      </w:pPr>
      <w:r w:rsidRPr="00D55152">
        <w:rPr>
          <w:rFonts w:eastAsia="Times New Roman" w:cs="Times New Roman"/>
          <w:b/>
          <w:bCs/>
          <w:i/>
          <w:iCs/>
          <w:szCs w:val="24"/>
          <w:lang w:eastAsia="es-CO"/>
        </w:rPr>
        <w:t xml:space="preserve">5. “Por qué el sistema de la DIAN de autorización de numeración permite obtener para los documentos del artículo 38 prefijos con dígitos inferiores a 4 y por qué </w:t>
      </w:r>
      <w:proofErr w:type="spellStart"/>
      <w:r w:rsidRPr="00D55152">
        <w:rPr>
          <w:rFonts w:eastAsia="Times New Roman" w:cs="Times New Roman"/>
          <w:b/>
          <w:bCs/>
          <w:i/>
          <w:iCs/>
          <w:szCs w:val="24"/>
          <w:lang w:eastAsia="es-CO"/>
        </w:rPr>
        <w:t>exije</w:t>
      </w:r>
      <w:proofErr w:type="spellEnd"/>
      <w:r w:rsidRPr="00D55152">
        <w:rPr>
          <w:rFonts w:eastAsia="Times New Roman" w:cs="Times New Roman"/>
          <w:b/>
          <w:bCs/>
          <w:i/>
          <w:iCs/>
          <w:szCs w:val="24"/>
          <w:lang w:eastAsia="es-CO"/>
        </w:rPr>
        <w:t xml:space="preserve"> PREFIJO para todos los documentos de este artículo si en el artículo 39 dice que el prefijo es para aquellos que tengan más de un establecimiento de comercio, local oficina o sede?”</w:t>
      </w:r>
    </w:p>
    <w:p w14:paraId="5859384B" w14:textId="77777777" w:rsidR="00D55152" w:rsidRPr="00D55152" w:rsidRDefault="00D55152" w:rsidP="00043C35">
      <w:pPr>
        <w:adjustRightInd w:val="0"/>
        <w:spacing w:after="0" w:line="360" w:lineRule="auto"/>
        <w:jc w:val="both"/>
        <w:rPr>
          <w:rFonts w:eastAsia="Times New Roman" w:cs="Times New Roman"/>
          <w:szCs w:val="24"/>
          <w:lang w:eastAsia="es-CO"/>
        </w:rPr>
      </w:pPr>
    </w:p>
    <w:p w14:paraId="71D17347" w14:textId="77777777" w:rsidR="00D55152" w:rsidRPr="00D55152" w:rsidRDefault="00D55152" w:rsidP="00043C35">
      <w:pPr>
        <w:adjustRightInd w:val="0"/>
        <w:spacing w:after="0" w:line="360" w:lineRule="auto"/>
        <w:jc w:val="both"/>
        <w:rPr>
          <w:rFonts w:eastAsia="Times New Roman" w:cs="Times New Roman"/>
          <w:szCs w:val="24"/>
          <w:lang w:eastAsia="es-CO"/>
        </w:rPr>
      </w:pPr>
      <w:r w:rsidRPr="00D55152">
        <w:rPr>
          <w:rFonts w:eastAsia="Times New Roman" w:cs="Times New Roman"/>
          <w:szCs w:val="24"/>
          <w:lang w:eastAsia="es-CO"/>
        </w:rPr>
        <w:t xml:space="preserve">Sobre este asunto se informa que de acuerdo con lo dispuesto en el numeral 2 del artículo 39 de la Resolución 000042 de 2020, la numeración consecutiva corresponde un sistema de numeración consecutiva definido por cada sujeto obligado, en los documentos establecidos en los numerales 1 al 4 del artículo 38 de la citada resolución, el cual está compuesto, entre otros, por: </w:t>
      </w:r>
      <w:r w:rsidRPr="00D55152">
        <w:rPr>
          <w:rFonts w:eastAsia="Times New Roman" w:cs="Times New Roman"/>
          <w:i/>
          <w:iCs/>
          <w:szCs w:val="24"/>
          <w:lang w:eastAsia="es-CO"/>
        </w:rPr>
        <w:t>“2. Prefijo compuesto por cuatro (4) letras, números o su combinación”.</w:t>
      </w:r>
    </w:p>
    <w:p w14:paraId="0B40696D" w14:textId="77777777" w:rsidR="00D55152" w:rsidRPr="00D55152" w:rsidRDefault="00D55152" w:rsidP="00043C35">
      <w:pPr>
        <w:spacing w:after="0" w:line="360" w:lineRule="auto"/>
        <w:jc w:val="both"/>
        <w:rPr>
          <w:rFonts w:eastAsia="Times New Roman" w:cs="Times New Roman"/>
          <w:szCs w:val="24"/>
          <w:lang w:eastAsia="es-CO"/>
        </w:rPr>
      </w:pPr>
    </w:p>
    <w:p w14:paraId="41192D2D" w14:textId="77777777" w:rsidR="00D55152" w:rsidRPr="00D55152" w:rsidRDefault="00D55152" w:rsidP="00043C35">
      <w:pPr>
        <w:spacing w:after="0" w:line="360" w:lineRule="auto"/>
        <w:jc w:val="both"/>
        <w:rPr>
          <w:rFonts w:eastAsia="Times New Roman" w:cs="Times New Roman"/>
          <w:szCs w:val="24"/>
          <w:lang w:eastAsia="es-CO"/>
        </w:rPr>
      </w:pPr>
      <w:r w:rsidRPr="00D55152">
        <w:rPr>
          <w:rFonts w:eastAsia="Times New Roman" w:cs="Times New Roman"/>
          <w:szCs w:val="24"/>
          <w:lang w:eastAsia="es-CO"/>
        </w:rPr>
        <w:t>Adicionalmente, el artículo 39 de la Resolución 000042 de 2020, dispone:</w:t>
      </w:r>
    </w:p>
    <w:p w14:paraId="7DE6E21F" w14:textId="77777777" w:rsidR="00D55152" w:rsidRPr="00D55152" w:rsidRDefault="00D55152" w:rsidP="00043C35">
      <w:pPr>
        <w:adjustRightInd w:val="0"/>
        <w:spacing w:after="0" w:line="360" w:lineRule="auto"/>
        <w:jc w:val="both"/>
        <w:rPr>
          <w:rFonts w:eastAsia="Times New Roman" w:cs="Times New Roman"/>
          <w:i/>
          <w:iCs/>
          <w:szCs w:val="24"/>
          <w:lang w:eastAsia="es-CO"/>
        </w:rPr>
      </w:pPr>
    </w:p>
    <w:p w14:paraId="1D7DCA1B" w14:textId="77777777" w:rsidR="00D55152" w:rsidRPr="00D55152" w:rsidRDefault="00D55152" w:rsidP="00043C35">
      <w:pPr>
        <w:adjustRightInd w:val="0"/>
        <w:spacing w:after="0" w:line="360" w:lineRule="auto"/>
        <w:ind w:left="524"/>
        <w:jc w:val="both"/>
        <w:rPr>
          <w:rFonts w:eastAsia="Times New Roman" w:cs="Times New Roman"/>
          <w:szCs w:val="24"/>
          <w:lang w:eastAsia="es-CO"/>
        </w:rPr>
      </w:pPr>
      <w:r w:rsidRPr="00D55152">
        <w:rPr>
          <w:rFonts w:eastAsia="Times New Roman" w:cs="Times New Roman"/>
          <w:i/>
          <w:iCs/>
          <w:szCs w:val="24"/>
          <w:lang w:eastAsia="es-CO"/>
        </w:rPr>
        <w:t>“Tratándose de prefijos los mismos deberán ser utilizados por los sujetos obligados como mínimo cuando se tenga más de un establecimiento de comercio, sede, oficina, local, punto de venta o lugares donde desarrollen sus actividades económicas en los cuales se expida factura de venta o documento equivalente (…).</w:t>
      </w:r>
    </w:p>
    <w:p w14:paraId="7DBF379C" w14:textId="77777777" w:rsidR="00D55152" w:rsidRPr="00D55152" w:rsidRDefault="00D55152" w:rsidP="00043C35">
      <w:pPr>
        <w:adjustRightInd w:val="0"/>
        <w:spacing w:after="0" w:line="360" w:lineRule="auto"/>
        <w:jc w:val="both"/>
        <w:rPr>
          <w:rFonts w:eastAsia="Times New Roman" w:cs="Times New Roman"/>
          <w:szCs w:val="24"/>
          <w:lang w:eastAsia="es-CO"/>
        </w:rPr>
      </w:pPr>
    </w:p>
    <w:p w14:paraId="2BC558A7" w14:textId="77777777" w:rsidR="00D55152" w:rsidRPr="00D55152" w:rsidRDefault="00D55152" w:rsidP="00043C35">
      <w:pPr>
        <w:adjustRightInd w:val="0"/>
        <w:spacing w:after="0" w:line="360" w:lineRule="auto"/>
        <w:jc w:val="both"/>
        <w:rPr>
          <w:rFonts w:eastAsia="Times New Roman" w:cs="Times New Roman"/>
          <w:sz w:val="36"/>
          <w:szCs w:val="36"/>
          <w:lang w:eastAsia="es-CO"/>
        </w:rPr>
      </w:pPr>
      <w:r w:rsidRPr="00D55152">
        <w:rPr>
          <w:rFonts w:eastAsia="Times New Roman" w:cs="Times New Roman"/>
          <w:sz w:val="36"/>
          <w:szCs w:val="36"/>
          <w:highlight w:val="green"/>
          <w:lang w:eastAsia="es-CO"/>
        </w:rPr>
        <w:lastRenderedPageBreak/>
        <w:t>Por lo cual, cuando los sujetos obligados no tengan más de un establecimiento de comercio, sede, oficina, local, punto de venta o lugares donde desarrollen sus actividades económicas, no deberán utilizar prefijos.</w:t>
      </w:r>
    </w:p>
    <w:p w14:paraId="4CE6D79B" w14:textId="77777777" w:rsidR="00D55152" w:rsidRPr="00D55152" w:rsidRDefault="00D55152" w:rsidP="00043C35">
      <w:pPr>
        <w:adjustRightInd w:val="0"/>
        <w:spacing w:after="0" w:line="360" w:lineRule="auto"/>
        <w:jc w:val="both"/>
        <w:rPr>
          <w:rFonts w:eastAsia="Times New Roman" w:cs="Times New Roman"/>
          <w:szCs w:val="24"/>
          <w:lang w:eastAsia="es-CO"/>
        </w:rPr>
      </w:pPr>
    </w:p>
    <w:p w14:paraId="4EEA4673" w14:textId="77777777" w:rsidR="00D55152" w:rsidRPr="00D55152" w:rsidRDefault="00D55152" w:rsidP="00043C35">
      <w:pPr>
        <w:adjustRightInd w:val="0"/>
        <w:spacing w:after="0" w:line="360" w:lineRule="auto"/>
        <w:jc w:val="both"/>
        <w:rPr>
          <w:rFonts w:eastAsia="Times New Roman" w:cs="Times New Roman"/>
          <w:szCs w:val="24"/>
          <w:lang w:eastAsia="es-CO"/>
        </w:rPr>
      </w:pPr>
      <w:r w:rsidRPr="00D55152">
        <w:rPr>
          <w:rFonts w:eastAsia="Times New Roman" w:cs="Times New Roman"/>
          <w:szCs w:val="24"/>
          <w:lang w:eastAsia="es-CO"/>
        </w:rPr>
        <w:t>Respecto a las inquietudes en relación con el sistema, estas serán remitidas por competencia al Proyecto de Factura Electrónica de la Dirección de Gestión de Ingresos.</w:t>
      </w:r>
    </w:p>
    <w:p w14:paraId="0C9D8E42" w14:textId="77777777" w:rsidR="00D55152" w:rsidRPr="00D55152" w:rsidRDefault="00D55152" w:rsidP="00043C35">
      <w:pPr>
        <w:adjustRightInd w:val="0"/>
        <w:spacing w:after="0" w:line="360" w:lineRule="auto"/>
        <w:jc w:val="both"/>
        <w:rPr>
          <w:rFonts w:eastAsia="Times New Roman" w:cs="Times New Roman"/>
          <w:szCs w:val="24"/>
          <w:lang w:eastAsia="es-CO"/>
        </w:rPr>
      </w:pPr>
    </w:p>
    <w:p w14:paraId="7B9D4666" w14:textId="77777777" w:rsidR="00D55152" w:rsidRPr="00D55152" w:rsidRDefault="00D55152" w:rsidP="00043C35">
      <w:pPr>
        <w:adjustRightInd w:val="0"/>
        <w:spacing w:after="0" w:line="360" w:lineRule="auto"/>
        <w:jc w:val="both"/>
        <w:rPr>
          <w:rFonts w:eastAsia="Times New Roman" w:cs="Times New Roman"/>
          <w:szCs w:val="24"/>
          <w:lang w:eastAsia="es-CO"/>
        </w:rPr>
      </w:pPr>
    </w:p>
    <w:p w14:paraId="5BA2BA7A" w14:textId="77777777" w:rsidR="00D55152" w:rsidRPr="00D55152" w:rsidRDefault="00D55152" w:rsidP="00043C35">
      <w:pPr>
        <w:adjustRightInd w:val="0"/>
        <w:spacing w:after="0" w:line="360" w:lineRule="auto"/>
        <w:jc w:val="both"/>
        <w:rPr>
          <w:rFonts w:eastAsia="Times New Roman" w:cs="Times New Roman"/>
          <w:szCs w:val="24"/>
          <w:lang w:eastAsia="es-CO"/>
        </w:rPr>
      </w:pPr>
      <w:r w:rsidRPr="00D55152">
        <w:rPr>
          <w:rFonts w:eastAsia="Times New Roman" w:cs="Times New Roman"/>
          <w:szCs w:val="24"/>
          <w:lang w:eastAsia="es-CO"/>
        </w:rPr>
        <w:t>Atentamente,</w:t>
      </w:r>
    </w:p>
    <w:p w14:paraId="0CD8CB3E" w14:textId="77777777" w:rsidR="00D55152" w:rsidRPr="00D55152" w:rsidRDefault="00D55152" w:rsidP="00043C35">
      <w:pPr>
        <w:adjustRightInd w:val="0"/>
        <w:spacing w:after="0" w:line="360" w:lineRule="auto"/>
        <w:jc w:val="both"/>
        <w:rPr>
          <w:rFonts w:eastAsia="Times New Roman" w:cs="Times New Roman"/>
          <w:b/>
          <w:bCs/>
          <w:szCs w:val="24"/>
          <w:lang w:eastAsia="es-CO"/>
        </w:rPr>
      </w:pPr>
    </w:p>
    <w:p w14:paraId="73F9B2BB" w14:textId="77777777" w:rsidR="00D55152" w:rsidRPr="00D55152" w:rsidRDefault="00D55152" w:rsidP="00043C35">
      <w:pPr>
        <w:adjustRightInd w:val="0"/>
        <w:spacing w:after="0" w:line="360" w:lineRule="auto"/>
        <w:jc w:val="both"/>
        <w:rPr>
          <w:rFonts w:eastAsia="Times New Roman" w:cs="Times New Roman"/>
          <w:b/>
          <w:bCs/>
          <w:szCs w:val="24"/>
          <w:lang w:eastAsia="es-CO"/>
        </w:rPr>
      </w:pPr>
    </w:p>
    <w:p w14:paraId="4D4AAC64" w14:textId="77777777" w:rsidR="00D55152" w:rsidRPr="00D55152" w:rsidRDefault="00D55152" w:rsidP="00043C35">
      <w:pPr>
        <w:adjustRightInd w:val="0"/>
        <w:spacing w:after="0" w:line="360" w:lineRule="auto"/>
        <w:jc w:val="both"/>
        <w:rPr>
          <w:rFonts w:eastAsia="Times New Roman" w:cs="Times New Roman"/>
          <w:szCs w:val="24"/>
          <w:lang w:eastAsia="es-CO"/>
        </w:rPr>
      </w:pPr>
      <w:r w:rsidRPr="00D55152">
        <w:rPr>
          <w:rFonts w:eastAsia="Times New Roman" w:cs="Times New Roman"/>
          <w:b/>
          <w:bCs/>
          <w:szCs w:val="24"/>
          <w:lang w:eastAsia="es-CO"/>
        </w:rPr>
        <w:t>PABLO EMILIO MENDOZA VELILLA</w:t>
      </w:r>
    </w:p>
    <w:p w14:paraId="44C446EE" w14:textId="77777777" w:rsidR="00D55152" w:rsidRPr="00D55152" w:rsidRDefault="00D55152" w:rsidP="00043C35">
      <w:pPr>
        <w:adjustRightInd w:val="0"/>
        <w:spacing w:after="0" w:line="360" w:lineRule="auto"/>
        <w:jc w:val="both"/>
        <w:rPr>
          <w:rFonts w:eastAsia="Times New Roman" w:cs="Times New Roman"/>
          <w:szCs w:val="24"/>
          <w:lang w:eastAsia="es-CO"/>
        </w:rPr>
      </w:pPr>
      <w:r w:rsidRPr="00D55152">
        <w:rPr>
          <w:rFonts w:eastAsia="Times New Roman" w:cs="Times New Roman"/>
          <w:szCs w:val="24"/>
          <w:lang w:eastAsia="es-CO"/>
        </w:rPr>
        <w:t>Subdirector de Gestión Normativa y Doctrina</w:t>
      </w:r>
    </w:p>
    <w:p w14:paraId="38E1E0B1" w14:textId="77777777" w:rsidR="00D55152" w:rsidRPr="00D55152" w:rsidRDefault="00D55152" w:rsidP="00043C35">
      <w:pPr>
        <w:adjustRightInd w:val="0"/>
        <w:spacing w:after="0" w:line="360" w:lineRule="auto"/>
        <w:jc w:val="both"/>
        <w:rPr>
          <w:rFonts w:eastAsia="Times New Roman" w:cs="Times New Roman"/>
          <w:szCs w:val="24"/>
          <w:lang w:eastAsia="es-CO"/>
        </w:rPr>
      </w:pPr>
      <w:r w:rsidRPr="00D55152">
        <w:rPr>
          <w:rFonts w:eastAsia="Times New Roman" w:cs="Times New Roman"/>
          <w:szCs w:val="24"/>
          <w:lang w:eastAsia="es-CO"/>
        </w:rPr>
        <w:t>Dirección de Gestión Jurídica</w:t>
      </w:r>
    </w:p>
    <w:p w14:paraId="4C75C409" w14:textId="77777777" w:rsidR="00D55152" w:rsidRPr="00D55152" w:rsidRDefault="00D55152" w:rsidP="00043C35">
      <w:pPr>
        <w:spacing w:line="360" w:lineRule="auto"/>
        <w:jc w:val="both"/>
        <w:rPr>
          <w:rFonts w:eastAsia="Times New Roman" w:cs="Times New Roman"/>
          <w:szCs w:val="24"/>
          <w:lang w:eastAsia="es-CO"/>
        </w:rPr>
      </w:pPr>
      <w:r w:rsidRPr="00D55152">
        <w:rPr>
          <w:rFonts w:eastAsia="Times New Roman" w:cs="Times New Roman"/>
          <w:szCs w:val="24"/>
          <w:lang w:eastAsia="es-CO"/>
        </w:rPr>
        <w:t>UAE-DIAN</w:t>
      </w:r>
    </w:p>
    <w:p w14:paraId="54F323B4" w14:textId="77777777" w:rsidR="007F5CC8" w:rsidRPr="00043C35" w:rsidRDefault="007F5CC8" w:rsidP="00043C35">
      <w:pPr>
        <w:spacing w:line="360" w:lineRule="auto"/>
        <w:rPr>
          <w:rFonts w:cs="Times New Roman"/>
          <w:szCs w:val="24"/>
        </w:rPr>
      </w:pPr>
    </w:p>
    <w:sectPr w:rsidR="007F5CC8" w:rsidRPr="00043C3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52"/>
    <w:rsid w:val="00043C35"/>
    <w:rsid w:val="000F3837"/>
    <w:rsid w:val="001E311E"/>
    <w:rsid w:val="00434AE6"/>
    <w:rsid w:val="007F5CC8"/>
    <w:rsid w:val="008779BE"/>
    <w:rsid w:val="00D55152"/>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E830"/>
  <w15:chartTrackingRefBased/>
  <w15:docId w15:val="{05AA4984-7DFB-40D4-8F1B-6E48D2CD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017783">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796</Words>
  <Characters>4382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2021-01-15T19:46:00Z</dcterms:created>
  <dcterms:modified xsi:type="dcterms:W3CDTF">2021-01-15T20:37:00Z</dcterms:modified>
</cp:coreProperties>
</file>