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A8C98" w14:textId="77777777" w:rsidR="00643489" w:rsidRPr="00643489" w:rsidRDefault="00643489" w:rsidP="00643489">
      <w:pPr>
        <w:shd w:val="clear" w:color="auto" w:fill="FFFFFF"/>
        <w:spacing w:after="150" w:line="360" w:lineRule="auto"/>
        <w:jc w:val="center"/>
        <w:rPr>
          <w:rFonts w:eastAsia="Times New Roman" w:cs="Times New Roman"/>
          <w:b/>
          <w:bCs/>
          <w:szCs w:val="24"/>
          <w:lang w:eastAsia="es-CO"/>
        </w:rPr>
      </w:pPr>
      <w:r w:rsidRPr="00643489">
        <w:rPr>
          <w:rFonts w:eastAsia="Times New Roman" w:cs="Times New Roman"/>
          <w:b/>
          <w:bCs/>
          <w:szCs w:val="24"/>
          <w:lang w:eastAsia="es-CO"/>
        </w:rPr>
        <w:t xml:space="preserve">OFICIO </w:t>
      </w:r>
      <w:proofErr w:type="spellStart"/>
      <w:r w:rsidRPr="00643489">
        <w:rPr>
          <w:rFonts w:eastAsia="Times New Roman" w:cs="Times New Roman"/>
          <w:b/>
          <w:bCs/>
          <w:szCs w:val="24"/>
          <w:lang w:eastAsia="es-CO"/>
        </w:rPr>
        <w:t>Nº</w:t>
      </w:r>
      <w:proofErr w:type="spellEnd"/>
      <w:r w:rsidRPr="00643489">
        <w:rPr>
          <w:rFonts w:eastAsia="Times New Roman" w:cs="Times New Roman"/>
          <w:b/>
          <w:bCs/>
          <w:szCs w:val="24"/>
          <w:lang w:eastAsia="es-CO"/>
        </w:rPr>
        <w:t xml:space="preserve"> 907</w:t>
      </w:r>
    </w:p>
    <w:p w14:paraId="72E08DFD" w14:textId="77777777" w:rsidR="00643489" w:rsidRPr="00643489" w:rsidRDefault="00643489" w:rsidP="00643489">
      <w:pPr>
        <w:shd w:val="clear" w:color="auto" w:fill="FFFFFF"/>
        <w:spacing w:after="150" w:line="360" w:lineRule="auto"/>
        <w:jc w:val="center"/>
        <w:rPr>
          <w:rFonts w:eastAsia="Times New Roman" w:cs="Times New Roman"/>
          <w:b/>
          <w:bCs/>
          <w:szCs w:val="24"/>
          <w:lang w:eastAsia="es-CO"/>
        </w:rPr>
      </w:pPr>
      <w:r w:rsidRPr="00643489">
        <w:rPr>
          <w:rFonts w:eastAsia="Times New Roman" w:cs="Times New Roman"/>
          <w:b/>
          <w:bCs/>
          <w:szCs w:val="24"/>
          <w:lang w:eastAsia="es-CO"/>
        </w:rPr>
        <w:t>23-07-2020</w:t>
      </w:r>
    </w:p>
    <w:p w14:paraId="2BB41CE5" w14:textId="77777777" w:rsidR="00643489" w:rsidRPr="00643489" w:rsidRDefault="00643489" w:rsidP="00643489">
      <w:pPr>
        <w:shd w:val="clear" w:color="auto" w:fill="FFFFFF"/>
        <w:spacing w:after="150" w:line="360" w:lineRule="auto"/>
        <w:jc w:val="center"/>
        <w:rPr>
          <w:rFonts w:eastAsia="Times New Roman" w:cs="Times New Roman"/>
          <w:b/>
          <w:bCs/>
          <w:szCs w:val="24"/>
          <w:lang w:eastAsia="es-CO"/>
        </w:rPr>
      </w:pPr>
      <w:r w:rsidRPr="00643489">
        <w:rPr>
          <w:rFonts w:eastAsia="Times New Roman" w:cs="Times New Roman"/>
          <w:b/>
          <w:bCs/>
          <w:szCs w:val="24"/>
          <w:lang w:eastAsia="es-CO"/>
        </w:rPr>
        <w:t>DIAN</w:t>
      </w:r>
    </w:p>
    <w:p w14:paraId="37C54BF1" w14:textId="77777777"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555555"/>
          <w:szCs w:val="24"/>
          <w:lang w:eastAsia="es-CO"/>
        </w:rPr>
        <w:t> </w:t>
      </w:r>
    </w:p>
    <w:p w14:paraId="27499257" w14:textId="293F7C22"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000000"/>
          <w:szCs w:val="24"/>
          <w:lang w:eastAsia="es-CO"/>
        </w:rPr>
        <w:t>Subdirección de Gestión Normativa y Doctrina</w:t>
      </w:r>
    </w:p>
    <w:p w14:paraId="4C7FD0BF" w14:textId="77777777"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000000"/>
          <w:szCs w:val="24"/>
          <w:lang w:eastAsia="es-CO"/>
        </w:rPr>
        <w:t>100208221-907</w:t>
      </w:r>
    </w:p>
    <w:p w14:paraId="398EBF07" w14:textId="40979F0D" w:rsidR="00643489" w:rsidRDefault="00643489" w:rsidP="00643489">
      <w:pPr>
        <w:shd w:val="clear" w:color="auto" w:fill="FFFFFF"/>
        <w:spacing w:after="150" w:line="360" w:lineRule="auto"/>
        <w:jc w:val="both"/>
        <w:rPr>
          <w:rFonts w:eastAsia="Times New Roman" w:cs="Times New Roman"/>
          <w:color w:val="000000"/>
          <w:szCs w:val="24"/>
          <w:lang w:eastAsia="es-CO"/>
        </w:rPr>
      </w:pPr>
      <w:r w:rsidRPr="00643489">
        <w:rPr>
          <w:rFonts w:eastAsia="Times New Roman" w:cs="Times New Roman"/>
          <w:color w:val="000000"/>
          <w:szCs w:val="24"/>
          <w:lang w:eastAsia="es-CO"/>
        </w:rPr>
        <w:t>Bogotá, D.C.</w:t>
      </w:r>
    </w:p>
    <w:p w14:paraId="13BD90C3" w14:textId="77777777" w:rsidR="00643489" w:rsidRDefault="00643489" w:rsidP="00643489">
      <w:pPr>
        <w:shd w:val="clear" w:color="auto" w:fill="FFFFFF"/>
        <w:spacing w:after="150" w:line="360" w:lineRule="auto"/>
        <w:jc w:val="both"/>
        <w:rPr>
          <w:rFonts w:eastAsia="Times New Roman" w:cs="Times New Roman"/>
          <w:color w:val="000000"/>
          <w:szCs w:val="24"/>
          <w:lang w:eastAsia="es-CO"/>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5"/>
        <w:gridCol w:w="285"/>
        <w:gridCol w:w="285"/>
        <w:gridCol w:w="6090"/>
      </w:tblGrid>
      <w:tr w:rsidR="00643489" w:rsidRPr="00643489" w14:paraId="078013E7" w14:textId="77777777" w:rsidTr="00466B1F">
        <w:tc>
          <w:tcPr>
            <w:tcW w:w="1845" w:type="dxa"/>
            <w:shd w:val="clear" w:color="auto" w:fill="FFFFFF"/>
            <w:tcMar>
              <w:top w:w="0" w:type="dxa"/>
              <w:left w:w="105" w:type="dxa"/>
              <w:bottom w:w="0" w:type="dxa"/>
              <w:right w:w="105" w:type="dxa"/>
            </w:tcMar>
            <w:hideMark/>
          </w:tcPr>
          <w:p w14:paraId="39E16A0E" w14:textId="77777777" w:rsidR="00643489" w:rsidRPr="00643489" w:rsidRDefault="00643489" w:rsidP="00643489">
            <w:pPr>
              <w:spacing w:after="0" w:line="360" w:lineRule="auto"/>
              <w:jc w:val="both"/>
              <w:rPr>
                <w:rFonts w:eastAsia="Times New Roman" w:cs="Times New Roman"/>
                <w:color w:val="555555"/>
                <w:szCs w:val="24"/>
                <w:lang w:eastAsia="es-CO"/>
              </w:rPr>
            </w:pPr>
            <w:r w:rsidRPr="00643489">
              <w:rPr>
                <w:rFonts w:eastAsia="Times New Roman" w:cs="Times New Roman"/>
                <w:b/>
                <w:bCs/>
                <w:color w:val="555555"/>
                <w:szCs w:val="24"/>
                <w:lang w:eastAsia="es-CO"/>
              </w:rPr>
              <w:t>Tema:</w:t>
            </w:r>
          </w:p>
        </w:tc>
        <w:tc>
          <w:tcPr>
            <w:tcW w:w="285" w:type="dxa"/>
            <w:shd w:val="clear" w:color="auto" w:fill="FFFFFF"/>
            <w:tcMar>
              <w:top w:w="0" w:type="dxa"/>
              <w:left w:w="105" w:type="dxa"/>
              <w:bottom w:w="0" w:type="dxa"/>
              <w:right w:w="105" w:type="dxa"/>
            </w:tcMar>
            <w:hideMark/>
          </w:tcPr>
          <w:p w14:paraId="17AE6BF0" w14:textId="77777777" w:rsidR="00643489" w:rsidRPr="00643489" w:rsidRDefault="00643489" w:rsidP="00643489">
            <w:pPr>
              <w:spacing w:after="0" w:line="360" w:lineRule="auto"/>
              <w:jc w:val="both"/>
              <w:rPr>
                <w:rFonts w:eastAsia="Times New Roman" w:cs="Times New Roman"/>
                <w:color w:val="555555"/>
                <w:szCs w:val="24"/>
                <w:lang w:eastAsia="es-CO"/>
              </w:rPr>
            </w:pPr>
            <w:r w:rsidRPr="00643489">
              <w:rPr>
                <w:rFonts w:eastAsia="Times New Roman" w:cs="Times New Roman"/>
                <w:color w:val="555555"/>
                <w:szCs w:val="24"/>
                <w:lang w:eastAsia="es-CO"/>
              </w:rPr>
              <w:t> </w:t>
            </w:r>
          </w:p>
        </w:tc>
        <w:tc>
          <w:tcPr>
            <w:tcW w:w="285" w:type="dxa"/>
            <w:shd w:val="clear" w:color="auto" w:fill="FFFFFF"/>
            <w:tcMar>
              <w:top w:w="0" w:type="dxa"/>
              <w:left w:w="105" w:type="dxa"/>
              <w:bottom w:w="0" w:type="dxa"/>
              <w:right w:w="105" w:type="dxa"/>
            </w:tcMar>
            <w:hideMark/>
          </w:tcPr>
          <w:p w14:paraId="196F894B" w14:textId="77777777" w:rsidR="00643489" w:rsidRPr="00643489" w:rsidRDefault="00643489" w:rsidP="00643489">
            <w:pPr>
              <w:spacing w:after="0" w:line="360" w:lineRule="auto"/>
              <w:jc w:val="both"/>
              <w:rPr>
                <w:rFonts w:eastAsia="Times New Roman" w:cs="Times New Roman"/>
                <w:color w:val="555555"/>
                <w:szCs w:val="24"/>
                <w:lang w:eastAsia="es-CO"/>
              </w:rPr>
            </w:pPr>
            <w:r w:rsidRPr="00643489">
              <w:rPr>
                <w:rFonts w:eastAsia="Times New Roman" w:cs="Times New Roman"/>
                <w:color w:val="555555"/>
                <w:szCs w:val="24"/>
                <w:lang w:eastAsia="es-CO"/>
              </w:rPr>
              <w:t> </w:t>
            </w:r>
          </w:p>
        </w:tc>
        <w:tc>
          <w:tcPr>
            <w:tcW w:w="6090" w:type="dxa"/>
            <w:shd w:val="clear" w:color="auto" w:fill="FFFFFF"/>
            <w:tcMar>
              <w:top w:w="0" w:type="dxa"/>
              <w:left w:w="105" w:type="dxa"/>
              <w:bottom w:w="0" w:type="dxa"/>
              <w:right w:w="105" w:type="dxa"/>
            </w:tcMar>
            <w:hideMark/>
          </w:tcPr>
          <w:p w14:paraId="66F2B113" w14:textId="77777777" w:rsidR="00643489" w:rsidRPr="00643489" w:rsidRDefault="00643489" w:rsidP="00643489">
            <w:pPr>
              <w:spacing w:after="0" w:line="360" w:lineRule="auto"/>
              <w:jc w:val="both"/>
              <w:rPr>
                <w:rFonts w:eastAsia="Times New Roman" w:cs="Times New Roman"/>
                <w:color w:val="555555"/>
                <w:szCs w:val="24"/>
                <w:lang w:eastAsia="es-CO"/>
              </w:rPr>
            </w:pPr>
            <w:r w:rsidRPr="00643489">
              <w:rPr>
                <w:rFonts w:eastAsia="Times New Roman" w:cs="Times New Roman"/>
                <w:color w:val="555555"/>
                <w:szCs w:val="24"/>
                <w:lang w:eastAsia="es-CO"/>
              </w:rPr>
              <w:t>Factura Electrónica</w:t>
            </w:r>
          </w:p>
        </w:tc>
      </w:tr>
      <w:tr w:rsidR="00643489" w:rsidRPr="00643489" w14:paraId="73438DBC" w14:textId="77777777" w:rsidTr="00466B1F">
        <w:tc>
          <w:tcPr>
            <w:tcW w:w="1845" w:type="dxa"/>
            <w:shd w:val="clear" w:color="auto" w:fill="FFFFFF"/>
            <w:tcMar>
              <w:top w:w="0" w:type="dxa"/>
              <w:left w:w="105" w:type="dxa"/>
              <w:bottom w:w="0" w:type="dxa"/>
              <w:right w:w="105" w:type="dxa"/>
            </w:tcMar>
            <w:hideMark/>
          </w:tcPr>
          <w:p w14:paraId="57882AE8" w14:textId="77777777" w:rsidR="00643489" w:rsidRPr="00643489" w:rsidRDefault="00643489" w:rsidP="00643489">
            <w:pPr>
              <w:spacing w:after="0" w:line="360" w:lineRule="auto"/>
              <w:jc w:val="both"/>
              <w:rPr>
                <w:rFonts w:eastAsia="Times New Roman" w:cs="Times New Roman"/>
                <w:color w:val="555555"/>
                <w:szCs w:val="24"/>
                <w:lang w:eastAsia="es-CO"/>
              </w:rPr>
            </w:pPr>
            <w:r w:rsidRPr="00643489">
              <w:rPr>
                <w:rFonts w:eastAsia="Times New Roman" w:cs="Times New Roman"/>
                <w:b/>
                <w:bCs/>
                <w:color w:val="555555"/>
                <w:szCs w:val="24"/>
                <w:lang w:eastAsia="es-CO"/>
              </w:rPr>
              <w:t>Descriptor:</w:t>
            </w:r>
          </w:p>
        </w:tc>
        <w:tc>
          <w:tcPr>
            <w:tcW w:w="285" w:type="dxa"/>
            <w:shd w:val="clear" w:color="auto" w:fill="FFFFFF"/>
            <w:tcMar>
              <w:top w:w="0" w:type="dxa"/>
              <w:left w:w="105" w:type="dxa"/>
              <w:bottom w:w="0" w:type="dxa"/>
              <w:right w:w="105" w:type="dxa"/>
            </w:tcMar>
            <w:hideMark/>
          </w:tcPr>
          <w:p w14:paraId="1DE2E3A5" w14:textId="77777777" w:rsidR="00643489" w:rsidRPr="00643489" w:rsidRDefault="00643489" w:rsidP="00643489">
            <w:pPr>
              <w:spacing w:after="0" w:line="360" w:lineRule="auto"/>
              <w:jc w:val="both"/>
              <w:rPr>
                <w:rFonts w:eastAsia="Times New Roman" w:cs="Times New Roman"/>
                <w:color w:val="555555"/>
                <w:szCs w:val="24"/>
                <w:lang w:eastAsia="es-CO"/>
              </w:rPr>
            </w:pPr>
            <w:r w:rsidRPr="00643489">
              <w:rPr>
                <w:rFonts w:eastAsia="Times New Roman" w:cs="Times New Roman"/>
                <w:color w:val="555555"/>
                <w:szCs w:val="24"/>
                <w:lang w:eastAsia="es-CO"/>
              </w:rPr>
              <w:t> </w:t>
            </w:r>
          </w:p>
        </w:tc>
        <w:tc>
          <w:tcPr>
            <w:tcW w:w="285" w:type="dxa"/>
            <w:shd w:val="clear" w:color="auto" w:fill="FFFFFF"/>
            <w:tcMar>
              <w:top w:w="0" w:type="dxa"/>
              <w:left w:w="105" w:type="dxa"/>
              <w:bottom w:w="0" w:type="dxa"/>
              <w:right w:w="105" w:type="dxa"/>
            </w:tcMar>
            <w:hideMark/>
          </w:tcPr>
          <w:p w14:paraId="2443F0DB" w14:textId="77777777" w:rsidR="00643489" w:rsidRPr="00643489" w:rsidRDefault="00643489" w:rsidP="00643489">
            <w:pPr>
              <w:spacing w:after="0" w:line="360" w:lineRule="auto"/>
              <w:jc w:val="both"/>
              <w:rPr>
                <w:rFonts w:eastAsia="Times New Roman" w:cs="Times New Roman"/>
                <w:color w:val="555555"/>
                <w:szCs w:val="24"/>
                <w:lang w:eastAsia="es-CO"/>
              </w:rPr>
            </w:pPr>
            <w:r w:rsidRPr="00643489">
              <w:rPr>
                <w:rFonts w:eastAsia="Times New Roman" w:cs="Times New Roman"/>
                <w:color w:val="555555"/>
                <w:szCs w:val="24"/>
                <w:lang w:eastAsia="es-CO"/>
              </w:rPr>
              <w:t> </w:t>
            </w:r>
          </w:p>
        </w:tc>
        <w:tc>
          <w:tcPr>
            <w:tcW w:w="6090" w:type="dxa"/>
            <w:shd w:val="clear" w:color="auto" w:fill="FFFFFF"/>
            <w:tcMar>
              <w:top w:w="0" w:type="dxa"/>
              <w:left w:w="105" w:type="dxa"/>
              <w:bottom w:w="0" w:type="dxa"/>
              <w:right w:w="105" w:type="dxa"/>
            </w:tcMar>
            <w:hideMark/>
          </w:tcPr>
          <w:p w14:paraId="5D7BD913" w14:textId="77777777" w:rsidR="00643489" w:rsidRPr="00643489" w:rsidRDefault="00643489" w:rsidP="00643489">
            <w:pPr>
              <w:spacing w:after="0" w:line="360" w:lineRule="auto"/>
              <w:jc w:val="both"/>
              <w:rPr>
                <w:rFonts w:eastAsia="Times New Roman" w:cs="Times New Roman"/>
                <w:color w:val="555555"/>
                <w:szCs w:val="24"/>
                <w:lang w:eastAsia="es-CO"/>
              </w:rPr>
            </w:pPr>
            <w:r w:rsidRPr="00643489">
              <w:rPr>
                <w:rFonts w:eastAsia="Times New Roman" w:cs="Times New Roman"/>
                <w:color w:val="555555"/>
                <w:szCs w:val="24"/>
                <w:lang w:eastAsia="es-CO"/>
              </w:rPr>
              <w:t>Obligación de expedir factura</w:t>
            </w:r>
          </w:p>
        </w:tc>
      </w:tr>
      <w:tr w:rsidR="00643489" w:rsidRPr="00643489" w14:paraId="53FAECF9" w14:textId="77777777" w:rsidTr="00466B1F">
        <w:tc>
          <w:tcPr>
            <w:tcW w:w="1845" w:type="dxa"/>
            <w:shd w:val="clear" w:color="auto" w:fill="FFFFFF"/>
            <w:tcMar>
              <w:top w:w="0" w:type="dxa"/>
              <w:left w:w="105" w:type="dxa"/>
              <w:bottom w:w="0" w:type="dxa"/>
              <w:right w:w="105" w:type="dxa"/>
            </w:tcMar>
            <w:hideMark/>
          </w:tcPr>
          <w:p w14:paraId="01A14B5A" w14:textId="77777777" w:rsidR="00643489" w:rsidRPr="00643489" w:rsidRDefault="00643489" w:rsidP="00643489">
            <w:pPr>
              <w:spacing w:after="0" w:line="360" w:lineRule="auto"/>
              <w:jc w:val="both"/>
              <w:rPr>
                <w:rFonts w:eastAsia="Times New Roman" w:cs="Times New Roman"/>
                <w:color w:val="555555"/>
                <w:szCs w:val="24"/>
                <w:lang w:eastAsia="es-CO"/>
              </w:rPr>
            </w:pPr>
            <w:r w:rsidRPr="00643489">
              <w:rPr>
                <w:rFonts w:eastAsia="Times New Roman" w:cs="Times New Roman"/>
                <w:b/>
                <w:bCs/>
                <w:color w:val="555555"/>
                <w:szCs w:val="24"/>
                <w:lang w:eastAsia="es-CO"/>
              </w:rPr>
              <w:t>Fuentes formales:</w:t>
            </w:r>
          </w:p>
        </w:tc>
        <w:tc>
          <w:tcPr>
            <w:tcW w:w="285" w:type="dxa"/>
            <w:shd w:val="clear" w:color="auto" w:fill="FFFFFF"/>
            <w:tcMar>
              <w:top w:w="0" w:type="dxa"/>
              <w:left w:w="105" w:type="dxa"/>
              <w:bottom w:w="0" w:type="dxa"/>
              <w:right w:w="105" w:type="dxa"/>
            </w:tcMar>
            <w:hideMark/>
          </w:tcPr>
          <w:p w14:paraId="23D47E75" w14:textId="77777777" w:rsidR="00643489" w:rsidRPr="00643489" w:rsidRDefault="00643489" w:rsidP="00643489">
            <w:pPr>
              <w:spacing w:after="0" w:line="360" w:lineRule="auto"/>
              <w:jc w:val="both"/>
              <w:rPr>
                <w:rFonts w:eastAsia="Times New Roman" w:cs="Times New Roman"/>
                <w:color w:val="555555"/>
                <w:szCs w:val="24"/>
                <w:lang w:eastAsia="es-CO"/>
              </w:rPr>
            </w:pPr>
            <w:r w:rsidRPr="00643489">
              <w:rPr>
                <w:rFonts w:eastAsia="Times New Roman" w:cs="Times New Roman"/>
                <w:color w:val="555555"/>
                <w:szCs w:val="24"/>
                <w:lang w:eastAsia="es-CO"/>
              </w:rPr>
              <w:t> </w:t>
            </w:r>
          </w:p>
        </w:tc>
        <w:tc>
          <w:tcPr>
            <w:tcW w:w="285" w:type="dxa"/>
            <w:shd w:val="clear" w:color="auto" w:fill="FFFFFF"/>
            <w:tcMar>
              <w:top w:w="0" w:type="dxa"/>
              <w:left w:w="105" w:type="dxa"/>
              <w:bottom w:w="0" w:type="dxa"/>
              <w:right w:w="105" w:type="dxa"/>
            </w:tcMar>
            <w:hideMark/>
          </w:tcPr>
          <w:p w14:paraId="2A042247" w14:textId="77777777" w:rsidR="00643489" w:rsidRPr="00643489" w:rsidRDefault="00643489" w:rsidP="00643489">
            <w:pPr>
              <w:spacing w:after="0" w:line="360" w:lineRule="auto"/>
              <w:jc w:val="both"/>
              <w:rPr>
                <w:rFonts w:eastAsia="Times New Roman" w:cs="Times New Roman"/>
                <w:color w:val="555555"/>
                <w:szCs w:val="24"/>
                <w:lang w:eastAsia="es-CO"/>
              </w:rPr>
            </w:pPr>
            <w:r w:rsidRPr="00643489">
              <w:rPr>
                <w:rFonts w:eastAsia="Times New Roman" w:cs="Times New Roman"/>
                <w:color w:val="555555"/>
                <w:szCs w:val="24"/>
                <w:lang w:eastAsia="es-CO"/>
              </w:rPr>
              <w:t> </w:t>
            </w:r>
          </w:p>
        </w:tc>
        <w:tc>
          <w:tcPr>
            <w:tcW w:w="6090" w:type="dxa"/>
            <w:shd w:val="clear" w:color="auto" w:fill="FFFFFF"/>
            <w:tcMar>
              <w:top w:w="0" w:type="dxa"/>
              <w:left w:w="105" w:type="dxa"/>
              <w:bottom w:w="0" w:type="dxa"/>
              <w:right w:w="105" w:type="dxa"/>
            </w:tcMar>
            <w:hideMark/>
          </w:tcPr>
          <w:p w14:paraId="7BA3BF9D" w14:textId="77777777" w:rsidR="00643489" w:rsidRPr="00643489" w:rsidRDefault="00643489" w:rsidP="00643489">
            <w:pPr>
              <w:spacing w:after="0" w:line="360" w:lineRule="auto"/>
              <w:jc w:val="both"/>
              <w:rPr>
                <w:rFonts w:eastAsia="Times New Roman" w:cs="Times New Roman"/>
                <w:color w:val="555555"/>
                <w:szCs w:val="24"/>
                <w:lang w:eastAsia="es-CO"/>
              </w:rPr>
            </w:pPr>
            <w:r w:rsidRPr="00643489">
              <w:rPr>
                <w:rFonts w:eastAsia="Times New Roman" w:cs="Times New Roman"/>
                <w:color w:val="555555"/>
                <w:szCs w:val="24"/>
                <w:lang w:eastAsia="es-CO"/>
              </w:rPr>
              <w:t>Artículos 615, 616-1 y 616-2 del Estatuto Tributario. Artículo 20 de la Resolución 000042 de 2020.</w:t>
            </w:r>
          </w:p>
        </w:tc>
      </w:tr>
    </w:tbl>
    <w:p w14:paraId="038BCBD3" w14:textId="77777777" w:rsidR="00643489" w:rsidRDefault="00643489" w:rsidP="00643489">
      <w:pPr>
        <w:shd w:val="clear" w:color="auto" w:fill="FFFFFF"/>
        <w:spacing w:after="0" w:line="360" w:lineRule="auto"/>
        <w:jc w:val="both"/>
        <w:rPr>
          <w:rFonts w:eastAsia="Times New Roman" w:cs="Times New Roman"/>
          <w:color w:val="555555"/>
          <w:szCs w:val="24"/>
          <w:lang w:eastAsia="es-CO"/>
        </w:rPr>
      </w:pPr>
      <w:r w:rsidRPr="00643489">
        <w:rPr>
          <w:rFonts w:eastAsia="Times New Roman" w:cs="Times New Roman"/>
          <w:color w:val="555555"/>
          <w:szCs w:val="24"/>
          <w:lang w:eastAsia="es-CO"/>
        </w:rPr>
        <w:t> </w:t>
      </w:r>
    </w:p>
    <w:p w14:paraId="6E34EB33" w14:textId="26E6E92B" w:rsidR="00643489" w:rsidRPr="00643489" w:rsidRDefault="00643489" w:rsidP="00643489">
      <w:pPr>
        <w:shd w:val="clear" w:color="auto" w:fill="FFFFFF"/>
        <w:spacing w:after="0" w:line="360" w:lineRule="auto"/>
        <w:jc w:val="both"/>
        <w:rPr>
          <w:rFonts w:eastAsia="Times New Roman" w:cs="Times New Roman"/>
          <w:color w:val="555555"/>
          <w:szCs w:val="24"/>
          <w:lang w:eastAsia="es-CO"/>
        </w:rPr>
      </w:pPr>
      <w:r w:rsidRPr="00643489">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B6A5704" w14:textId="3E1EA09A"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000000"/>
          <w:szCs w:val="24"/>
          <w:lang w:eastAsia="es-CO"/>
        </w:rPr>
        <w:t>Mediante el radicado de la referencia, la peticionaria consulta acerca de la obligación de facturar, planteando una serie de preguntas, las cuales se responderán en el orden en que fueron propuestas así:</w:t>
      </w:r>
    </w:p>
    <w:p w14:paraId="699934F4" w14:textId="77777777" w:rsidR="00643489" w:rsidRPr="00643489" w:rsidRDefault="00643489" w:rsidP="00643489">
      <w:pPr>
        <w:shd w:val="clear" w:color="auto" w:fill="FFFFFF"/>
        <w:spacing w:after="150" w:line="360" w:lineRule="auto"/>
        <w:ind w:left="285"/>
        <w:jc w:val="both"/>
        <w:rPr>
          <w:rFonts w:eastAsia="Times New Roman" w:cs="Times New Roman"/>
          <w:color w:val="555555"/>
          <w:szCs w:val="24"/>
          <w:lang w:eastAsia="es-CO"/>
        </w:rPr>
      </w:pPr>
      <w:r w:rsidRPr="00643489">
        <w:rPr>
          <w:rFonts w:eastAsia="Times New Roman" w:cs="Times New Roman"/>
          <w:b/>
          <w:bCs/>
          <w:color w:val="000000"/>
          <w:szCs w:val="24"/>
          <w:lang w:eastAsia="es-CO"/>
        </w:rPr>
        <w:t>1. ¿Las personas que realizan profesiones liberales que menciona la Res. 000042 como obligados, son responsables solo si cumplen con más de los 3500 UVT de ingresos? O ¿solo por desarrollar profesiones liberales deben iniciar de acuerdo con el calendario 1 de la Res. 000042?</w:t>
      </w:r>
    </w:p>
    <w:p w14:paraId="25737437" w14:textId="0BD16961"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000000"/>
          <w:szCs w:val="24"/>
          <w:lang w:eastAsia="es-CO"/>
        </w:rPr>
        <w:t>Sobre este asunto, tal como se ha expresado en diversa doctrina emitida por esta entidad, como el oficio No. 0004381 de 2020</w:t>
      </w:r>
      <w:r w:rsidRPr="00643489">
        <w:rPr>
          <w:rFonts w:eastAsia="Times New Roman" w:cs="Times New Roman"/>
          <w:i/>
          <w:iCs/>
          <w:color w:val="000000"/>
          <w:szCs w:val="24"/>
          <w:lang w:eastAsia="es-CO"/>
        </w:rPr>
        <w:t>: “La obligación de emitir factura o documento equivalente opera para las operaciones de venta y prestación servicios, así lo disponen los artículos 615 y 616-1 del Estatuto Tributario. Existiendo como excepciones legales para el cumplimiento de este deber, las dispuestas en el artículo 616-2 </w:t>
      </w:r>
      <w:proofErr w:type="spellStart"/>
      <w:r w:rsidRPr="00643489">
        <w:rPr>
          <w:rFonts w:eastAsia="Times New Roman" w:cs="Times New Roman"/>
          <w:i/>
          <w:iCs/>
          <w:color w:val="000000"/>
          <w:szCs w:val="24"/>
          <w:lang w:eastAsia="es-CO"/>
        </w:rPr>
        <w:t>ibídem</w:t>
      </w:r>
      <w:proofErr w:type="spellEnd"/>
      <w:r w:rsidRPr="00643489">
        <w:rPr>
          <w:rFonts w:eastAsia="Times New Roman" w:cs="Times New Roman"/>
          <w:i/>
          <w:iCs/>
          <w:color w:val="000000"/>
          <w:szCs w:val="24"/>
          <w:lang w:eastAsia="es-CO"/>
        </w:rPr>
        <w:t>, en el cual se expresan las operaciones que no requieren la expedición de factura (…)”.</w:t>
      </w:r>
    </w:p>
    <w:p w14:paraId="593E2D95" w14:textId="77777777"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555555"/>
          <w:szCs w:val="24"/>
          <w:lang w:eastAsia="es-CO"/>
        </w:rPr>
        <w:t> </w:t>
      </w:r>
    </w:p>
    <w:p w14:paraId="41679188" w14:textId="77777777"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000000"/>
          <w:szCs w:val="24"/>
          <w:lang w:eastAsia="es-CO"/>
        </w:rPr>
        <w:t>Así, de acuerdo con lo dispuesto en el artículo 616-2 del Estatuto Tributario y el 1.6.1.4.3 del Decreto 1625 de 2016, dentro de los sujetos no obligados a facturar se encuentran: </w:t>
      </w:r>
      <w:r w:rsidRPr="0006328A">
        <w:rPr>
          <w:rFonts w:eastAsia="Times New Roman" w:cs="Times New Roman"/>
          <w:i/>
          <w:iCs/>
          <w:color w:val="000000"/>
          <w:szCs w:val="24"/>
          <w:highlight w:val="yellow"/>
          <w:lang w:eastAsia="es-CO"/>
        </w:rPr>
        <w:t xml:space="preserve">“Las personas </w:t>
      </w:r>
      <w:r w:rsidRPr="0006328A">
        <w:rPr>
          <w:rFonts w:eastAsia="Times New Roman" w:cs="Times New Roman"/>
          <w:i/>
          <w:iCs/>
          <w:color w:val="000000"/>
          <w:szCs w:val="24"/>
          <w:highlight w:val="yellow"/>
          <w:lang w:eastAsia="es-CO"/>
        </w:rPr>
        <w:lastRenderedPageBreak/>
        <w:t>naturales de que tratan los parágrafos 3° y 5° del artículo 437 del Estatuto Tributario, siempre que cumplan la totalidad de las condiciones establecidas en la citada disposición, como no responsable del impuesto sobre las ventas (IVA)”.</w:t>
      </w:r>
    </w:p>
    <w:p w14:paraId="2E14CB09" w14:textId="50FF2BE1" w:rsidR="00643489" w:rsidRPr="0006328A" w:rsidRDefault="00643489" w:rsidP="00643489">
      <w:pPr>
        <w:shd w:val="clear" w:color="auto" w:fill="FFFFFF"/>
        <w:spacing w:after="150" w:line="360" w:lineRule="auto"/>
        <w:jc w:val="both"/>
        <w:rPr>
          <w:rFonts w:eastAsia="Times New Roman" w:cs="Times New Roman"/>
          <w:color w:val="555555"/>
          <w:sz w:val="36"/>
          <w:szCs w:val="36"/>
          <w:lang w:eastAsia="es-CO"/>
        </w:rPr>
      </w:pPr>
      <w:r w:rsidRPr="0006328A">
        <w:rPr>
          <w:rFonts w:eastAsia="Times New Roman" w:cs="Times New Roman"/>
          <w:color w:val="000000"/>
          <w:sz w:val="36"/>
          <w:szCs w:val="36"/>
          <w:highlight w:val="green"/>
          <w:lang w:eastAsia="es-CO"/>
        </w:rPr>
        <w:t>En consecuencia, tratándose de personas naturales no responsables del impuesto sobre las ventas -IVA, las mismas aun cuando vendan bienes o presten servicios, no serán consideradas obligados a expedir factura de venta o documento equivalente.</w:t>
      </w:r>
    </w:p>
    <w:p w14:paraId="0634E269" w14:textId="684334EC" w:rsidR="00643489" w:rsidRPr="00643489" w:rsidRDefault="00643489" w:rsidP="00643489">
      <w:pPr>
        <w:shd w:val="clear" w:color="auto" w:fill="FFFFFF"/>
        <w:spacing w:after="150" w:line="360" w:lineRule="auto"/>
        <w:ind w:left="285"/>
        <w:jc w:val="both"/>
        <w:rPr>
          <w:rFonts w:eastAsia="Times New Roman" w:cs="Times New Roman"/>
          <w:color w:val="555555"/>
          <w:szCs w:val="24"/>
          <w:lang w:eastAsia="es-CO"/>
        </w:rPr>
      </w:pPr>
      <w:r w:rsidRPr="00643489">
        <w:rPr>
          <w:rFonts w:eastAsia="Times New Roman" w:cs="Times New Roman"/>
          <w:b/>
          <w:bCs/>
          <w:color w:val="000000"/>
          <w:szCs w:val="24"/>
          <w:lang w:eastAsia="es-CO"/>
        </w:rPr>
        <w:t>2. En el caso de los médicos que ejercen una actividad excluida, ¿les toca empezar a expedir factura electrónica de venta de acuerdo con el calendario 1 o calendario 2 de la Resolución 000042?</w:t>
      </w:r>
      <w:r w:rsidRPr="00643489">
        <w:rPr>
          <w:rFonts w:eastAsia="Times New Roman" w:cs="Times New Roman"/>
          <w:color w:val="555555"/>
          <w:szCs w:val="24"/>
          <w:lang w:eastAsia="es-CO"/>
        </w:rPr>
        <w:t> </w:t>
      </w:r>
    </w:p>
    <w:p w14:paraId="35B9E5C7" w14:textId="755227EF"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000000"/>
          <w:szCs w:val="24"/>
          <w:lang w:eastAsia="es-CO"/>
        </w:rPr>
        <w:t>Sobre el asunto, por favor remitirse a la respuesta del punto anterior.</w:t>
      </w:r>
      <w:r w:rsidRPr="00643489">
        <w:rPr>
          <w:rFonts w:eastAsia="Times New Roman" w:cs="Times New Roman"/>
          <w:color w:val="555555"/>
          <w:szCs w:val="24"/>
          <w:lang w:eastAsia="es-CO"/>
        </w:rPr>
        <w:t> </w:t>
      </w:r>
    </w:p>
    <w:p w14:paraId="17D26B02" w14:textId="6BD2F2BC" w:rsidR="00643489" w:rsidRPr="00643489" w:rsidRDefault="00643489" w:rsidP="00643489">
      <w:pPr>
        <w:shd w:val="clear" w:color="auto" w:fill="FFFFFF"/>
        <w:spacing w:after="150" w:line="360" w:lineRule="auto"/>
        <w:ind w:left="285"/>
        <w:jc w:val="both"/>
        <w:rPr>
          <w:rFonts w:eastAsia="Times New Roman" w:cs="Times New Roman"/>
          <w:color w:val="555555"/>
          <w:szCs w:val="24"/>
          <w:lang w:eastAsia="es-CO"/>
        </w:rPr>
      </w:pPr>
      <w:r w:rsidRPr="00643489">
        <w:rPr>
          <w:rFonts w:eastAsia="Times New Roman" w:cs="Times New Roman"/>
          <w:b/>
          <w:bCs/>
          <w:color w:val="000000"/>
          <w:szCs w:val="24"/>
          <w:lang w:eastAsia="es-CO"/>
        </w:rPr>
        <w:t>3. Las personas naturales o jurídicas que a la luz de la Resolución 000064 habían empezado a facturar por contingencia porque no tenían listo su sistema para facturar electrónicamente y que ahora van a iniciar de acuerdo con el calendario de la Resolución 000042, ¿deberán transmitir a la Dian esas facturas de talonario por contingencia?</w:t>
      </w:r>
      <w:r w:rsidRPr="00643489">
        <w:rPr>
          <w:rFonts w:eastAsia="Times New Roman" w:cs="Times New Roman"/>
          <w:color w:val="555555"/>
          <w:szCs w:val="24"/>
          <w:lang w:eastAsia="es-CO"/>
        </w:rPr>
        <w:t> </w:t>
      </w:r>
    </w:p>
    <w:p w14:paraId="40E589D6" w14:textId="04AE2EE1"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000000"/>
          <w:szCs w:val="24"/>
          <w:lang w:eastAsia="es-CO"/>
        </w:rPr>
        <w:t>Al respecto, se informa que esta entidad con oficio No. 903007 del 08 de julio de 2020 se pronunció sobre este mismo asunto, el cual se adjunta para mayor conocimiento.</w:t>
      </w:r>
    </w:p>
    <w:p w14:paraId="4663996C" w14:textId="2949105B" w:rsidR="00643489" w:rsidRPr="00643489" w:rsidRDefault="00643489" w:rsidP="00643489">
      <w:pPr>
        <w:shd w:val="clear" w:color="auto" w:fill="FFFFFF"/>
        <w:spacing w:after="150" w:line="360" w:lineRule="auto"/>
        <w:ind w:left="285"/>
        <w:jc w:val="both"/>
        <w:rPr>
          <w:rFonts w:eastAsia="Times New Roman" w:cs="Times New Roman"/>
          <w:color w:val="555555"/>
          <w:szCs w:val="24"/>
          <w:lang w:eastAsia="es-CO"/>
        </w:rPr>
      </w:pPr>
      <w:r w:rsidRPr="00643489">
        <w:rPr>
          <w:rFonts w:eastAsia="Times New Roman" w:cs="Times New Roman"/>
          <w:b/>
          <w:bCs/>
          <w:color w:val="000000"/>
          <w:szCs w:val="24"/>
          <w:lang w:eastAsia="es-CO"/>
        </w:rPr>
        <w:t>4. El pequeño comerciante que tenía máquina registradora y no está en condición de adquirir un software, ¿puede sumar sus ventas diarias y hacer una factura electrónica diaria al 222222222222?</w:t>
      </w:r>
      <w:r w:rsidRPr="00643489">
        <w:rPr>
          <w:rFonts w:eastAsia="Times New Roman" w:cs="Times New Roman"/>
          <w:color w:val="555555"/>
          <w:szCs w:val="24"/>
          <w:lang w:eastAsia="es-CO"/>
        </w:rPr>
        <w:t> </w:t>
      </w:r>
    </w:p>
    <w:p w14:paraId="76019DEC" w14:textId="77777777"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000000"/>
          <w:szCs w:val="24"/>
          <w:lang w:eastAsia="es-CO"/>
        </w:rPr>
        <w:t>Acerca de la obligación de facturar, se precisa que la misma recae sobre cada una de las operaciones de venta o prestación de servicios efectuadas, tal como lo disponen los artículos 615 y 616-1 del Estatuto Tributario. Por lo cual, la factura de venta debe expedirse por cada operación efectuada.</w:t>
      </w:r>
    </w:p>
    <w:p w14:paraId="216DDD03" w14:textId="730549BF"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555555"/>
          <w:szCs w:val="24"/>
          <w:lang w:eastAsia="es-CO"/>
        </w:rPr>
        <w:t> </w:t>
      </w:r>
      <w:r w:rsidRPr="00643489">
        <w:rPr>
          <w:rFonts w:eastAsia="Times New Roman" w:cs="Times New Roman"/>
          <w:color w:val="000000"/>
          <w:szCs w:val="24"/>
          <w:lang w:eastAsia="es-CO"/>
        </w:rPr>
        <w:t xml:space="preserve">Ahora bien, es necesario precisar que la obligación de facturar se suple con los sistemas de facturación vigentes, siendo ellos: i) la factura de venta y </w:t>
      </w:r>
      <w:proofErr w:type="spellStart"/>
      <w:r w:rsidRPr="00643489">
        <w:rPr>
          <w:rFonts w:eastAsia="Times New Roman" w:cs="Times New Roman"/>
          <w:color w:val="000000"/>
          <w:szCs w:val="24"/>
          <w:lang w:eastAsia="es-CO"/>
        </w:rPr>
        <w:t>ii</w:t>
      </w:r>
      <w:proofErr w:type="spellEnd"/>
      <w:r w:rsidRPr="00643489">
        <w:rPr>
          <w:rFonts w:eastAsia="Times New Roman" w:cs="Times New Roman"/>
          <w:color w:val="000000"/>
          <w:szCs w:val="24"/>
          <w:lang w:eastAsia="es-CO"/>
        </w:rPr>
        <w:t>) los documentos equivalentes. Dentro de estos últimos se encuentra el tiquete de máquina registradora POS, el cual está vigente y es soporte de costos gastos e impuesto descontables hasta el 01 de noviembre de 2020, de conformidad con lo dispuesto en el artículo 1.6.1.4.26 del Decreto 1625 de 2016.</w:t>
      </w:r>
    </w:p>
    <w:p w14:paraId="24DE5279" w14:textId="2CEB2AA9"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555555"/>
          <w:szCs w:val="24"/>
          <w:lang w:eastAsia="es-CO"/>
        </w:rPr>
        <w:t> </w:t>
      </w:r>
      <w:r w:rsidRPr="00643489">
        <w:rPr>
          <w:rFonts w:eastAsia="Times New Roman" w:cs="Times New Roman"/>
          <w:color w:val="000000"/>
          <w:szCs w:val="24"/>
          <w:lang w:eastAsia="es-CO"/>
        </w:rPr>
        <w:t>Posterior a la citada fecha, el mismo seguirá siendo un documento equivalente válido, pero no será soporte de costos gastos e impuesto descontables, debiendo el facturador expedir factura electrónica de venta cuando el adquiriente lo exija, tal como lo expresa el numeral 1 del artículo 1.6.1.4.6 del Decreto 1625 de 2016 al disponer:</w:t>
      </w:r>
    </w:p>
    <w:p w14:paraId="000EBAC9" w14:textId="77777777"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555555"/>
          <w:szCs w:val="24"/>
          <w:lang w:eastAsia="es-CO"/>
        </w:rPr>
        <w:t> </w:t>
      </w:r>
    </w:p>
    <w:p w14:paraId="063AA820" w14:textId="54D05C0D" w:rsidR="00643489" w:rsidRPr="00643489" w:rsidRDefault="00643489" w:rsidP="00643489">
      <w:pPr>
        <w:shd w:val="clear" w:color="auto" w:fill="FFFFFF"/>
        <w:spacing w:after="150" w:line="360" w:lineRule="auto"/>
        <w:ind w:left="285"/>
        <w:jc w:val="both"/>
        <w:rPr>
          <w:rFonts w:eastAsia="Times New Roman" w:cs="Times New Roman"/>
          <w:color w:val="555555"/>
          <w:szCs w:val="24"/>
          <w:lang w:eastAsia="es-CO"/>
        </w:rPr>
      </w:pPr>
      <w:r w:rsidRPr="00643489">
        <w:rPr>
          <w:rFonts w:eastAsia="Times New Roman" w:cs="Times New Roman"/>
          <w:b/>
          <w:bCs/>
          <w:i/>
          <w:iCs/>
          <w:color w:val="000000"/>
          <w:szCs w:val="24"/>
          <w:lang w:eastAsia="es-CO"/>
        </w:rPr>
        <w:lastRenderedPageBreak/>
        <w:t>“Artículo 1.6.1.4.6. Documentos equivalentes a la factura de venta. </w:t>
      </w:r>
      <w:r w:rsidRPr="00643489">
        <w:rPr>
          <w:rFonts w:eastAsia="Times New Roman" w:cs="Times New Roman"/>
          <w:i/>
          <w:iCs/>
          <w:color w:val="000000"/>
          <w:szCs w:val="24"/>
          <w:lang w:eastAsia="es-CO"/>
        </w:rPr>
        <w:t>Son documentos equivalentes a la factura de venta los siguientes:</w:t>
      </w:r>
      <w:r w:rsidRPr="00643489">
        <w:rPr>
          <w:rFonts w:eastAsia="Times New Roman" w:cs="Times New Roman"/>
          <w:color w:val="555555"/>
          <w:szCs w:val="24"/>
          <w:lang w:eastAsia="es-CO"/>
        </w:rPr>
        <w:t> </w:t>
      </w:r>
    </w:p>
    <w:p w14:paraId="11285B78" w14:textId="32F54AF9" w:rsidR="00643489" w:rsidRPr="00643489" w:rsidRDefault="00643489" w:rsidP="00643489">
      <w:pPr>
        <w:shd w:val="clear" w:color="auto" w:fill="FFFFFF"/>
        <w:spacing w:after="150" w:line="360" w:lineRule="auto"/>
        <w:ind w:left="285"/>
        <w:jc w:val="both"/>
        <w:rPr>
          <w:rFonts w:eastAsia="Times New Roman" w:cs="Times New Roman"/>
          <w:color w:val="555555"/>
          <w:szCs w:val="24"/>
          <w:lang w:eastAsia="es-CO"/>
        </w:rPr>
      </w:pPr>
      <w:r w:rsidRPr="00643489">
        <w:rPr>
          <w:rFonts w:eastAsia="Times New Roman" w:cs="Times New Roman"/>
          <w:i/>
          <w:iCs/>
          <w:color w:val="000000"/>
          <w:szCs w:val="24"/>
          <w:lang w:eastAsia="es-CO"/>
        </w:rPr>
        <w:t>1. El tiquete de máquina registradora con sistema P.O.S. El tiquete de máquina registradora con sistema P.O.S., </w:t>
      </w:r>
      <w:r w:rsidRPr="00643489">
        <w:rPr>
          <w:rFonts w:eastAsia="Times New Roman" w:cs="Times New Roman"/>
          <w:b/>
          <w:bCs/>
          <w:i/>
          <w:iCs/>
          <w:color w:val="000000"/>
          <w:szCs w:val="24"/>
          <w:lang w:eastAsia="es-CO"/>
        </w:rPr>
        <w:t>lo podrán expedir los sujetos obligados a facturar; salvo que el adquiriente del bien y/o servicio exija la expedición de la factura de venta, caso en el cual se deberá expedir factura electrónica de venta</w:t>
      </w:r>
      <w:r w:rsidRPr="00643489">
        <w:rPr>
          <w:rFonts w:eastAsia="Times New Roman" w:cs="Times New Roman"/>
          <w:i/>
          <w:iCs/>
          <w:color w:val="000000"/>
          <w:szCs w:val="24"/>
          <w:lang w:eastAsia="es-CO"/>
        </w:rPr>
        <w:t>”.</w:t>
      </w:r>
    </w:p>
    <w:p w14:paraId="2C4CC75E" w14:textId="3FE8E438"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000000"/>
          <w:szCs w:val="24"/>
          <w:lang w:eastAsia="es-CO"/>
        </w:rPr>
        <w:t>De otro lado, se precisa que el software de facturación electrónica de venta, de acuerdo con el numeral 2 del artículo 22 de la Resolución 000042 de 2020 puede corresponder a:</w:t>
      </w:r>
    </w:p>
    <w:p w14:paraId="18892C9B" w14:textId="77777777" w:rsidR="00643489" w:rsidRPr="00643489" w:rsidRDefault="00643489" w:rsidP="00643489">
      <w:pPr>
        <w:shd w:val="clear" w:color="auto" w:fill="FFFFFF"/>
        <w:spacing w:after="150" w:line="360" w:lineRule="auto"/>
        <w:ind w:left="285"/>
        <w:jc w:val="both"/>
        <w:rPr>
          <w:rFonts w:eastAsia="Times New Roman" w:cs="Times New Roman"/>
          <w:color w:val="555555"/>
          <w:szCs w:val="24"/>
          <w:lang w:eastAsia="es-CO"/>
        </w:rPr>
      </w:pPr>
      <w:r w:rsidRPr="00643489">
        <w:rPr>
          <w:rFonts w:eastAsia="Times New Roman" w:cs="Times New Roman"/>
          <w:i/>
          <w:iCs/>
          <w:color w:val="000000"/>
          <w:szCs w:val="24"/>
          <w:lang w:eastAsia="es-CO"/>
        </w:rPr>
        <w:t>“(…)</w:t>
      </w:r>
    </w:p>
    <w:p w14:paraId="6180E669" w14:textId="77777777" w:rsidR="00643489" w:rsidRPr="00643489" w:rsidRDefault="00643489" w:rsidP="00643489">
      <w:pPr>
        <w:shd w:val="clear" w:color="auto" w:fill="FFFFFF"/>
        <w:spacing w:after="150" w:line="360" w:lineRule="auto"/>
        <w:ind w:left="285"/>
        <w:jc w:val="both"/>
        <w:rPr>
          <w:rFonts w:eastAsia="Times New Roman" w:cs="Times New Roman"/>
          <w:color w:val="555555"/>
          <w:szCs w:val="24"/>
          <w:lang w:eastAsia="es-CO"/>
        </w:rPr>
      </w:pPr>
      <w:r w:rsidRPr="00643489">
        <w:rPr>
          <w:rFonts w:eastAsia="Times New Roman" w:cs="Times New Roman"/>
          <w:color w:val="000000"/>
          <w:szCs w:val="24"/>
          <w:lang w:eastAsia="es-CO"/>
        </w:rPr>
        <w:t>a) </w:t>
      </w:r>
      <w:r w:rsidRPr="00643489">
        <w:rPr>
          <w:rFonts w:eastAsia="Times New Roman" w:cs="Times New Roman"/>
          <w:i/>
          <w:iCs/>
          <w:color w:val="000000"/>
          <w:szCs w:val="24"/>
          <w:lang w:eastAsia="es-CO"/>
        </w:rPr>
        <w:t>Un desarrollo informático propio o desarrollo informático adquirido.</w:t>
      </w:r>
    </w:p>
    <w:p w14:paraId="29143B83" w14:textId="77777777" w:rsidR="00643489" w:rsidRPr="00643489" w:rsidRDefault="00643489" w:rsidP="00643489">
      <w:pPr>
        <w:shd w:val="clear" w:color="auto" w:fill="FFFFFF"/>
        <w:spacing w:after="150" w:line="360" w:lineRule="auto"/>
        <w:ind w:left="285"/>
        <w:jc w:val="both"/>
        <w:rPr>
          <w:rFonts w:eastAsia="Times New Roman" w:cs="Times New Roman"/>
          <w:color w:val="555555"/>
          <w:szCs w:val="24"/>
          <w:lang w:eastAsia="es-CO"/>
        </w:rPr>
      </w:pPr>
      <w:r w:rsidRPr="00643489">
        <w:rPr>
          <w:rFonts w:eastAsia="Times New Roman" w:cs="Times New Roman"/>
          <w:color w:val="000000"/>
          <w:szCs w:val="24"/>
          <w:lang w:eastAsia="es-CO"/>
        </w:rPr>
        <w:t>b) </w:t>
      </w:r>
      <w:r w:rsidRPr="00643489">
        <w:rPr>
          <w:rFonts w:eastAsia="Times New Roman" w:cs="Times New Roman"/>
          <w:i/>
          <w:iCs/>
          <w:color w:val="000000"/>
          <w:szCs w:val="24"/>
          <w:lang w:eastAsia="es-CO"/>
        </w:rPr>
        <w:t>Al servicio gratuito de factura electrónica de venta, dispuesto por la Unidad Administrativa Especial Dirección de Impuestos y Aduanas Nacionales -DIAN.</w:t>
      </w:r>
    </w:p>
    <w:p w14:paraId="083BE39D" w14:textId="77777777" w:rsidR="00643489" w:rsidRPr="00643489" w:rsidRDefault="00643489" w:rsidP="00643489">
      <w:pPr>
        <w:shd w:val="clear" w:color="auto" w:fill="FFFFFF"/>
        <w:spacing w:after="150" w:line="360" w:lineRule="auto"/>
        <w:ind w:left="285"/>
        <w:jc w:val="both"/>
        <w:rPr>
          <w:rFonts w:eastAsia="Times New Roman" w:cs="Times New Roman"/>
          <w:color w:val="555555"/>
          <w:szCs w:val="24"/>
          <w:lang w:eastAsia="es-CO"/>
        </w:rPr>
      </w:pPr>
      <w:r w:rsidRPr="00643489">
        <w:rPr>
          <w:rFonts w:eastAsia="Times New Roman" w:cs="Times New Roman"/>
          <w:color w:val="000000"/>
          <w:szCs w:val="24"/>
          <w:lang w:eastAsia="es-CO"/>
        </w:rPr>
        <w:t>c) </w:t>
      </w:r>
      <w:r w:rsidRPr="00643489">
        <w:rPr>
          <w:rFonts w:eastAsia="Times New Roman" w:cs="Times New Roman"/>
          <w:i/>
          <w:iCs/>
          <w:color w:val="000000"/>
          <w:szCs w:val="24"/>
          <w:lang w:eastAsia="es-CO"/>
        </w:rPr>
        <w:t>Al suministrado a través de un proveedor tecnológico”.</w:t>
      </w:r>
    </w:p>
    <w:p w14:paraId="03083D73" w14:textId="35F18CEA"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000000"/>
          <w:szCs w:val="24"/>
          <w:lang w:eastAsia="es-CO"/>
        </w:rPr>
        <w:t>De manera que el obligado a facturar podrá implementar cualquiera de los citados softwares para el cumplir con la obligación de facturar electrónicamente.</w:t>
      </w:r>
    </w:p>
    <w:p w14:paraId="6E2A25AA" w14:textId="77777777" w:rsidR="00643489" w:rsidRPr="00643489" w:rsidRDefault="00643489" w:rsidP="00643489">
      <w:pPr>
        <w:shd w:val="clear" w:color="auto" w:fill="FFFFFF"/>
        <w:spacing w:after="150" w:line="360" w:lineRule="auto"/>
        <w:ind w:left="285"/>
        <w:jc w:val="both"/>
        <w:rPr>
          <w:rFonts w:eastAsia="Times New Roman" w:cs="Times New Roman"/>
          <w:color w:val="555555"/>
          <w:szCs w:val="24"/>
          <w:lang w:eastAsia="es-CO"/>
        </w:rPr>
      </w:pPr>
      <w:r w:rsidRPr="00643489">
        <w:rPr>
          <w:rFonts w:eastAsia="Times New Roman" w:cs="Times New Roman"/>
          <w:b/>
          <w:bCs/>
          <w:color w:val="000000"/>
          <w:szCs w:val="24"/>
          <w:highlight w:val="green"/>
          <w:lang w:eastAsia="es-CO"/>
        </w:rPr>
        <w:t>2. Los soportes que emiten las personas naturales no responsables, ¿formarán base para el cálculo del 70% para determinar los costos y gastos deducibles?</w:t>
      </w:r>
    </w:p>
    <w:p w14:paraId="6184B657" w14:textId="3BFDDCE0" w:rsidR="00643489" w:rsidRPr="0006328A" w:rsidRDefault="00643489" w:rsidP="00643489">
      <w:pPr>
        <w:shd w:val="clear" w:color="auto" w:fill="FFFFFF"/>
        <w:spacing w:after="150" w:line="360" w:lineRule="auto"/>
        <w:jc w:val="both"/>
        <w:rPr>
          <w:rFonts w:eastAsia="Times New Roman" w:cs="Times New Roman"/>
          <w:color w:val="555555"/>
          <w:sz w:val="36"/>
          <w:szCs w:val="36"/>
          <w:lang w:eastAsia="es-CO"/>
        </w:rPr>
      </w:pPr>
      <w:r w:rsidRPr="00643489">
        <w:rPr>
          <w:rFonts w:eastAsia="Times New Roman" w:cs="Times New Roman"/>
          <w:color w:val="000000"/>
          <w:szCs w:val="24"/>
          <w:highlight w:val="green"/>
          <w:lang w:eastAsia="es-CO"/>
        </w:rPr>
        <w:t xml:space="preserve">De conformidad con lo dispuesto al artículo 1.6.1.4.27. del Decreto 1625 de 2016, los documentos soporte en adquisiciones efectuadas a no obligados a facturar de que trata el artículo 1.6.1.4.12. del mismo Decreto, </w:t>
      </w:r>
      <w:r w:rsidRPr="0006328A">
        <w:rPr>
          <w:rFonts w:eastAsia="Times New Roman" w:cs="Times New Roman"/>
          <w:color w:val="000000"/>
          <w:sz w:val="36"/>
          <w:szCs w:val="36"/>
          <w:highlight w:val="yellow"/>
          <w:lang w:eastAsia="es-CO"/>
        </w:rPr>
        <w:t xml:space="preserve">no hacen parte de la limitación del porcentaje máximo a soportase sin factura electrónica de venta de </w:t>
      </w:r>
      <w:proofErr w:type="spellStart"/>
      <w:r w:rsidRPr="0006328A">
        <w:rPr>
          <w:rFonts w:eastAsia="Times New Roman" w:cs="Times New Roman"/>
          <w:color w:val="000000"/>
          <w:sz w:val="36"/>
          <w:szCs w:val="36"/>
          <w:highlight w:val="yellow"/>
          <w:lang w:eastAsia="es-CO"/>
        </w:rPr>
        <w:t>que</w:t>
      </w:r>
      <w:proofErr w:type="spellEnd"/>
      <w:r w:rsidRPr="0006328A">
        <w:rPr>
          <w:rFonts w:eastAsia="Times New Roman" w:cs="Times New Roman"/>
          <w:color w:val="000000"/>
          <w:sz w:val="36"/>
          <w:szCs w:val="36"/>
          <w:highlight w:val="yellow"/>
          <w:lang w:eastAsia="es-CO"/>
        </w:rPr>
        <w:t xml:space="preserve"> trata el parágrafo transitorio 1 del artículo 616-1 del Estatuto Tributario.</w:t>
      </w:r>
    </w:p>
    <w:p w14:paraId="21FBD640" w14:textId="068F21CE"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000000"/>
          <w:szCs w:val="24"/>
          <w:lang w:eastAsia="es-CO"/>
        </w:rPr>
        <w:t>Es así como el parágrafo del artículo 80 de la Resolución 000042 de 2020, dispone:</w:t>
      </w:r>
    </w:p>
    <w:p w14:paraId="09CDD887" w14:textId="3C1097A1"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555555"/>
          <w:szCs w:val="24"/>
          <w:lang w:eastAsia="es-CO"/>
        </w:rPr>
        <w:t> </w:t>
      </w:r>
      <w:r w:rsidRPr="00643489">
        <w:rPr>
          <w:rFonts w:eastAsia="Times New Roman" w:cs="Times New Roman"/>
          <w:i/>
          <w:iCs/>
          <w:color w:val="000000"/>
          <w:szCs w:val="24"/>
          <w:lang w:eastAsia="es-CO"/>
        </w:rPr>
        <w:t>“(…) </w:t>
      </w:r>
      <w:r w:rsidRPr="00643489">
        <w:rPr>
          <w:rFonts w:eastAsia="Times New Roman" w:cs="Times New Roman"/>
          <w:b/>
          <w:bCs/>
          <w:i/>
          <w:iCs/>
          <w:color w:val="000000"/>
          <w:szCs w:val="24"/>
          <w:lang w:eastAsia="es-CO"/>
        </w:rPr>
        <w:t>Parágrafo. </w:t>
      </w:r>
      <w:r w:rsidRPr="00643489">
        <w:rPr>
          <w:rFonts w:eastAsia="Times New Roman" w:cs="Times New Roman"/>
          <w:i/>
          <w:iCs/>
          <w:color w:val="000000"/>
          <w:szCs w:val="24"/>
          <w:lang w:eastAsia="es-CO"/>
        </w:rPr>
        <w:t>Los documentos enunciados en los numerales 1 al 5 de este artículo, serán soporte de costos y gastos en el impuesto sobre la renta y complementarios y descontables en el impuesto sobre las ventas -IVA, </w:t>
      </w:r>
      <w:r w:rsidRPr="00643489">
        <w:rPr>
          <w:rFonts w:eastAsia="Times New Roman" w:cs="Times New Roman"/>
          <w:b/>
          <w:bCs/>
          <w:i/>
          <w:iCs/>
          <w:color w:val="000000"/>
          <w:szCs w:val="24"/>
          <w:lang w:eastAsia="es-CO"/>
        </w:rPr>
        <w:t>hasta tanto la Unidad Administrativa Especial Dirección de Impuestos y Aduanas Nacionales -DIAN, los implemente en el sistema de facturación de que trata el parágrafo 6 del artículo 616-1 del Estatuto Tributario y artículo 90 de esta resolución</w:t>
      </w:r>
      <w:r w:rsidRPr="00643489">
        <w:rPr>
          <w:rFonts w:eastAsia="Times New Roman" w:cs="Times New Roman"/>
          <w:i/>
          <w:iCs/>
          <w:color w:val="000000"/>
          <w:szCs w:val="24"/>
          <w:lang w:eastAsia="es-CO"/>
        </w:rPr>
        <w:t>”.</w:t>
      </w:r>
    </w:p>
    <w:p w14:paraId="6751996E" w14:textId="58097782" w:rsid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color w:val="000000"/>
          <w:szCs w:val="24"/>
          <w:lang w:eastAsia="es-CO"/>
        </w:rPr>
        <w:t>Atentamente,</w:t>
      </w:r>
    </w:p>
    <w:p w14:paraId="2BA30BFF" w14:textId="10715835" w:rsidR="00643489" w:rsidRPr="00643489" w:rsidRDefault="00643489" w:rsidP="00643489">
      <w:pPr>
        <w:shd w:val="clear" w:color="auto" w:fill="FFFFFF"/>
        <w:spacing w:after="150" w:line="360" w:lineRule="auto"/>
        <w:jc w:val="both"/>
        <w:rPr>
          <w:rFonts w:eastAsia="Times New Roman" w:cs="Times New Roman"/>
          <w:color w:val="555555"/>
          <w:szCs w:val="24"/>
          <w:lang w:eastAsia="es-CO"/>
        </w:rPr>
      </w:pPr>
      <w:r w:rsidRPr="00643489">
        <w:rPr>
          <w:rFonts w:eastAsia="Times New Roman" w:cs="Times New Roman"/>
          <w:b/>
          <w:bCs/>
          <w:color w:val="000000"/>
          <w:szCs w:val="24"/>
          <w:lang w:eastAsia="es-CO"/>
        </w:rPr>
        <w:t>PABLO EMILIO MENDOZA VELILLA</w:t>
      </w:r>
    </w:p>
    <w:p w14:paraId="290FEF8F" w14:textId="77777777" w:rsidR="00643489" w:rsidRPr="00643489" w:rsidRDefault="00643489" w:rsidP="00643489">
      <w:pPr>
        <w:shd w:val="clear" w:color="auto" w:fill="FFFFFF"/>
        <w:spacing w:after="0" w:line="360" w:lineRule="auto"/>
        <w:jc w:val="both"/>
        <w:rPr>
          <w:rFonts w:eastAsia="Times New Roman" w:cs="Times New Roman"/>
          <w:color w:val="555555"/>
          <w:szCs w:val="24"/>
          <w:lang w:eastAsia="es-CO"/>
        </w:rPr>
      </w:pPr>
      <w:r w:rsidRPr="00643489">
        <w:rPr>
          <w:rFonts w:eastAsia="Times New Roman" w:cs="Times New Roman"/>
          <w:color w:val="000000"/>
          <w:szCs w:val="24"/>
          <w:lang w:eastAsia="es-CO"/>
        </w:rPr>
        <w:t>Subdirector de Gestión Normativa y Doctrina</w:t>
      </w:r>
    </w:p>
    <w:p w14:paraId="63660415" w14:textId="77777777" w:rsidR="00643489" w:rsidRPr="00643489" w:rsidRDefault="00643489" w:rsidP="00643489">
      <w:pPr>
        <w:shd w:val="clear" w:color="auto" w:fill="FFFFFF"/>
        <w:spacing w:after="0" w:line="360" w:lineRule="auto"/>
        <w:jc w:val="both"/>
        <w:rPr>
          <w:rFonts w:eastAsia="Times New Roman" w:cs="Times New Roman"/>
          <w:color w:val="555555"/>
          <w:szCs w:val="24"/>
          <w:lang w:eastAsia="es-CO"/>
        </w:rPr>
      </w:pPr>
      <w:r w:rsidRPr="00643489">
        <w:rPr>
          <w:rFonts w:eastAsia="Times New Roman" w:cs="Times New Roman"/>
          <w:color w:val="000000"/>
          <w:szCs w:val="24"/>
          <w:lang w:eastAsia="es-CO"/>
        </w:rPr>
        <w:lastRenderedPageBreak/>
        <w:t>Dirección de Gestión Jurídica</w:t>
      </w:r>
    </w:p>
    <w:p w14:paraId="5BB7903D" w14:textId="7858B83A" w:rsidR="00643489" w:rsidRDefault="00643489" w:rsidP="00643489">
      <w:pPr>
        <w:shd w:val="clear" w:color="auto" w:fill="FFFFFF"/>
        <w:spacing w:after="0" w:line="360" w:lineRule="auto"/>
        <w:jc w:val="both"/>
        <w:rPr>
          <w:rFonts w:eastAsia="Times New Roman" w:cs="Times New Roman"/>
          <w:color w:val="000000"/>
          <w:szCs w:val="24"/>
          <w:lang w:eastAsia="es-CO"/>
        </w:rPr>
      </w:pPr>
      <w:r w:rsidRPr="00643489">
        <w:rPr>
          <w:rFonts w:eastAsia="Times New Roman" w:cs="Times New Roman"/>
          <w:color w:val="000000"/>
          <w:szCs w:val="24"/>
          <w:lang w:eastAsia="es-CO"/>
        </w:rPr>
        <w:t>UAE-DIAN</w:t>
      </w:r>
    </w:p>
    <w:p w14:paraId="7EA087B2" w14:textId="2B38DE35" w:rsidR="00643489" w:rsidRPr="00643489" w:rsidRDefault="00643489" w:rsidP="00643489">
      <w:pPr>
        <w:shd w:val="clear" w:color="auto" w:fill="FFFFFF"/>
        <w:spacing w:after="0" w:line="360" w:lineRule="auto"/>
        <w:jc w:val="both"/>
        <w:rPr>
          <w:rFonts w:eastAsia="Times New Roman" w:cs="Times New Roman"/>
          <w:color w:val="555555"/>
          <w:szCs w:val="24"/>
          <w:lang w:eastAsia="es-CO"/>
        </w:rPr>
      </w:pPr>
      <w:r>
        <w:rPr>
          <w:rFonts w:eastAsia="Times New Roman" w:cs="Times New Roman"/>
          <w:color w:val="000000"/>
          <w:szCs w:val="24"/>
          <w:lang w:eastAsia="es-CO"/>
        </w:rPr>
        <w:t>_____________________________________________________________________________</w:t>
      </w:r>
    </w:p>
    <w:sectPr w:rsidR="00643489" w:rsidRPr="00643489"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89"/>
    <w:rsid w:val="0006328A"/>
    <w:rsid w:val="000F3837"/>
    <w:rsid w:val="001E311E"/>
    <w:rsid w:val="00434AE6"/>
    <w:rsid w:val="0049216A"/>
    <w:rsid w:val="005E1441"/>
    <w:rsid w:val="00643489"/>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C8DE"/>
  <w15:chartTrackingRefBased/>
  <w15:docId w15:val="{33813836-6112-415C-ABF6-FBE6D88E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12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1074</Words>
  <Characters>5908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3</cp:revision>
  <dcterms:created xsi:type="dcterms:W3CDTF">2021-01-09T17:57:00Z</dcterms:created>
  <dcterms:modified xsi:type="dcterms:W3CDTF">2021-01-11T23:33:00Z</dcterms:modified>
</cp:coreProperties>
</file>