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C94AA" w14:textId="77777777" w:rsidR="009030E6" w:rsidRPr="009030E6" w:rsidRDefault="009030E6" w:rsidP="009030E6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color w:val="555555"/>
          <w:szCs w:val="24"/>
          <w:lang w:eastAsia="es-CO"/>
        </w:rPr>
        <w:t xml:space="preserve">OFICIO </w:t>
      </w:r>
      <w:proofErr w:type="spellStart"/>
      <w:r w:rsidRPr="009030E6">
        <w:rPr>
          <w:rFonts w:eastAsia="Times New Roman" w:cs="Times New Roman"/>
          <w:b/>
          <w:bCs/>
          <w:color w:val="555555"/>
          <w:szCs w:val="24"/>
          <w:lang w:eastAsia="es-CO"/>
        </w:rPr>
        <w:t>Nº</w:t>
      </w:r>
      <w:proofErr w:type="spellEnd"/>
      <w:r w:rsidRPr="009030E6">
        <w:rPr>
          <w:rFonts w:eastAsia="Times New Roman" w:cs="Times New Roman"/>
          <w:b/>
          <w:bCs/>
          <w:color w:val="555555"/>
          <w:szCs w:val="24"/>
          <w:lang w:eastAsia="es-CO"/>
        </w:rPr>
        <w:t xml:space="preserve"> 1004</w:t>
      </w:r>
    </w:p>
    <w:p w14:paraId="77FFFC65" w14:textId="77777777" w:rsidR="009030E6" w:rsidRPr="009030E6" w:rsidRDefault="009030E6" w:rsidP="009030E6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color w:val="555555"/>
          <w:szCs w:val="24"/>
          <w:lang w:eastAsia="es-CO"/>
        </w:rPr>
        <w:t>20-08-2020</w:t>
      </w:r>
    </w:p>
    <w:p w14:paraId="3282A933" w14:textId="77777777" w:rsidR="009030E6" w:rsidRPr="009030E6" w:rsidRDefault="009030E6" w:rsidP="009030E6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color w:val="555555"/>
          <w:szCs w:val="24"/>
          <w:lang w:eastAsia="es-CO"/>
        </w:rPr>
        <w:t>DIAN</w:t>
      </w:r>
    </w:p>
    <w:p w14:paraId="59A1E2C4" w14:textId="3BDE2DFB" w:rsidR="009030E6" w:rsidRPr="009030E6" w:rsidRDefault="009030E6" w:rsidP="009030E6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555555"/>
          <w:szCs w:val="24"/>
          <w:lang w:eastAsia="es-CO"/>
        </w:rPr>
      </w:pPr>
    </w:p>
    <w:p w14:paraId="32855FDB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41BB288E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Subdirección de Gestión Normativa y Doctrina</w:t>
      </w:r>
    </w:p>
    <w:p w14:paraId="440F9AD0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100208221-1004</w:t>
      </w:r>
    </w:p>
    <w:p w14:paraId="25B3057D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Bogotá, D.C.</w:t>
      </w:r>
    </w:p>
    <w:p w14:paraId="5FE663C6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248E9B31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0DE46EBC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color w:val="555555"/>
          <w:szCs w:val="24"/>
          <w:lang w:eastAsia="es-CO"/>
        </w:rPr>
        <w:t>Tema </w:t>
      </w:r>
      <w:r w:rsidRPr="009030E6">
        <w:rPr>
          <w:rFonts w:eastAsia="Times New Roman" w:cs="Times New Roman"/>
          <w:color w:val="555555"/>
          <w:szCs w:val="24"/>
          <w:lang w:eastAsia="es-CO"/>
        </w:rPr>
        <w:t>Factura electrónica de venta</w:t>
      </w:r>
    </w:p>
    <w:p w14:paraId="0F78E42A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color w:val="555555"/>
          <w:szCs w:val="24"/>
          <w:lang w:eastAsia="es-CO"/>
        </w:rPr>
        <w:t>Descriptores </w:t>
      </w:r>
      <w:r w:rsidRPr="009030E6">
        <w:rPr>
          <w:rFonts w:eastAsia="Times New Roman" w:cs="Times New Roman"/>
          <w:color w:val="555555"/>
          <w:szCs w:val="24"/>
          <w:lang w:eastAsia="es-CO"/>
        </w:rPr>
        <w:t>Obligación de facturar</w:t>
      </w:r>
    </w:p>
    <w:p w14:paraId="2BD5C5C6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color w:val="555555"/>
          <w:szCs w:val="24"/>
          <w:lang w:eastAsia="es-CO"/>
        </w:rPr>
        <w:t>Fuentes formales</w:t>
      </w:r>
    </w:p>
    <w:p w14:paraId="4310FE58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Artículos 615, 616-1, 617 y 771-2 del Estatuto Tributario</w:t>
      </w:r>
    </w:p>
    <w:p w14:paraId="7DFA3F65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Artículos 1.6.1.4.1 y ss. del Decreto 1625 de 2016</w:t>
      </w:r>
    </w:p>
    <w:p w14:paraId="045F0633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Resolución 000042 de 2020</w:t>
      </w:r>
    </w:p>
    <w:p w14:paraId="4C7D736C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03C1C61D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3BD9EBC6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Cordial saludo.</w:t>
      </w:r>
    </w:p>
    <w:p w14:paraId="3236EF56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00887902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0E96EF23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4F60C80A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Mediante el radicado de la referencia, la peticionaria consulta respecto a la exigibilidad del sistema de facturación electrónica de venta o documento soporte para las operaciones de pagos de nómina.</w:t>
      </w:r>
    </w:p>
    <w:p w14:paraId="4EE7010F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0F20814E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Sobre el particular, las consideraciones de este Despacho son las siguientes:</w:t>
      </w:r>
    </w:p>
    <w:p w14:paraId="6D0D538B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334ADCE7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El parágrafo 6 del artículo 616-1 del Estatuto Tributario dispone:</w:t>
      </w:r>
    </w:p>
    <w:p w14:paraId="5A0968DA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3608525B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“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PARÁGRAFO 6. El sistema de facturación electrónica es aplicable a 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las operaciones de compra y venta de bienes y de servicios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. 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Este sistema también es aplicable 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a otras operaciones tales como los pagos de nómina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, las exportaciones, importaciones y los pagos a favor de no responsables del impuesto sobre las ventas –IVA”.</w:t>
      </w:r>
    </w:p>
    <w:p w14:paraId="1538CD8B" w14:textId="77777777" w:rsid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</w:p>
    <w:p w14:paraId="784C3AC2" w14:textId="5596CCBA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lastRenderedPageBreak/>
        <w:t>A su vez, el mismo artículo 616-1 del Estatuto Tributario, en los parágrafos transitorios 1 y 2, indica:</w:t>
      </w:r>
    </w:p>
    <w:p w14:paraId="1F770C2E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“PARÁGRAFO TRANSITORIO 1. 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Los requisitos, condiciones y procedimientos establecidos en el presente artículo, serán reglamentados por el Gobierno nacional; entre tanto aplicarán las disposiciones que regulan la materia antes de la entrada en vigencia de la presente ley.</w:t>
      </w:r>
    </w:p>
    <w:p w14:paraId="351B032C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Las facturas expedidas de conformidad con los artículos 1.6.1.4.1.1 al 1.6.1.4.1.21. del Decreto 1625 de 2016 mantienen su condición de documentos equivalentes. 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A partir del 1 de enero de 2020, se requerirá factura electrónica para la procedencia de impuestos descontables, y costos o gastos deducibles, de conformidad con la siguiente tabla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:</w:t>
      </w:r>
    </w:p>
    <w:p w14:paraId="68558D3E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443"/>
      </w:tblGrid>
      <w:tr w:rsidR="009030E6" w:rsidRPr="009030E6" w14:paraId="1F3D3BB0" w14:textId="77777777" w:rsidTr="009030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1870B2" w14:textId="77777777" w:rsidR="009030E6" w:rsidRPr="009030E6" w:rsidRDefault="009030E6" w:rsidP="009030E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030E6">
              <w:rPr>
                <w:rFonts w:eastAsia="Times New Roman" w:cs="Times New Roman"/>
                <w:i/>
                <w:iCs/>
                <w:color w:val="000000"/>
                <w:szCs w:val="24"/>
                <w:lang w:eastAsia="es-CO"/>
              </w:rPr>
              <w:t>Año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A82918" w14:textId="77777777" w:rsidR="009030E6" w:rsidRPr="009030E6" w:rsidRDefault="009030E6" w:rsidP="009030E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030E6">
              <w:rPr>
                <w:rFonts w:eastAsia="Times New Roman" w:cs="Times New Roman"/>
                <w:i/>
                <w:iCs/>
                <w:color w:val="000000"/>
                <w:szCs w:val="24"/>
                <w:lang w:eastAsia="es-CO"/>
              </w:rPr>
              <w:t>Porcentaje máximo que podrá soportarse sin factura electrónica</w:t>
            </w:r>
          </w:p>
        </w:tc>
      </w:tr>
      <w:tr w:rsidR="009030E6" w:rsidRPr="009030E6" w14:paraId="72C01DF6" w14:textId="77777777" w:rsidTr="009030E6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278ABC" w14:textId="77777777" w:rsidR="009030E6" w:rsidRPr="009030E6" w:rsidRDefault="009030E6" w:rsidP="009030E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030E6">
              <w:rPr>
                <w:rFonts w:eastAsia="Times New Roman" w:cs="Times New Roman"/>
                <w:i/>
                <w:iCs/>
                <w:color w:val="000000"/>
                <w:szCs w:val="24"/>
                <w:lang w:eastAsia="es-CO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1FFD4" w14:textId="77777777" w:rsidR="009030E6" w:rsidRPr="009030E6" w:rsidRDefault="009030E6" w:rsidP="009030E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030E6">
              <w:rPr>
                <w:rFonts w:eastAsia="Times New Roman" w:cs="Times New Roman"/>
                <w:i/>
                <w:iCs/>
                <w:color w:val="000000"/>
                <w:szCs w:val="24"/>
                <w:lang w:eastAsia="es-CO"/>
              </w:rPr>
              <w:t>30%</w:t>
            </w:r>
          </w:p>
        </w:tc>
      </w:tr>
      <w:tr w:rsidR="009030E6" w:rsidRPr="009030E6" w14:paraId="271B6BA0" w14:textId="77777777" w:rsidTr="009030E6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A5E2D" w14:textId="77777777" w:rsidR="009030E6" w:rsidRPr="009030E6" w:rsidRDefault="009030E6" w:rsidP="009030E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030E6">
              <w:rPr>
                <w:rFonts w:eastAsia="Times New Roman" w:cs="Times New Roman"/>
                <w:i/>
                <w:iCs/>
                <w:color w:val="000000"/>
                <w:szCs w:val="24"/>
                <w:lang w:eastAsia="es-CO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BCF44" w14:textId="77777777" w:rsidR="009030E6" w:rsidRPr="009030E6" w:rsidRDefault="009030E6" w:rsidP="009030E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030E6">
              <w:rPr>
                <w:rFonts w:eastAsia="Times New Roman" w:cs="Times New Roman"/>
                <w:i/>
                <w:iCs/>
                <w:color w:val="000000"/>
                <w:szCs w:val="24"/>
                <w:lang w:eastAsia="es-CO"/>
              </w:rPr>
              <w:t>20%</w:t>
            </w:r>
          </w:p>
        </w:tc>
      </w:tr>
      <w:tr w:rsidR="009030E6" w:rsidRPr="009030E6" w14:paraId="683C87CC" w14:textId="77777777" w:rsidTr="009030E6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FC9FC8" w14:textId="77777777" w:rsidR="009030E6" w:rsidRPr="009030E6" w:rsidRDefault="009030E6" w:rsidP="009030E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030E6">
              <w:rPr>
                <w:rFonts w:eastAsia="Times New Roman" w:cs="Times New Roman"/>
                <w:i/>
                <w:iCs/>
                <w:color w:val="000000"/>
                <w:szCs w:val="24"/>
                <w:lang w:eastAsia="es-CO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8AA083" w14:textId="77777777" w:rsidR="009030E6" w:rsidRPr="009030E6" w:rsidRDefault="009030E6" w:rsidP="009030E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030E6">
              <w:rPr>
                <w:rFonts w:eastAsia="Times New Roman" w:cs="Times New Roman"/>
                <w:i/>
                <w:iCs/>
                <w:color w:val="000000"/>
                <w:szCs w:val="24"/>
                <w:lang w:eastAsia="es-CO"/>
              </w:rPr>
              <w:t>10%</w:t>
            </w:r>
          </w:p>
        </w:tc>
      </w:tr>
    </w:tbl>
    <w:p w14:paraId="75327E83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2D2C6CE4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PARÁGRAFO TRANSITORIO 2. La Dirección de Impuestos y Aduanas Nacionales - DIAN establecerá 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el calendario y los sujetos obligados a facturar que deben iniciar la implementación de la factura electrónica durante el año 2020, 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así como los requisitos técnicos de la factura electrónica para su aplicación específica en los casos de 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venta de bienes y servicios, 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pago de nómina, 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importaciones y exportaciones, pagos al exterior, operaciones de factoraje, entre otras”.</w:t>
      </w:r>
    </w:p>
    <w:p w14:paraId="1C5A1FB4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Por su parte, el artículo 1.6.1.4.27 del Decreto 1625 de 2016 establece que:</w:t>
      </w:r>
    </w:p>
    <w:p w14:paraId="487EEAB2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47FE923E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“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Artículo 1.6.1.4.27.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 Porcentaje máximo que podrá soportarse sin factura electrónica. Para efectos de lo indicado en el parágrafo transitorio 1 del artículo 616-1 del Estatuto Tributario respecto del porcentaje máximo que podrá soportarse sin factura electrónica, para la procedencia de impuestos descontables, de costos o gastos deducibles, se tendrán en cuenta:</w:t>
      </w:r>
    </w:p>
    <w:p w14:paraId="0C3D3DBA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2475BCF2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(…)</w:t>
      </w:r>
    </w:p>
    <w:p w14:paraId="53DE687A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165B04FD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El sistema de facturación electrónica es aplicable a 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las operaciones de compra y venta de bienes y de servicios, 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las operaciones de nómina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, las exportaciones, importaciones, los pagos a favor de no responsables del Impuesto sobre las Ventas (IVA).</w:t>
      </w:r>
    </w:p>
    <w:p w14:paraId="3CDB0A45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3A25C0EC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(… )</w:t>
      </w:r>
    </w:p>
    <w:p w14:paraId="5566FEFE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6B512745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 xml:space="preserve">Para efectos de lo previsto en el presente artículo la Unidad Administrativa Especial Dirección de Impuestos y Aduanas Nacionales (DIAN), deberá establecer la información y el contenido de los respectivos documentos, así como los términos, condiciones, mecanismos técnicos y 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lastRenderedPageBreak/>
        <w:t>tecnológicos que deben cumplir los sujetos obligados a facturar para su elaboración y transmisión a la citada entidad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.</w:t>
      </w:r>
    </w:p>
    <w:p w14:paraId="235C6978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2B46ED8C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(…)”</w:t>
      </w:r>
    </w:p>
    <w:p w14:paraId="5B13DC3D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23F4FBD6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Finalmente, la Resolución 00042 de 2020 dispuso, en el artículo 90, lo siguiente:</w:t>
      </w:r>
    </w:p>
    <w:p w14:paraId="086DF4E5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7D58B8D9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“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Artículo 90. El sistema de facturación electrónica. 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Conforme lo establecido en el parágrafo 6 del artículo 616-1 del Estatuto Tributario, el numeral 13 del artículo 1.6.1.4.6. y los incisos 2, 3 y 4 del artículo 1.6.1.4.27. del Decreto 1625 de 2016 Único Reglamentario en Materia Tributaria, </w:t>
      </w: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las operaciones a implementar en el sistema de facturación electrónica corresponden a:</w:t>
      </w:r>
    </w:p>
    <w:p w14:paraId="4FB85DDC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6EF592AB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(…)</w:t>
      </w:r>
    </w:p>
    <w:p w14:paraId="5E088A7A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08B55AF1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5. Pagos por rentas de trabajo, incluyendo los aportes parafiscales, de seguridad social y demás erogaciones relacionados con la nómina.</w:t>
      </w:r>
    </w:p>
    <w:p w14:paraId="306E8341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1AAE14D4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(…)</w:t>
      </w:r>
    </w:p>
    <w:p w14:paraId="2361D60B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7B5D3358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i/>
          <w:iCs/>
          <w:color w:val="555555"/>
          <w:szCs w:val="24"/>
          <w:lang w:eastAsia="es-CO"/>
        </w:rPr>
        <w:t>Parágrafo. En relación con los conceptos de que tratan los numerales del presente artículo, la Dirección de Gestión de Ingresos o quien haga sus veces, de la Unidad Administrativa Especial Dirección de Impuestos y Aduanas Nacionales -DIAN, ejecutará un plan que permita su implementación </w:t>
      </w:r>
      <w:r w:rsidRPr="009030E6">
        <w:rPr>
          <w:rFonts w:eastAsia="Times New Roman" w:cs="Times New Roman"/>
          <w:i/>
          <w:iCs/>
          <w:color w:val="555555"/>
          <w:szCs w:val="24"/>
          <w:lang w:eastAsia="es-CO"/>
        </w:rPr>
        <w:t>(…)” </w:t>
      </w:r>
      <w:r w:rsidRPr="009030E6">
        <w:rPr>
          <w:rFonts w:eastAsia="Times New Roman" w:cs="Times New Roman"/>
          <w:color w:val="555555"/>
          <w:szCs w:val="24"/>
          <w:lang w:eastAsia="es-CO"/>
        </w:rPr>
        <w:t>(Negritas fuera de texto).</w:t>
      </w:r>
    </w:p>
    <w:p w14:paraId="41879E85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0AD92F5C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Así las cosas, para pagos de nómina, la factura electrónica o documento que se establezca será exigible cuando esta Entidad efectúe su implementación dentro del sistema de facturación electrónica, de acuerdo con lo dispuesto en las normas previamente citadas.</w:t>
      </w:r>
    </w:p>
    <w:p w14:paraId="48FA8422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4DABF088" w14:textId="77777777" w:rsidR="009030E6" w:rsidRPr="00C14301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 w:val="36"/>
          <w:szCs w:val="36"/>
          <w:lang w:eastAsia="es-CO"/>
        </w:rPr>
      </w:pPr>
      <w:r w:rsidRPr="00C14301">
        <w:rPr>
          <w:rFonts w:eastAsia="Times New Roman" w:cs="Times New Roman"/>
          <w:color w:val="555555"/>
          <w:sz w:val="36"/>
          <w:szCs w:val="36"/>
          <w:highlight w:val="green"/>
          <w:lang w:eastAsia="es-CO"/>
        </w:rPr>
        <w:t>Entretanto, los documentos soportes de costos y gastos para pagos de nómina, seguirán siendo aquellos requeridos por la normatividad vigente, los cuales se someterán al porcentaje máximo a soportarse sin factura electrónica </w:t>
      </w:r>
      <w:r w:rsidRPr="00C14301">
        <w:rPr>
          <w:rFonts w:eastAsia="Times New Roman" w:cs="Times New Roman"/>
          <w:b/>
          <w:bCs/>
          <w:color w:val="555555"/>
          <w:sz w:val="36"/>
          <w:szCs w:val="36"/>
          <w:highlight w:val="green"/>
          <w:lang w:eastAsia="es-CO"/>
        </w:rPr>
        <w:t>cuando sea implementado el sistema de factura electrónica para pagos por nómina</w:t>
      </w:r>
      <w:r w:rsidRPr="00C14301">
        <w:rPr>
          <w:rFonts w:eastAsia="Times New Roman" w:cs="Times New Roman"/>
          <w:color w:val="555555"/>
          <w:sz w:val="36"/>
          <w:szCs w:val="36"/>
          <w:highlight w:val="green"/>
          <w:lang w:eastAsia="es-CO"/>
        </w:rPr>
        <w:t>.</w:t>
      </w:r>
    </w:p>
    <w:p w14:paraId="583765A0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3C9D0CA0" w14:textId="0FB8CFD9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Atentamente,</w:t>
      </w:r>
    </w:p>
    <w:p w14:paraId="6FFA1D87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lastRenderedPageBreak/>
        <w:t> </w:t>
      </w:r>
    </w:p>
    <w:p w14:paraId="1B4CCFB5" w14:textId="16A59ED6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b/>
          <w:bCs/>
          <w:color w:val="555555"/>
          <w:szCs w:val="24"/>
          <w:lang w:eastAsia="es-CO"/>
        </w:rPr>
        <w:t>PABLO EMILIO MENDOZA VELILLA</w:t>
      </w:r>
    </w:p>
    <w:p w14:paraId="6CC9118B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Subdirector de Gestión Normativa y Doctrina</w:t>
      </w:r>
    </w:p>
    <w:p w14:paraId="78B2E393" w14:textId="77777777" w:rsidR="009030E6" w:rsidRP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Dirección de Gestión Jurídica</w:t>
      </w:r>
    </w:p>
    <w:p w14:paraId="01D175C4" w14:textId="141B006F" w:rsidR="009030E6" w:rsidRDefault="009030E6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9030E6">
        <w:rPr>
          <w:rFonts w:eastAsia="Times New Roman" w:cs="Times New Roman"/>
          <w:color w:val="555555"/>
          <w:szCs w:val="24"/>
          <w:lang w:eastAsia="es-CO"/>
        </w:rPr>
        <w:t>UAE-DIAN</w:t>
      </w:r>
    </w:p>
    <w:p w14:paraId="6AEC6A7A" w14:textId="7858B707" w:rsidR="00C14301" w:rsidRPr="009030E6" w:rsidRDefault="00C14301" w:rsidP="009030E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>
        <w:rPr>
          <w:rFonts w:eastAsia="Times New Roman" w:cs="Times New Roman"/>
          <w:color w:val="555555"/>
          <w:szCs w:val="24"/>
          <w:lang w:eastAsia="es-CO"/>
        </w:rPr>
        <w:t>_____________________________________________________________________________</w:t>
      </w:r>
    </w:p>
    <w:sectPr w:rsidR="00C14301" w:rsidRPr="009030E6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E6"/>
    <w:rsid w:val="000F3837"/>
    <w:rsid w:val="001E311E"/>
    <w:rsid w:val="00434AE6"/>
    <w:rsid w:val="007F5CC8"/>
    <w:rsid w:val="008779BE"/>
    <w:rsid w:val="009030E6"/>
    <w:rsid w:val="00C14301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CD00"/>
  <w15:chartTrackingRefBased/>
  <w15:docId w15:val="{5307782C-4B0A-49A3-A047-5F74AAA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876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2</cp:revision>
  <dcterms:created xsi:type="dcterms:W3CDTF">2021-01-09T17:49:00Z</dcterms:created>
  <dcterms:modified xsi:type="dcterms:W3CDTF">2021-01-11T23:27:00Z</dcterms:modified>
</cp:coreProperties>
</file>