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2F7BE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8000"/>
          <w:kern w:val="36"/>
          <w:sz w:val="36"/>
          <w:szCs w:val="36"/>
          <w:lang w:eastAsia="es-CO"/>
        </w:rPr>
      </w:pPr>
      <w:r w:rsidRPr="00881115">
        <w:rPr>
          <w:rFonts w:ascii="Arial" w:eastAsia="Times New Roman" w:hAnsi="Arial" w:cs="Arial"/>
          <w:b/>
          <w:bCs/>
          <w:caps/>
          <w:color w:val="008000"/>
          <w:kern w:val="36"/>
          <w:sz w:val="36"/>
          <w:szCs w:val="36"/>
          <w:lang w:eastAsia="es-CO"/>
        </w:rPr>
        <w:t>PQSR Y DENUNCIAS</w:t>
      </w:r>
    </w:p>
    <w:p w14:paraId="47C6F450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 </w:t>
      </w:r>
    </w:p>
    <w:p w14:paraId="3697750F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Encuentra toda la información general del Servicio de Quejas, Reclamos, Sugerencias, Glosario, Marco Normativo y Preguntas </w:t>
      </w:r>
    </w:p>
    <w:p w14:paraId="6B728BAD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color w:val="444444"/>
          <w:sz w:val="30"/>
          <w:szCs w:val="30"/>
          <w:lang w:eastAsia="es-CO"/>
        </w:rPr>
        <w:t>Ten en cuenta que en el Sistema PQSRD </w:t>
      </w:r>
      <w:r w:rsidRPr="00881115">
        <w:rPr>
          <w:rFonts w:ascii="Arial" w:eastAsia="Times New Roman" w:hAnsi="Arial" w:cs="Arial"/>
          <w:b/>
          <w:bCs/>
          <w:color w:val="444444"/>
          <w:sz w:val="30"/>
          <w:szCs w:val="30"/>
          <w:lang w:eastAsia="es-CO"/>
        </w:rPr>
        <w:t>no se gestionan recursos, revocatorias tutelas y otras actuaciones que tienen procedimiento legal especial</w:t>
      </w:r>
      <w:r w:rsidRPr="00881115">
        <w:rPr>
          <w:rFonts w:ascii="Arial" w:eastAsia="Times New Roman" w:hAnsi="Arial" w:cs="Arial"/>
          <w:b/>
          <w:bCs/>
          <w:color w:val="444444"/>
          <w:sz w:val="30"/>
          <w:szCs w:val="30"/>
          <w:lang w:val="es-MX" w:eastAsia="es-CO"/>
        </w:rPr>
        <w:t>. </w:t>
      </w:r>
      <w:r w:rsidRPr="00881115">
        <w:rPr>
          <w:rFonts w:ascii="Arial" w:eastAsia="Times New Roman" w:hAnsi="Arial" w:cs="Arial"/>
          <w:color w:val="444444"/>
          <w:sz w:val="30"/>
          <w:szCs w:val="30"/>
          <w:lang w:eastAsia="es-CO"/>
        </w:rPr>
        <w:t>Tampoco excepciones a mandamientos de pago, prescripciones, respuestas a requerimientos ordinarios o especiales, pliegos de cargos, allegar pruebas, acuerdos de pago, terminaciones por mutuo acuerdo ni conciliaciones. P</w:t>
      </w:r>
      <w:r w:rsidRPr="00881115">
        <w:rPr>
          <w:rFonts w:ascii="Arial" w:eastAsia="Times New Roman" w:hAnsi="Arial" w:cs="Arial"/>
          <w:color w:val="444444"/>
          <w:sz w:val="30"/>
          <w:szCs w:val="30"/>
          <w:lang w:val="es-MX" w:eastAsia="es-CO"/>
        </w:rPr>
        <w:t>ara todas estas actuaciones </w:t>
      </w:r>
      <w:r w:rsidRPr="00881115">
        <w:rPr>
          <w:rFonts w:ascii="Arial" w:eastAsia="Times New Roman" w:hAnsi="Arial" w:cs="Arial"/>
          <w:color w:val="444444"/>
          <w:sz w:val="30"/>
          <w:szCs w:val="30"/>
          <w:lang w:eastAsia="es-CO"/>
        </w:rPr>
        <w:t>la Entidad ha habilitado ventanillas de atención en todas las Direcciones Seccionales </w:t>
      </w:r>
      <w:r w:rsidRPr="00881115">
        <w:rPr>
          <w:rFonts w:ascii="Arial" w:eastAsia="Times New Roman" w:hAnsi="Arial" w:cs="Arial"/>
          <w:color w:val="444444"/>
          <w:sz w:val="30"/>
          <w:szCs w:val="30"/>
          <w:lang w:val="es-MX" w:eastAsia="es-CO"/>
        </w:rPr>
        <w:t>del país </w:t>
      </w:r>
      <w:r w:rsidRPr="00881115">
        <w:rPr>
          <w:rFonts w:ascii="Arial" w:eastAsia="Times New Roman" w:hAnsi="Arial" w:cs="Arial"/>
          <w:color w:val="444444"/>
          <w:sz w:val="30"/>
          <w:szCs w:val="30"/>
          <w:lang w:eastAsia="es-CO"/>
        </w:rPr>
        <w:t xml:space="preserve">y en el Nivel </w:t>
      </w:r>
      <w:proofErr w:type="gramStart"/>
      <w:r w:rsidRPr="00881115">
        <w:rPr>
          <w:rFonts w:ascii="Arial" w:eastAsia="Times New Roman" w:hAnsi="Arial" w:cs="Arial"/>
          <w:color w:val="444444"/>
          <w:sz w:val="30"/>
          <w:szCs w:val="30"/>
          <w:lang w:eastAsia="es-CO"/>
        </w:rPr>
        <w:t>Central</w:t>
      </w:r>
      <w:proofErr w:type="gramEnd"/>
      <w:r w:rsidRPr="00881115">
        <w:rPr>
          <w:rFonts w:ascii="Arial" w:eastAsia="Times New Roman" w:hAnsi="Arial" w:cs="Arial"/>
          <w:color w:val="444444"/>
          <w:sz w:val="30"/>
          <w:szCs w:val="30"/>
          <w:lang w:eastAsia="es-CO"/>
        </w:rPr>
        <w:t xml:space="preserve"> así como buzones institucionales autorizados.  No utilice</w:t>
      </w:r>
      <w:r w:rsidRPr="00881115">
        <w:rPr>
          <w:rFonts w:ascii="Arial" w:eastAsia="Times New Roman" w:hAnsi="Arial" w:cs="Arial"/>
          <w:color w:val="444444"/>
          <w:sz w:val="30"/>
          <w:szCs w:val="30"/>
          <w:lang w:val="es-MX" w:eastAsia="es-CO"/>
        </w:rPr>
        <w:t>s</w:t>
      </w:r>
      <w:r w:rsidRPr="00881115">
        <w:rPr>
          <w:rFonts w:ascii="Arial" w:eastAsia="Times New Roman" w:hAnsi="Arial" w:cs="Arial"/>
          <w:color w:val="444444"/>
          <w:sz w:val="30"/>
          <w:szCs w:val="30"/>
          <w:lang w:eastAsia="es-CO"/>
        </w:rPr>
        <w:t> el Sistema de PQSRD para dar respuesta informativa o aclaratoria respecto de campañas de programas seleccionados.</w:t>
      </w:r>
    </w:p>
    <w:p w14:paraId="246553C6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color w:val="444444"/>
          <w:sz w:val="30"/>
          <w:szCs w:val="30"/>
          <w:lang w:eastAsia="es-CO"/>
        </w:rPr>
        <w:t>El Servicio de Peticiones, Quejas, Reclamos, Sugerencias y Denuncias - Sistema PQSRD es el canal virtual habilitado por la DIAN en la página web para recibir los derechos de petición según la Ley 1755 de 2015. </w:t>
      </w:r>
    </w:p>
    <w:p w14:paraId="5E4BAA5F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 </w:t>
      </w:r>
    </w:p>
    <w:p w14:paraId="17D3D761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8000"/>
          <w:kern w:val="36"/>
          <w:sz w:val="36"/>
          <w:szCs w:val="36"/>
          <w:lang w:eastAsia="es-CO"/>
        </w:rPr>
      </w:pPr>
      <w:r w:rsidRPr="00881115">
        <w:rPr>
          <w:rFonts w:ascii="Arial" w:eastAsia="Times New Roman" w:hAnsi="Arial" w:cs="Arial"/>
          <w:b/>
          <w:bCs/>
          <w:caps/>
          <w:color w:val="008000"/>
          <w:kern w:val="36"/>
          <w:sz w:val="36"/>
          <w:szCs w:val="36"/>
          <w:lang w:eastAsia="es-CO"/>
        </w:rPr>
        <w:t>INGRESA </w:t>
      </w:r>
      <w:hyperlink r:id="rId5" w:tgtFrame="_blank" w:history="1">
        <w:r w:rsidRPr="00881115">
          <w:rPr>
            <w:rFonts w:ascii="Arial" w:eastAsia="Times New Roman" w:hAnsi="Arial" w:cs="Arial"/>
            <w:b/>
            <w:bCs/>
            <w:caps/>
            <w:color w:val="262944"/>
            <w:kern w:val="36"/>
            <w:sz w:val="36"/>
            <w:szCs w:val="36"/>
            <w:u w:val="single"/>
            <w:lang w:eastAsia="es-CO"/>
          </w:rPr>
          <w:t>AQUÍ</w:t>
        </w:r>
      </w:hyperlink>
      <w:r w:rsidRPr="00881115">
        <w:rPr>
          <w:rFonts w:ascii="Arial" w:eastAsia="Times New Roman" w:hAnsi="Arial" w:cs="Arial"/>
          <w:b/>
          <w:bCs/>
          <w:caps/>
          <w:color w:val="008000"/>
          <w:kern w:val="36"/>
          <w:sz w:val="36"/>
          <w:szCs w:val="36"/>
          <w:lang w:eastAsia="es-CO"/>
        </w:rPr>
        <w:t> PARA ENVIAR TU QUEJA, RECLAMO, SUGERENCIA, PETICIÓN O FELICITACIÓN</w:t>
      </w:r>
    </w:p>
    <w:p w14:paraId="34FA680D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 </w:t>
      </w:r>
    </w:p>
    <w:p w14:paraId="05767CF7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Apreciado ciudadano(a)</w:t>
      </w:r>
    </w:p>
    <w:p w14:paraId="2DA4B2B9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El Servicio de Peticiones, Quejas, Sugerencias, Reclamos y Denuncias - Sistema PQSRD, es el canal virtual habilitado por la DIAN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val="es-MX" w:eastAsia="es-CO"/>
        </w:rPr>
        <w:t>,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 en la página web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val="es-MX" w:eastAsia="es-CO"/>
        </w:rPr>
        <w:t>,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 para recibir los derechos de petición según la Ley 1755 de 2015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val="es-MX" w:eastAsia="es-CO"/>
        </w:rPr>
        <w:t>. 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En este Servicio puede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val="es-MX" w:eastAsia="es-CO"/>
        </w:rPr>
        <w:t>s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 formular tu solicitud, de manera respetuosa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val="es-MX" w:eastAsia="es-CO"/>
        </w:rPr>
        <w:t>, 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 xml:space="preserve">la cual será atendida de acuerdo con los lineamientos establecidos en la Resolución 17 del 26 de marzo de </w:t>
      </w:r>
      <w:proofErr w:type="gramStart"/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2018.​</w:t>
      </w:r>
      <w:proofErr w:type="gramEnd"/>
    </w:p>
    <w:p w14:paraId="22693661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Ten en cuenta 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val="es-MX" w:eastAsia="es-CO"/>
        </w:rPr>
        <w:t>estos puntos en el momento de realizar tu solicitud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:</w:t>
      </w:r>
    </w:p>
    <w:p w14:paraId="3957F28B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b/>
          <w:bCs/>
          <w:color w:val="008000"/>
          <w:sz w:val="30"/>
          <w:szCs w:val="30"/>
          <w:lang w:eastAsia="es-CO"/>
        </w:rPr>
        <w:t>1. ASUNTO: 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Los temas que le competen a la DIAN son </w:t>
      </w:r>
      <w:r w:rsidRPr="00881115">
        <w:rPr>
          <w:rFonts w:ascii="Arial" w:eastAsia="Times New Roman" w:hAnsi="Arial" w:cs="Arial"/>
          <w:b/>
          <w:bCs/>
          <w:color w:val="454545"/>
          <w:sz w:val="30"/>
          <w:szCs w:val="30"/>
          <w:lang w:eastAsia="es-CO"/>
        </w:rPr>
        <w:t>Impuestos, Aduanas y Cambios a Nivel Nacional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.</w:t>
      </w:r>
    </w:p>
    <w:p w14:paraId="7E008706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b/>
          <w:bCs/>
          <w:color w:val="008000"/>
          <w:sz w:val="30"/>
          <w:szCs w:val="30"/>
          <w:lang w:eastAsia="es-CO"/>
        </w:rPr>
        <w:t>2. EXCEPCIONES: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 Si tu petición está relacionada con </w:t>
      </w:r>
      <w:r w:rsidRPr="00881115">
        <w:rPr>
          <w:rFonts w:ascii="Arial" w:eastAsia="Times New Roman" w:hAnsi="Arial" w:cs="Arial"/>
          <w:b/>
          <w:bCs/>
          <w:color w:val="454545"/>
          <w:sz w:val="30"/>
          <w:szCs w:val="30"/>
          <w:lang w:eastAsia="es-CO"/>
        </w:rPr>
        <w:t>recursos, revocatorias, tutelas y otras actuaciones que tienen procedimiento legal especial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val="es-MX" w:eastAsia="es-CO"/>
        </w:rPr>
        <w:t>, 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no se gestiona por el Sistema PQSRD. Por ello,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val="es-MX" w:eastAsia="es-CO"/>
        </w:rPr>
        <w:t> te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 invitamos a verificar si t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val="es-MX" w:eastAsia="es-CO"/>
        </w:rPr>
        <w:t>u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 solicitud se refiere a un trámite específico y consultar los mecanismos o servicios en línea dispuestos para el mismo. 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val="es-MX" w:eastAsia="es-CO"/>
        </w:rPr>
        <w:t>También, 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la Entidad ha habilitado ventanillas de atención</w:t>
      </w:r>
      <w:r w:rsidRPr="00881115">
        <w:rPr>
          <w:rFonts w:ascii="MS Gothic" w:eastAsia="MS Gothic" w:hAnsi="MS Gothic" w:cs="MS Gothic" w:hint="eastAsia"/>
          <w:color w:val="454545"/>
          <w:sz w:val="30"/>
          <w:szCs w:val="30"/>
          <w:lang w:eastAsia="es-CO"/>
        </w:rPr>
        <w:t xml:space="preserve">　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 xml:space="preserve">en todas las Direcciones Seccionales y en el Nivel </w:t>
      </w:r>
      <w:proofErr w:type="gramStart"/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Central</w:t>
      </w:r>
      <w:proofErr w:type="gramEnd"/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 xml:space="preserve"> así como buzones institucionales autorizados.</w:t>
      </w:r>
    </w:p>
    <w:p w14:paraId="7548EAC9" w14:textId="77777777" w:rsidR="00881115" w:rsidRPr="00881115" w:rsidRDefault="00881115" w:rsidP="00BE0EFC">
      <w:pPr>
        <w:numPr>
          <w:ilvl w:val="0"/>
          <w:numId w:val="1"/>
        </w:num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lastRenderedPageBreak/>
        <w:t>En cuanto al procedimiento de devoluciones, no se tramitan por este buzón el cierre de casos, consignación de dineros, comunicación de resolución de inadmisión y de aceptación.</w:t>
      </w:r>
    </w:p>
    <w:p w14:paraId="096419BC" w14:textId="77777777" w:rsidR="00881115" w:rsidRPr="00881115" w:rsidRDefault="00881115" w:rsidP="00BE0EFC">
      <w:pPr>
        <w:numPr>
          <w:ilvl w:val="0"/>
          <w:numId w:val="1"/>
        </w:num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Otras actuaciones que no se deben allegar por este medio son las excepciones a mandamientos de pago, prescripciones, respuestas a requerimientos ordinarios o especiales, pliegos de cargos, allegar pruebas, acuerdos de pago, terminaciones por mutuo acuerdo ni conciliaciones.</w:t>
      </w:r>
    </w:p>
    <w:p w14:paraId="603BE662" w14:textId="77777777" w:rsidR="00881115" w:rsidRPr="00881115" w:rsidRDefault="00881115" w:rsidP="00BE0EFC">
      <w:pPr>
        <w:numPr>
          <w:ilvl w:val="0"/>
          <w:numId w:val="1"/>
        </w:num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No utilice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val="es-MX" w:eastAsia="es-CO"/>
        </w:rPr>
        <w:t>s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 el SIE PQSRD para dar respuesta informativa o aclaratoria respecto de campañas de programas seleccionados.</w:t>
      </w:r>
    </w:p>
    <w:p w14:paraId="75023A6E" w14:textId="50226454" w:rsidR="00881115" w:rsidRPr="00881115" w:rsidRDefault="00881115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b/>
          <w:bCs/>
          <w:color w:val="008000"/>
          <w:sz w:val="30"/>
          <w:szCs w:val="30"/>
          <w:lang w:eastAsia="es-CO"/>
        </w:rPr>
        <w:t>3. T</w:t>
      </w:r>
      <w:r w:rsidRPr="00881115">
        <w:rPr>
          <w:rFonts w:ascii="Arial" w:eastAsia="Times New Roman" w:hAnsi="Arial" w:cs="Arial"/>
          <w:b/>
          <w:bCs/>
          <w:color w:val="008000"/>
          <w:sz w:val="30"/>
          <w:szCs w:val="30"/>
          <w:lang w:val="es-MX" w:eastAsia="es-CO"/>
        </w:rPr>
        <w:t>É</w:t>
      </w:r>
      <w:r w:rsidRPr="00881115">
        <w:rPr>
          <w:rFonts w:ascii="Arial" w:eastAsia="Times New Roman" w:hAnsi="Arial" w:cs="Arial"/>
          <w:b/>
          <w:bCs/>
          <w:color w:val="008000"/>
          <w:sz w:val="30"/>
          <w:szCs w:val="30"/>
          <w:lang w:eastAsia="es-CO"/>
        </w:rPr>
        <w:t>RMINOS DE RESPUESTA: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 Durante la Emergencia Sanitaria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val="es-MX" w:eastAsia="es-CO"/>
        </w:rPr>
        <w:t>,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 la Dirección de Impuestos y Aduanas Nacionales se acoge a los</w:t>
      </w:r>
      <w:r w:rsidRPr="00881115">
        <w:rPr>
          <w:rFonts w:ascii="MS Gothic" w:eastAsia="MS Gothic" w:hAnsi="MS Gothic" w:cs="MS Gothic" w:hint="eastAsia"/>
          <w:color w:val="454545"/>
          <w:sz w:val="30"/>
          <w:szCs w:val="30"/>
          <w:lang w:eastAsia="es-CO"/>
        </w:rPr>
        <w:t xml:space="preserve">　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términos</w:t>
      </w:r>
      <w:r w:rsidRPr="00881115">
        <w:rPr>
          <w:rFonts w:ascii="MS Gothic" w:eastAsia="MS Gothic" w:hAnsi="MS Gothic" w:cs="MS Gothic" w:hint="eastAsia"/>
          <w:color w:val="454545"/>
          <w:sz w:val="30"/>
          <w:szCs w:val="30"/>
          <w:lang w:eastAsia="es-CO"/>
        </w:rPr>
        <w:t xml:space="preserve">　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establecidos en el Decreto 491 de 2020.</w:t>
      </w:r>
    </w:p>
    <w:p w14:paraId="71887F53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 </w:t>
      </w:r>
    </w:p>
    <w:tbl>
      <w:tblPr>
        <w:tblW w:w="15885" w:type="dxa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551"/>
        <w:gridCol w:w="6914"/>
      </w:tblGrid>
      <w:tr w:rsidR="00881115" w:rsidRPr="00881115" w14:paraId="168FD1FD" w14:textId="77777777" w:rsidTr="00881115">
        <w:trPr>
          <w:trHeight w:val="9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C898C9D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​</w:t>
            </w:r>
            <w:r w:rsidRPr="00881115">
              <w:rPr>
                <w:rFonts w:ascii="Arial" w:eastAsia="Times New Roman" w:hAnsi="Arial" w:cs="Arial"/>
                <w:b/>
                <w:bCs/>
                <w:color w:val="454545"/>
                <w:sz w:val="30"/>
                <w:szCs w:val="30"/>
                <w:lang w:eastAsia="es-CO"/>
              </w:rPr>
              <w:t>Categoría Documental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E42771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b/>
                <w:bCs/>
                <w:color w:val="454545"/>
                <w:sz w:val="30"/>
                <w:szCs w:val="30"/>
                <w:lang w:eastAsia="es-CO"/>
              </w:rPr>
              <w:t>Términos Ley 1755 de 2015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CA1409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b/>
                <w:bCs/>
                <w:color w:val="454545"/>
                <w:sz w:val="30"/>
                <w:szCs w:val="30"/>
                <w:lang w:eastAsia="es-CO"/>
              </w:rPr>
              <w:t>​Términos de respuesta en días hábiles</w:t>
            </w:r>
          </w:p>
          <w:p w14:paraId="5D6F6C05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b/>
                <w:bCs/>
                <w:color w:val="454545"/>
                <w:sz w:val="30"/>
                <w:szCs w:val="30"/>
                <w:lang w:eastAsia="es-CO"/>
              </w:rPr>
              <w:t>Ajuste según decreto 491 de 2020</w:t>
            </w:r>
          </w:p>
        </w:tc>
      </w:tr>
      <w:tr w:rsidR="00881115" w:rsidRPr="00881115" w14:paraId="6EEF1BC5" w14:textId="77777777" w:rsidTr="0088111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677860B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​Consulta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5E1123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C44DF1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35</w:t>
            </w:r>
          </w:p>
        </w:tc>
      </w:tr>
      <w:tr w:rsidR="00881115" w:rsidRPr="00881115" w14:paraId="6544F148" w14:textId="77777777" w:rsidTr="0088111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6095345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​Denuncia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CC5DE7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13B269B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30​</w:t>
            </w:r>
          </w:p>
        </w:tc>
      </w:tr>
      <w:tr w:rsidR="00881115" w:rsidRPr="00881115" w14:paraId="27382A43" w14:textId="77777777" w:rsidTr="0088111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0E9435B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​No competencia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C9B8A0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8BC9F4D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​5</w:t>
            </w:r>
          </w:p>
        </w:tc>
      </w:tr>
      <w:tr w:rsidR="00881115" w:rsidRPr="00881115" w14:paraId="2FB061A3" w14:textId="77777777" w:rsidTr="00881115">
        <w:trPr>
          <w:trHeight w:val="6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0BA0549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​Petición de Información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699D28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BEE6FD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​20</w:t>
            </w:r>
          </w:p>
        </w:tc>
      </w:tr>
      <w:tr w:rsidR="00881115" w:rsidRPr="00881115" w14:paraId="155DA6AE" w14:textId="77777777" w:rsidTr="00881115">
        <w:trPr>
          <w:trHeight w:val="6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C9E6902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​Petición de Interés General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2F2D73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0EF3F57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​30</w:t>
            </w:r>
          </w:p>
        </w:tc>
      </w:tr>
      <w:tr w:rsidR="00881115" w:rsidRPr="00881115" w14:paraId="09967B51" w14:textId="77777777" w:rsidTr="00881115">
        <w:trPr>
          <w:trHeight w:val="6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D00BEC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​Petición de Interés Particular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6624BD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59C55DA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​30</w:t>
            </w:r>
          </w:p>
        </w:tc>
      </w:tr>
      <w:tr w:rsidR="00881115" w:rsidRPr="00881115" w14:paraId="728C37C8" w14:textId="77777777" w:rsidTr="0088111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D059449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​Queja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16A7C3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22EA567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​30</w:t>
            </w:r>
          </w:p>
        </w:tc>
      </w:tr>
      <w:tr w:rsidR="00881115" w:rsidRPr="00881115" w14:paraId="3D0B134C" w14:textId="77777777" w:rsidTr="0088111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844EBEB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​Reclamo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1B5E60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007811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​30</w:t>
            </w:r>
          </w:p>
        </w:tc>
      </w:tr>
      <w:tr w:rsidR="00881115" w:rsidRPr="00881115" w14:paraId="5F7318A1" w14:textId="77777777" w:rsidTr="00881115">
        <w:trPr>
          <w:trHeight w:val="6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CF00C65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​Solicitud de Copias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186AF6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3CC4B57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​20</w:t>
            </w:r>
          </w:p>
        </w:tc>
      </w:tr>
      <w:tr w:rsidR="00881115" w:rsidRPr="00881115" w14:paraId="3321166E" w14:textId="77777777" w:rsidTr="0088111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84B207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Sugerencia​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AE92B4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23EED44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30​</w:t>
            </w:r>
          </w:p>
        </w:tc>
      </w:tr>
      <w:tr w:rsidR="00881115" w:rsidRPr="00881115" w14:paraId="6A9C069A" w14:textId="77777777" w:rsidTr="0088111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76653CE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​Felicitación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A9B125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FDB1D5" w14:textId="77777777" w:rsidR="00881115" w:rsidRPr="00881115" w:rsidRDefault="00881115" w:rsidP="00BE0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</w:pPr>
            <w:r w:rsidRPr="00881115">
              <w:rPr>
                <w:rFonts w:ascii="Arial" w:eastAsia="Times New Roman" w:hAnsi="Arial" w:cs="Arial"/>
                <w:color w:val="454545"/>
                <w:sz w:val="30"/>
                <w:szCs w:val="30"/>
                <w:lang w:eastAsia="es-CO"/>
              </w:rPr>
              <w:t>​30</w:t>
            </w:r>
          </w:p>
        </w:tc>
      </w:tr>
    </w:tbl>
    <w:p w14:paraId="7EB6340F" w14:textId="77777777" w:rsidR="00881115" w:rsidRPr="00881115" w:rsidRDefault="00881115" w:rsidP="00BE0EFC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881115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 </w:t>
      </w:r>
    </w:p>
    <w:p w14:paraId="2EF815CB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 </w:t>
      </w:r>
    </w:p>
    <w:p w14:paraId="7E68C769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b/>
          <w:bCs/>
          <w:color w:val="008000"/>
          <w:sz w:val="30"/>
          <w:szCs w:val="30"/>
          <w:lang w:eastAsia="es-CO"/>
        </w:rPr>
        <w:lastRenderedPageBreak/>
        <w:t>VERIFICA: 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Antes de enviar tu solicitud, consulta nuestra sección de preguntas frecuentes con el fin de verificar si ésta ya se encuentra resuelta.</w:t>
      </w:r>
    </w:p>
    <w:p w14:paraId="14B70FF7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Link: </w:t>
      </w:r>
      <w:hyperlink r:id="rId6" w:tgtFrame="_blank" w:history="1">
        <w:r w:rsidRPr="00881115">
          <w:rPr>
            <w:rFonts w:ascii="Arial" w:eastAsia="Times New Roman" w:hAnsi="Arial" w:cs="Arial"/>
            <w:color w:val="454545"/>
            <w:sz w:val="30"/>
            <w:szCs w:val="30"/>
            <w:u w:val="single"/>
            <w:lang w:eastAsia="es-CO"/>
          </w:rPr>
          <w:t>https://www.dian.gov.co/atencionciudadano/infoconsulta/Paginas/PreguntasFrecuentes.aspx</w:t>
        </w:r>
      </w:hyperlink>
    </w:p>
    <w:p w14:paraId="4DEC4448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b/>
          <w:bCs/>
          <w:color w:val="008000"/>
          <w:sz w:val="30"/>
          <w:szCs w:val="30"/>
          <w:lang w:eastAsia="es-CO"/>
        </w:rPr>
        <w:t>SEGUIMIENTO: </w:t>
      </w: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Si ya realizaste una PQRSD, no la reiteres, espera la respuesta o consúltala con tu número de radicado en el Sistema PQSRD:</w:t>
      </w:r>
    </w:p>
    <w:p w14:paraId="7C0457EB" w14:textId="77777777" w:rsidR="00881115" w:rsidRPr="00881115" w:rsidRDefault="00BE0EFC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hyperlink r:id="rId7" w:tgtFrame="_blank" w:history="1">
        <w:r w:rsidR="00881115" w:rsidRPr="00881115">
          <w:rPr>
            <w:rFonts w:ascii="Arial" w:eastAsia="Times New Roman" w:hAnsi="Arial" w:cs="Arial"/>
            <w:color w:val="454545"/>
            <w:sz w:val="30"/>
            <w:szCs w:val="30"/>
            <w:u w:val="single"/>
            <w:lang w:eastAsia="es-CO"/>
          </w:rPr>
          <w:t>https://muisca.dian.gov.co/WebSolicitudesexternas/DefMenuSolicitudNS.faces</w:t>
        </w:r>
      </w:hyperlink>
    </w:p>
    <w:p w14:paraId="4DADC370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Finalmente, recuerda siempre suministrar tu correo electrónico a fin de facilitar la comunicación con la Entidad. </w:t>
      </w:r>
    </w:p>
    <w:p w14:paraId="1E2F7D46" w14:textId="77777777" w:rsidR="00881115" w:rsidRPr="00881115" w:rsidRDefault="00881115" w:rsidP="00BE0EFC">
      <w:p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color w:val="454545"/>
          <w:sz w:val="30"/>
          <w:szCs w:val="30"/>
          <w:lang w:eastAsia="es-CO"/>
        </w:rPr>
        <w:t> </w:t>
      </w:r>
    </w:p>
    <w:p w14:paraId="1EE5BB40" w14:textId="77777777" w:rsidR="00881115" w:rsidRPr="00881115" w:rsidRDefault="00BE0EFC" w:rsidP="00BE0EFC">
      <w:pPr>
        <w:numPr>
          <w:ilvl w:val="0"/>
          <w:numId w:val="2"/>
        </w:num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hyperlink r:id="rId8" w:tgtFrame="_blank" w:history="1">
        <w:r w:rsidR="00881115" w:rsidRPr="00881115">
          <w:rPr>
            <w:rFonts w:ascii="Arial" w:eastAsia="Times New Roman" w:hAnsi="Arial" w:cs="Arial"/>
            <w:b/>
            <w:bCs/>
            <w:color w:val="222222"/>
            <w:sz w:val="30"/>
            <w:szCs w:val="30"/>
            <w:lang w:eastAsia="es-CO"/>
          </w:rPr>
          <w:t>Presentación del Servicio</w:t>
        </w:r>
      </w:hyperlink>
      <w:r w:rsidR="00881115" w:rsidRPr="00881115">
        <w:rPr>
          <w:rFonts w:ascii="Arial" w:eastAsia="Times New Roman" w:hAnsi="Arial" w:cs="Arial"/>
          <w:color w:val="222222"/>
          <w:sz w:val="30"/>
          <w:szCs w:val="30"/>
          <w:lang w:eastAsia="es-CO"/>
        </w:rPr>
        <w:t> </w:t>
      </w:r>
    </w:p>
    <w:p w14:paraId="6E4D5167" w14:textId="77777777" w:rsidR="00881115" w:rsidRPr="00881115" w:rsidRDefault="00BE0EFC" w:rsidP="00BE0EFC">
      <w:pPr>
        <w:numPr>
          <w:ilvl w:val="0"/>
          <w:numId w:val="2"/>
        </w:num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hyperlink r:id="rId9" w:tgtFrame="_blank" w:history="1">
        <w:r w:rsidR="00881115" w:rsidRPr="00881115">
          <w:rPr>
            <w:rFonts w:ascii="Arial" w:eastAsia="Times New Roman" w:hAnsi="Arial" w:cs="Arial"/>
            <w:b/>
            <w:bCs/>
            <w:color w:val="222222"/>
            <w:sz w:val="30"/>
            <w:szCs w:val="30"/>
            <w:lang w:eastAsia="es-CO"/>
          </w:rPr>
          <w:t>Cartilla Instruccional</w:t>
        </w:r>
      </w:hyperlink>
      <w:r w:rsidR="00881115" w:rsidRPr="00881115">
        <w:rPr>
          <w:rFonts w:ascii="Arial" w:eastAsia="Times New Roman" w:hAnsi="Arial" w:cs="Arial"/>
          <w:color w:val="222222"/>
          <w:sz w:val="30"/>
          <w:szCs w:val="30"/>
          <w:lang w:eastAsia="es-CO"/>
        </w:rPr>
        <w:t> </w:t>
      </w:r>
    </w:p>
    <w:p w14:paraId="2738BD61" w14:textId="77777777" w:rsidR="00881115" w:rsidRPr="00881115" w:rsidRDefault="00BE0EFC" w:rsidP="00BE0EFC">
      <w:pPr>
        <w:numPr>
          <w:ilvl w:val="0"/>
          <w:numId w:val="2"/>
        </w:num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hyperlink r:id="rId10" w:tgtFrame="_blank" w:history="1">
        <w:r w:rsidR="00881115" w:rsidRPr="00881115">
          <w:rPr>
            <w:rFonts w:ascii="Arial" w:eastAsia="Times New Roman" w:hAnsi="Arial" w:cs="Arial"/>
            <w:b/>
            <w:bCs/>
            <w:color w:val="222222"/>
            <w:sz w:val="30"/>
            <w:szCs w:val="30"/>
            <w:lang w:eastAsia="es-CO"/>
          </w:rPr>
          <w:t>Paso a Paso Servicio PQSR</w:t>
        </w:r>
      </w:hyperlink>
      <w:r w:rsidR="00881115" w:rsidRPr="00881115">
        <w:rPr>
          <w:rFonts w:ascii="Arial" w:eastAsia="Times New Roman" w:hAnsi="Arial" w:cs="Arial"/>
          <w:color w:val="222222"/>
          <w:sz w:val="30"/>
          <w:szCs w:val="30"/>
          <w:lang w:eastAsia="es-CO"/>
        </w:rPr>
        <w:t> </w:t>
      </w:r>
    </w:p>
    <w:p w14:paraId="46C5E783" w14:textId="77777777" w:rsidR="00881115" w:rsidRPr="00881115" w:rsidRDefault="00BE0EFC" w:rsidP="00BE0EFC">
      <w:pPr>
        <w:numPr>
          <w:ilvl w:val="0"/>
          <w:numId w:val="2"/>
        </w:num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hyperlink r:id="rId11" w:history="1">
        <w:r w:rsidR="00881115" w:rsidRPr="00881115">
          <w:rPr>
            <w:rFonts w:ascii="Arial" w:eastAsia="Times New Roman" w:hAnsi="Arial" w:cs="Arial"/>
            <w:b/>
            <w:bCs/>
            <w:color w:val="222222"/>
            <w:sz w:val="30"/>
            <w:szCs w:val="30"/>
            <w:lang w:eastAsia="es-CO"/>
          </w:rPr>
          <w:t>Respuestas a PQSR Anónimos</w:t>
        </w:r>
      </w:hyperlink>
      <w:r w:rsidR="00881115" w:rsidRPr="00881115">
        <w:rPr>
          <w:rFonts w:ascii="Arial" w:eastAsia="Times New Roman" w:hAnsi="Arial" w:cs="Arial"/>
          <w:color w:val="222222"/>
          <w:sz w:val="30"/>
          <w:szCs w:val="30"/>
          <w:lang w:eastAsia="es-CO"/>
        </w:rPr>
        <w:t> </w:t>
      </w:r>
    </w:p>
    <w:p w14:paraId="314F6C0D" w14:textId="77777777" w:rsidR="00881115" w:rsidRPr="00881115" w:rsidRDefault="00BE0EFC" w:rsidP="00BE0EFC">
      <w:pPr>
        <w:numPr>
          <w:ilvl w:val="0"/>
          <w:numId w:val="2"/>
        </w:num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hyperlink r:id="rId12" w:tgtFrame="_blank" w:tooltip="Clic para ver el video" w:history="1">
        <w:r w:rsidR="00881115" w:rsidRPr="00881115">
          <w:rPr>
            <w:rFonts w:ascii="Arial" w:eastAsia="Times New Roman" w:hAnsi="Arial" w:cs="Arial"/>
            <w:b/>
            <w:bCs/>
            <w:color w:val="222222"/>
            <w:sz w:val="30"/>
            <w:szCs w:val="30"/>
            <w:lang w:eastAsia="es-CO"/>
          </w:rPr>
          <w:t>¿Cómo realizar una solicitud y denuncias a través del servicio virtual?</w:t>
        </w:r>
      </w:hyperlink>
      <w:r w:rsidR="00881115" w:rsidRPr="00881115">
        <w:rPr>
          <w:rFonts w:ascii="Arial" w:eastAsia="Times New Roman" w:hAnsi="Arial" w:cs="Arial"/>
          <w:color w:val="222222"/>
          <w:sz w:val="30"/>
          <w:szCs w:val="30"/>
          <w:lang w:eastAsia="es-CO"/>
        </w:rPr>
        <w:t> </w:t>
      </w:r>
    </w:p>
    <w:p w14:paraId="4EF0F1EF" w14:textId="77777777" w:rsidR="00881115" w:rsidRPr="00881115" w:rsidRDefault="00881115" w:rsidP="00BE0EFC">
      <w:pPr>
        <w:numPr>
          <w:ilvl w:val="0"/>
          <w:numId w:val="2"/>
        </w:numPr>
        <w:shd w:val="clear" w:color="auto" w:fill="F3F3F3"/>
        <w:spacing w:after="150" w:line="240" w:lineRule="auto"/>
        <w:jc w:val="both"/>
        <w:rPr>
          <w:rFonts w:ascii="Arial" w:eastAsia="Times New Roman" w:hAnsi="Arial" w:cs="Arial"/>
          <w:color w:val="454545"/>
          <w:sz w:val="30"/>
          <w:szCs w:val="30"/>
          <w:lang w:eastAsia="es-CO"/>
        </w:rPr>
      </w:pPr>
      <w:r w:rsidRPr="00881115">
        <w:rPr>
          <w:rFonts w:ascii="Arial" w:eastAsia="Times New Roman" w:hAnsi="Arial" w:cs="Arial"/>
          <w:b/>
          <w:bCs/>
          <w:color w:val="222222"/>
          <w:sz w:val="30"/>
          <w:szCs w:val="30"/>
          <w:lang w:eastAsia="es-CO"/>
        </w:rPr>
        <w:t>Información redes sociales:</w:t>
      </w:r>
      <w:r w:rsidRPr="00881115">
        <w:rPr>
          <w:rFonts w:ascii="Arial" w:eastAsia="Times New Roman" w:hAnsi="Arial" w:cs="Arial"/>
          <w:color w:val="222222"/>
          <w:sz w:val="30"/>
          <w:szCs w:val="30"/>
          <w:lang w:eastAsia="es-CO"/>
        </w:rPr>
        <w:t>   </w:t>
      </w:r>
    </w:p>
    <w:p w14:paraId="2D21C805" w14:textId="4DB02FD9" w:rsidR="00881115" w:rsidRPr="00881115" w:rsidRDefault="00BE0EFC" w:rsidP="00BE0EFC">
      <w:pPr>
        <w:numPr>
          <w:ilvl w:val="1"/>
          <w:numId w:val="2"/>
        </w:numPr>
        <w:shd w:val="clear" w:color="auto" w:fill="F3F3F3"/>
        <w:spacing w:after="150" w:line="240" w:lineRule="auto"/>
        <w:jc w:val="both"/>
        <w:outlineLvl w:val="1"/>
        <w:rPr>
          <w:rFonts w:ascii="inherit" w:eastAsia="Times New Roman" w:hAnsi="inherit" w:cs="Arial"/>
          <w:b/>
          <w:bCs/>
          <w:color w:val="0072C6"/>
          <w:sz w:val="31"/>
          <w:szCs w:val="31"/>
          <w:lang w:eastAsia="es-CO"/>
        </w:rPr>
      </w:pPr>
      <w:hyperlink r:id="rId13" w:tgtFrame="_blank" w:history="1">
        <w:r w:rsidR="00881115" w:rsidRPr="00881115">
          <w:rPr>
            <w:rFonts w:ascii="Arial" w:eastAsia="Times New Roman" w:hAnsi="Arial" w:cs="Arial"/>
            <w:b/>
            <w:bCs/>
            <w:color w:val="454545"/>
            <w:sz w:val="31"/>
            <w:szCs w:val="31"/>
            <w:u w:val="single"/>
            <w:lang w:eastAsia="es-CO"/>
          </w:rPr>
          <w:t>Twitter</w:t>
        </w:r>
      </w:hyperlink>
    </w:p>
    <w:p w14:paraId="544647BE" w14:textId="77777777" w:rsidR="00BE0EFC" w:rsidRPr="00881115" w:rsidRDefault="00BE0EFC">
      <w:pPr>
        <w:numPr>
          <w:ilvl w:val="1"/>
          <w:numId w:val="2"/>
        </w:numPr>
        <w:shd w:val="clear" w:color="auto" w:fill="F3F3F3"/>
        <w:spacing w:after="150" w:line="240" w:lineRule="auto"/>
        <w:jc w:val="both"/>
        <w:outlineLvl w:val="1"/>
        <w:rPr>
          <w:rFonts w:ascii="inherit" w:eastAsia="Times New Roman" w:hAnsi="inherit" w:cs="Arial"/>
          <w:b/>
          <w:bCs/>
          <w:color w:val="0072C6"/>
          <w:sz w:val="31"/>
          <w:szCs w:val="31"/>
          <w:lang w:eastAsia="es-CO"/>
        </w:rPr>
      </w:pPr>
    </w:p>
    <w:sectPr w:rsidR="00BE0EFC" w:rsidRPr="00881115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B1B50"/>
    <w:multiLevelType w:val="multilevel"/>
    <w:tmpl w:val="115A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673D8C"/>
    <w:multiLevelType w:val="multilevel"/>
    <w:tmpl w:val="D62E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15"/>
    <w:rsid w:val="000F3837"/>
    <w:rsid w:val="001E311E"/>
    <w:rsid w:val="00434AE6"/>
    <w:rsid w:val="007F5CC8"/>
    <w:rsid w:val="008779BE"/>
    <w:rsid w:val="00881115"/>
    <w:rsid w:val="00BE0EFC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0145"/>
  <w15:chartTrackingRefBased/>
  <w15:docId w15:val="{F5671438-4B47-4918-933E-F1D11004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n.gov.co/atencionciudadano/contactenos/Denuncias/Presentaci%c3%b3n%20del%20Servicio.pdf" TargetMode="External"/><Relationship Id="rId13" Type="http://schemas.openxmlformats.org/officeDocument/2006/relationships/hyperlink" Target="https://twitter.com/DIANColombia/status/12511714197503508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isca.dian.gov.co/WebSolicitudesexternas/DefMenuSolicitudNS.faces" TargetMode="External"/><Relationship Id="rId12" Type="http://schemas.openxmlformats.org/officeDocument/2006/relationships/hyperlink" Target="https://youtu.be/eN-SAVM_T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an.gov.co/atencionciudadano/infoconsulta/Paginas/PreguntasFrecuentes.aspx" TargetMode="External"/><Relationship Id="rId11" Type="http://schemas.openxmlformats.org/officeDocument/2006/relationships/hyperlink" Target="https://www.dian.gov.co/atencionciudadano/contactenos/Paginas/Anonimos_PQRS.aspx" TargetMode="External"/><Relationship Id="rId5" Type="http://schemas.openxmlformats.org/officeDocument/2006/relationships/hyperlink" Target="https://muisca.dian.gov.co/WebSolicitudesexternas/DefMenuSolicitudNS.fac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ian.gov.co/atencionciudadano/contactenos/Denuncias/Paso%20a%20Paso%20Servicio%20PQS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an.gov.co/atencionciudadano/contactenos/Denuncias/CT-AC-000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784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2</cp:revision>
  <dcterms:created xsi:type="dcterms:W3CDTF">2020-09-20T13:59:00Z</dcterms:created>
  <dcterms:modified xsi:type="dcterms:W3CDTF">2020-10-06T18:05:00Z</dcterms:modified>
</cp:coreProperties>
</file>