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FCE032" w14:textId="77777777" w:rsidR="008C0E2A" w:rsidRPr="008C0E2A" w:rsidRDefault="008C0E2A" w:rsidP="008C0E2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FF"/>
          <w:sz w:val="28"/>
          <w:szCs w:val="28"/>
          <w:lang w:eastAsia="es-CO"/>
        </w:rPr>
        <w:t xml:space="preserve">CONCEPTO </w:t>
      </w:r>
      <w:proofErr w:type="spellStart"/>
      <w:r w:rsidRPr="008C0E2A">
        <w:rPr>
          <w:rFonts w:ascii="Segoe UI" w:eastAsia="Times New Roman" w:hAnsi="Segoe UI" w:cs="Segoe UI"/>
          <w:b/>
          <w:bCs/>
          <w:color w:val="0000FF"/>
          <w:sz w:val="28"/>
          <w:szCs w:val="28"/>
          <w:lang w:eastAsia="es-CO"/>
        </w:rPr>
        <w:t>Nº</w:t>
      </w:r>
      <w:proofErr w:type="spellEnd"/>
      <w:r w:rsidRPr="008C0E2A">
        <w:rPr>
          <w:rFonts w:ascii="Segoe UI" w:eastAsia="Times New Roman" w:hAnsi="Segoe UI" w:cs="Segoe UI"/>
          <w:b/>
          <w:bCs/>
          <w:color w:val="0000FF"/>
          <w:sz w:val="28"/>
          <w:szCs w:val="28"/>
          <w:lang w:eastAsia="es-CO"/>
        </w:rPr>
        <w:t xml:space="preserve"> 100208221-936</w:t>
      </w:r>
    </w:p>
    <w:p w14:paraId="6F31B42E" w14:textId="77777777" w:rsidR="008C0E2A" w:rsidRPr="008C0E2A" w:rsidRDefault="008C0E2A" w:rsidP="008C0E2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FF"/>
          <w:sz w:val="28"/>
          <w:szCs w:val="28"/>
          <w:lang w:eastAsia="es-CO"/>
        </w:rPr>
        <w:t>28-07-2020</w:t>
      </w:r>
    </w:p>
    <w:p w14:paraId="60DA36A1" w14:textId="77777777" w:rsidR="008C0E2A" w:rsidRPr="008C0E2A" w:rsidRDefault="008C0E2A" w:rsidP="008C0E2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FF"/>
          <w:sz w:val="28"/>
          <w:szCs w:val="28"/>
          <w:lang w:eastAsia="es-CO"/>
        </w:rPr>
        <w:t>DIAN</w:t>
      </w:r>
    </w:p>
    <w:p w14:paraId="2E6EAA50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66888126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1DCF7097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Subdirección de Gestión Informativa y Doctrina</w:t>
      </w:r>
    </w:p>
    <w:p w14:paraId="3A1F05E8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100208221-936</w:t>
      </w:r>
    </w:p>
    <w:p w14:paraId="53325FD6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Bogotá, D. C.</w:t>
      </w:r>
    </w:p>
    <w:p w14:paraId="4E936451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077C4D86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Señores</w:t>
      </w:r>
    </w:p>
    <w:p w14:paraId="46B6B5D7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lang w:eastAsia="es-CO"/>
        </w:rPr>
        <w:t>CONTRIBUYENTES</w:t>
      </w:r>
    </w:p>
    <w:p w14:paraId="6A6AE0BB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sz w:val="18"/>
          <w:szCs w:val="18"/>
          <w:lang w:eastAsia="es-CO"/>
        </w:rPr>
        <w:t> </w:t>
      </w:r>
    </w:p>
    <w:tbl>
      <w:tblPr>
        <w:tblW w:w="0" w:type="auto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2"/>
        <w:gridCol w:w="5814"/>
      </w:tblGrid>
      <w:tr w:rsidR="008C0E2A" w:rsidRPr="008C0E2A" w14:paraId="73600FA2" w14:textId="77777777" w:rsidTr="008C0E2A">
        <w:trPr>
          <w:trHeight w:val="1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3C47CB" w14:textId="77777777" w:rsidR="008C0E2A" w:rsidRPr="008C0E2A" w:rsidRDefault="008C0E2A" w:rsidP="008C0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r w:rsidRPr="008C0E2A">
              <w:rPr>
                <w:rFonts w:ascii="Segoe UI" w:eastAsia="Times New Roman" w:hAnsi="Segoe UI" w:cs="Segoe UI"/>
                <w:b/>
                <w:bCs/>
                <w:sz w:val="20"/>
                <w:szCs w:val="20"/>
                <w:lang w:eastAsia="es-CO"/>
              </w:rPr>
              <w:t>Tema: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9AF2C4" w14:textId="77777777" w:rsidR="008C0E2A" w:rsidRPr="008C0E2A" w:rsidRDefault="008C0E2A" w:rsidP="008C0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r w:rsidRPr="008C0E2A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Programa de Apoyo para el Pago de la Prima de Servicios (PAP)</w:t>
            </w:r>
          </w:p>
        </w:tc>
      </w:tr>
      <w:tr w:rsidR="008C0E2A" w:rsidRPr="008C0E2A" w14:paraId="2856DD00" w14:textId="77777777" w:rsidTr="008C0E2A">
        <w:trPr>
          <w:trHeight w:val="226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44B02A" w14:textId="77777777" w:rsidR="008C0E2A" w:rsidRPr="008C0E2A" w:rsidRDefault="008C0E2A" w:rsidP="008C0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r w:rsidRPr="008C0E2A">
              <w:rPr>
                <w:rFonts w:ascii="Segoe UI" w:eastAsia="Times New Roman" w:hAnsi="Segoe UI" w:cs="Segoe UI"/>
                <w:b/>
                <w:bCs/>
                <w:sz w:val="20"/>
                <w:szCs w:val="20"/>
                <w:lang w:eastAsia="es-CO"/>
              </w:rPr>
              <w:t>Descriptores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270DE8" w14:textId="77777777" w:rsidR="008C0E2A" w:rsidRPr="008C0E2A" w:rsidRDefault="008C0E2A" w:rsidP="008C0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r w:rsidRPr="008C0E2A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Impuesto sobre la renta y complementarios</w:t>
            </w:r>
          </w:p>
          <w:p w14:paraId="424D3E2B" w14:textId="77777777" w:rsidR="008C0E2A" w:rsidRPr="008C0E2A" w:rsidRDefault="008C0E2A" w:rsidP="008C0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r w:rsidRPr="008C0E2A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Impuesto sobre las ventas</w:t>
            </w:r>
          </w:p>
        </w:tc>
      </w:tr>
      <w:tr w:rsidR="008C0E2A" w:rsidRPr="008C0E2A" w14:paraId="1BADC222" w14:textId="77777777" w:rsidTr="008C0E2A">
        <w:trPr>
          <w:trHeight w:val="1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6919A0" w14:textId="77777777" w:rsidR="008C0E2A" w:rsidRPr="008C0E2A" w:rsidRDefault="008C0E2A" w:rsidP="008C0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r w:rsidRPr="008C0E2A">
              <w:rPr>
                <w:rFonts w:ascii="Segoe UI" w:eastAsia="Times New Roman" w:hAnsi="Segoe UI" w:cs="Segoe UI"/>
                <w:b/>
                <w:bCs/>
                <w:sz w:val="20"/>
                <w:szCs w:val="20"/>
                <w:lang w:eastAsia="es-CO"/>
              </w:rPr>
              <w:t>Fuentes formales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08D3B0" w14:textId="77777777" w:rsidR="008C0E2A" w:rsidRPr="008C0E2A" w:rsidRDefault="008C0E2A" w:rsidP="008C0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s-CO"/>
              </w:rPr>
            </w:pPr>
            <w:r w:rsidRPr="008C0E2A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Decreto Legislativo 770 de 2020</w:t>
            </w:r>
          </w:p>
        </w:tc>
      </w:tr>
    </w:tbl>
    <w:p w14:paraId="73FD58DB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sz w:val="18"/>
          <w:szCs w:val="18"/>
          <w:lang w:eastAsia="es-CO"/>
        </w:rPr>
        <w:t> </w:t>
      </w:r>
    </w:p>
    <w:p w14:paraId="5946C6D6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sz w:val="18"/>
          <w:szCs w:val="18"/>
          <w:lang w:eastAsia="es-CO"/>
        </w:rPr>
        <w:t> </w:t>
      </w:r>
    </w:p>
    <w:p w14:paraId="0B46F48F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De conformidad con el artículo 20 del Decreto número 4048 de 2008, este Despacho está facultado para determinar y mantener la unidad doctrinal en la interpretación de normas tributarias, en materia aduanera y de control cambiario en lo de competencia de la DIAN. Por consiguiente, no corresponde a este Despacho, en ejercicio de las funciones descritas anteriormente, prestar asesoría específica para atender casos particulares, ni juzgar o calificar las decisiones tomadas por otras dependencias o entidades.</w:t>
      </w:r>
    </w:p>
    <w:p w14:paraId="3C20CC3E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51484C80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En ese sentido, este Despacho considera necesario pronunciarse respecto al tratamiento tributario del aporte monetario de naturaleza estatal de que trata el artículo 7° del Decreto Legislativo 770 de 2020, así:</w:t>
      </w:r>
    </w:p>
    <w:p w14:paraId="5DABAC81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lang w:eastAsia="es-CO"/>
        </w:rPr>
        <w:t> </w:t>
      </w:r>
    </w:p>
    <w:p w14:paraId="1E05C12F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lang w:eastAsia="es-CO"/>
        </w:rPr>
        <w:t>I. Consideraciones en relación con impuesto sobre la renta</w:t>
      </w:r>
    </w:p>
    <w:p w14:paraId="5DD0E643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sz w:val="18"/>
          <w:szCs w:val="18"/>
          <w:lang w:eastAsia="es-CO"/>
        </w:rPr>
        <w:t> </w:t>
      </w:r>
    </w:p>
    <w:p w14:paraId="321E8F67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sz w:val="18"/>
          <w:szCs w:val="18"/>
          <w:lang w:eastAsia="es-CO"/>
        </w:rPr>
        <w:t>De conformidad con el Decreto Legislativo 770 de 2020, los pagos o abonos en cuenta por concepto del aporte estatal de que trata el artículo 7° de dicho decreto legislativo que realicen las entidades financieras a los beneficiarios del Programa de Apoyo para el Pago de la Prima de Servicios (PAP) tienen las siguientes características:</w:t>
      </w:r>
    </w:p>
    <w:p w14:paraId="59702DF2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3F9F7A5A" w14:textId="77777777" w:rsidR="008C0E2A" w:rsidRPr="008C0E2A" w:rsidRDefault="008C0E2A" w:rsidP="008C0E2A">
      <w:pPr>
        <w:spacing w:after="0" w:line="240" w:lineRule="auto"/>
        <w:ind w:left="284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a) Están sujetos a retención en la fuente a título del impuesto sobre la renta, de conformidad con el </w:t>
      </w:r>
      <w:hyperlink r:id="rId4" w:tooltip="Estatuto Tributario CETA" w:history="1">
        <w:r w:rsidRPr="008C0E2A">
          <w:rPr>
            <w:rFonts w:ascii="Segoe UI" w:eastAsia="Times New Roman" w:hAnsi="Segoe UI" w:cs="Segoe UI"/>
            <w:color w:val="0089E1"/>
            <w:lang w:eastAsia="es-CO"/>
          </w:rPr>
          <w:t>artículo 401</w:t>
        </w:r>
      </w:hyperlink>
      <w:r w:rsidRPr="008C0E2A">
        <w:rPr>
          <w:rFonts w:ascii="Segoe UI" w:eastAsia="Times New Roman" w:hAnsi="Segoe UI" w:cs="Segoe UI"/>
          <w:color w:val="000000"/>
          <w:lang w:eastAsia="es-CO"/>
        </w:rPr>
        <w:t> del Estatuto Tributario y el artículo 1.2.4.9.1. del Decreto número 1625 de 2016.</w:t>
      </w:r>
    </w:p>
    <w:p w14:paraId="64259593" w14:textId="77777777" w:rsidR="008C0E2A" w:rsidRPr="008C0E2A" w:rsidRDefault="008C0E2A" w:rsidP="008C0E2A">
      <w:pPr>
        <w:spacing w:after="0" w:line="240" w:lineRule="auto"/>
        <w:ind w:left="284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10E8222A" w14:textId="77777777" w:rsidR="008C0E2A" w:rsidRPr="008C0E2A" w:rsidRDefault="008C0E2A" w:rsidP="008C0E2A">
      <w:pPr>
        <w:spacing w:after="0" w:line="240" w:lineRule="auto"/>
        <w:ind w:left="284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b) Constituyen, para efectos del impuesto sobre la renta, un ingreso gravable para el beneficiario de dicho Programa. En este orden de ideas, el aporte estatal de que trata el artículo 7° del Decreto Legislativo 770 de 2020 será un ingreso fiscal para el empleador beneficiario del mencionado programa, el cual se cruza en un 100% con el gasto de nómina en que incurre por ese trabajador que lo hace beneficiario del subsidio.</w:t>
      </w:r>
    </w:p>
    <w:p w14:paraId="34735F1A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49144AFA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Por otra parte, y respecto al empleado, este estará sometido a las reglas generales del impuesto sobre la renta y retención en la fuente por rentas laborales consagradas en el Estatuto Tributario y el Decreto número 1625 de 2016.</w:t>
      </w:r>
    </w:p>
    <w:p w14:paraId="2A8D2D31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lang w:eastAsia="es-CO"/>
        </w:rPr>
        <w:t> </w:t>
      </w:r>
    </w:p>
    <w:p w14:paraId="050B7883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lang w:eastAsia="es-CO"/>
        </w:rPr>
        <w:t>II. Consideraciones en relación con el impuesto sobre las ventas</w:t>
      </w:r>
    </w:p>
    <w:p w14:paraId="241AE68D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370B621A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Respecto al impuesto sobre las ventas, el aporte monetario de que trata el artículo 7° del Decreto Legislativo 770 de 2020 no se encuentra gravado con dicho impuesto, toda vez que no se realiza ninguno de los hechos generadores.</w:t>
      </w:r>
    </w:p>
    <w:p w14:paraId="4ABF3FBC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25FCE34B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Adicionalmente, es pertinente resaltar que el artículo 16 del Decreto Legislativo 770 de 2020 dispone lo siguiente:</w:t>
      </w:r>
    </w:p>
    <w:p w14:paraId="71A87F79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i/>
          <w:iCs/>
          <w:color w:val="000000"/>
          <w:lang w:eastAsia="es-CO"/>
        </w:rPr>
        <w:lastRenderedPageBreak/>
        <w:t> </w:t>
      </w:r>
    </w:p>
    <w:p w14:paraId="682F2CE1" w14:textId="77777777" w:rsidR="008C0E2A" w:rsidRPr="008C0E2A" w:rsidRDefault="008C0E2A" w:rsidP="008C0E2A">
      <w:pPr>
        <w:spacing w:after="0" w:line="240" w:lineRule="auto"/>
        <w:ind w:left="284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i/>
          <w:iCs/>
          <w:color w:val="000000"/>
          <w:lang w:eastAsia="es-CO"/>
        </w:rPr>
        <w:t>“</w:t>
      </w:r>
      <w:r w:rsidRPr="008C0E2A">
        <w:rPr>
          <w:rFonts w:ascii="Segoe UI" w:eastAsia="Times New Roman" w:hAnsi="Segoe UI" w:cs="Segoe UI"/>
          <w:b/>
          <w:bCs/>
          <w:i/>
          <w:iCs/>
          <w:color w:val="000000"/>
          <w:lang w:eastAsia="es-CO"/>
        </w:rPr>
        <w:t>Artículo 16. Exención del gravamen a los movimientos financieros (GMF) y exclusión del impuesto sobre las ventas (IVA</w:t>
      </w:r>
      <w:r w:rsidRPr="008C0E2A">
        <w:rPr>
          <w:rFonts w:ascii="Segoe UI" w:eastAsia="Times New Roman" w:hAnsi="Segoe UI" w:cs="Segoe UI"/>
          <w:i/>
          <w:iCs/>
          <w:color w:val="000000"/>
          <w:lang w:eastAsia="es-CO"/>
        </w:rPr>
        <w:t>). Estarán exentos del gravamen a los movimientos financieros: (i) los traslados de los dineros correspondientes a los aportes de los que trata el artículo 7° del presente Decreto Legislativo, entre cuentas del Tesoro Nacional - Ministerio de Hacienda y Crédito Público y las entidades financieras que dispersen los recursos; (</w:t>
      </w:r>
      <w:proofErr w:type="spellStart"/>
      <w:r w:rsidRPr="008C0E2A">
        <w:rPr>
          <w:rFonts w:ascii="Segoe UI" w:eastAsia="Times New Roman" w:hAnsi="Segoe UI" w:cs="Segoe UI"/>
          <w:i/>
          <w:iCs/>
          <w:color w:val="000000"/>
          <w:lang w:eastAsia="es-CO"/>
        </w:rPr>
        <w:t>ii</w:t>
      </w:r>
      <w:proofErr w:type="spellEnd"/>
      <w:r w:rsidRPr="008C0E2A">
        <w:rPr>
          <w:rFonts w:ascii="Segoe UI" w:eastAsia="Times New Roman" w:hAnsi="Segoe UI" w:cs="Segoe UI"/>
          <w:i/>
          <w:iCs/>
          <w:color w:val="000000"/>
          <w:lang w:eastAsia="es-CO"/>
        </w:rPr>
        <w:t>) los traslados de los recursos correspondientes a los aportes de los que trata el artículo 7° del presente Decreto Legislativo, entre las entidades financieras y los beneficiarios del PAP.</w:t>
      </w:r>
    </w:p>
    <w:p w14:paraId="74D9B18A" w14:textId="77777777" w:rsidR="008C0E2A" w:rsidRPr="008C0E2A" w:rsidRDefault="008C0E2A" w:rsidP="008C0E2A">
      <w:pPr>
        <w:spacing w:after="0" w:line="240" w:lineRule="auto"/>
        <w:ind w:left="284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Arial" w:eastAsia="Times New Roman" w:hAnsi="Arial" w:cs="Arial"/>
          <w:color w:val="000000"/>
          <w:sz w:val="18"/>
          <w:szCs w:val="18"/>
          <w:lang w:eastAsia="es-CO"/>
        </w:rPr>
        <w:t> </w:t>
      </w:r>
    </w:p>
    <w:p w14:paraId="5E7CFA5C" w14:textId="77777777" w:rsidR="008C0E2A" w:rsidRPr="008C0E2A" w:rsidRDefault="008C0E2A" w:rsidP="008C0E2A">
      <w:pPr>
        <w:spacing w:after="0" w:line="240" w:lineRule="auto"/>
        <w:ind w:left="284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i/>
          <w:iCs/>
          <w:color w:val="000000"/>
          <w:u w:val="single"/>
          <w:lang w:eastAsia="es-CO"/>
        </w:rPr>
        <w:t>En caso de cobrarse comisión o servicio por la dispersión de los recursos por parte de las entidades financieras a los beneficiarios del programa o al Gobierno nacional, esta estará excluida del impuesto sobre las ventas (IVA)”.</w:t>
      </w:r>
    </w:p>
    <w:p w14:paraId="7B9D85BE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63B08A42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Atentamente,</w:t>
      </w:r>
    </w:p>
    <w:p w14:paraId="06B4E85C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color w:val="000000"/>
          <w:lang w:eastAsia="es-CO"/>
        </w:rPr>
        <w:t> </w:t>
      </w:r>
    </w:p>
    <w:p w14:paraId="6542D7DA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lang w:eastAsia="es-CO"/>
        </w:rPr>
        <w:t>El Subdirector de Gestión Normativa y Doctrina,</w:t>
      </w:r>
    </w:p>
    <w:p w14:paraId="505FBC82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i/>
          <w:iCs/>
          <w:color w:val="000000"/>
          <w:lang w:eastAsia="es-CO"/>
        </w:rPr>
        <w:t> </w:t>
      </w:r>
    </w:p>
    <w:p w14:paraId="03CF99CD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i/>
          <w:iCs/>
          <w:color w:val="000000"/>
          <w:lang w:eastAsia="es-CO"/>
        </w:rPr>
        <w:t>Pablo Emilio Mendoza Velilla,</w:t>
      </w:r>
    </w:p>
    <w:p w14:paraId="4E4C0764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lang w:eastAsia="es-CO"/>
        </w:rPr>
        <w:t>Dirección de Gestión Jurídica</w:t>
      </w:r>
    </w:p>
    <w:p w14:paraId="55C470D3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sz w:val="18"/>
          <w:szCs w:val="18"/>
          <w:lang w:eastAsia="es-CO"/>
        </w:rPr>
        <w:t>UAE-DIAN</w:t>
      </w:r>
    </w:p>
    <w:p w14:paraId="6C294543" w14:textId="77777777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sz w:val="18"/>
          <w:szCs w:val="18"/>
          <w:lang w:eastAsia="es-CO"/>
        </w:rPr>
        <w:t> </w:t>
      </w:r>
    </w:p>
    <w:p w14:paraId="065309CA" w14:textId="54FDBCA2" w:rsidR="008C0E2A" w:rsidRDefault="008C0E2A" w:rsidP="008C0E2A">
      <w:pPr>
        <w:spacing w:after="0" w:line="240" w:lineRule="auto"/>
        <w:jc w:val="both"/>
        <w:rPr>
          <w:rFonts w:ascii="Segoe UI" w:eastAsia="Times New Roman" w:hAnsi="Segoe UI" w:cs="Segoe UI"/>
          <w:b/>
          <w:bCs/>
          <w:color w:val="000000"/>
          <w:sz w:val="20"/>
          <w:szCs w:val="20"/>
          <w:lang w:eastAsia="es-CO"/>
        </w:rPr>
      </w:pPr>
      <w:r w:rsidRPr="008C0E2A">
        <w:rPr>
          <w:rFonts w:ascii="Segoe UI" w:eastAsia="Times New Roman" w:hAnsi="Segoe UI" w:cs="Segoe UI"/>
          <w:b/>
          <w:bCs/>
          <w:color w:val="000000"/>
          <w:sz w:val="20"/>
          <w:szCs w:val="20"/>
          <w:lang w:eastAsia="es-CO"/>
        </w:rPr>
        <w:t>Publicado en D.O. 51.390 del 29 de Julio de 2020.</w:t>
      </w:r>
    </w:p>
    <w:p w14:paraId="253A69D8" w14:textId="370F990C" w:rsidR="008C0E2A" w:rsidRPr="008C0E2A" w:rsidRDefault="008C0E2A" w:rsidP="008C0E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  <w:r>
        <w:rPr>
          <w:rFonts w:ascii="Segoe UI" w:eastAsia="Times New Roman" w:hAnsi="Segoe UI" w:cs="Segoe UI"/>
          <w:b/>
          <w:bCs/>
          <w:color w:val="000000"/>
          <w:sz w:val="20"/>
          <w:szCs w:val="20"/>
          <w:lang w:eastAsia="es-CO"/>
        </w:rPr>
        <w:t>_____________________________________________________________________________________________________________</w:t>
      </w:r>
    </w:p>
    <w:p w14:paraId="6351EA2C" w14:textId="77777777" w:rsidR="007F5CC8" w:rsidRDefault="007F5CC8" w:rsidP="008C0E2A">
      <w:pPr>
        <w:jc w:val="both"/>
      </w:pPr>
    </w:p>
    <w:sectPr w:rsidR="007F5CC8" w:rsidSect="00EB5ADB">
      <w:type w:val="continuous"/>
      <w:pgSz w:w="12191" w:h="18711"/>
      <w:pgMar w:top="1134" w:right="1134" w:bottom="1134" w:left="1701" w:header="720" w:footer="72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E2A"/>
    <w:rsid w:val="000F3837"/>
    <w:rsid w:val="001E311E"/>
    <w:rsid w:val="00434AE6"/>
    <w:rsid w:val="007F5CC8"/>
    <w:rsid w:val="008779BE"/>
    <w:rsid w:val="008C0E2A"/>
    <w:rsid w:val="00EB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70DE2"/>
  <w15:chartTrackingRefBased/>
  <w15:docId w15:val="{C8EB618B-AAC0-4577-ADC0-1035A4B12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24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eta.org.co/html/vista_de_un_articulo.asp?Norma=496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620</Words>
  <Characters>3411</Characters>
  <Application>Microsoft Office Word</Application>
  <DocSecurity>0</DocSecurity>
  <Lines>28</Lines>
  <Paragraphs>8</Paragraphs>
  <ScaleCrop>false</ScaleCrop>
  <Company/>
  <LinksUpToDate>false</LinksUpToDate>
  <CharactersWithSpaces>4023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CNETCO</dc:creator>
  <cp:keywords/>
  <dc:description/>
  <cp:lastModifiedBy>CNETCO</cp:lastModifiedBy>
  <cp:revision>1</cp:revision>
  <dcterms:created xsi:type="dcterms:W3CDTF">2020-08-05T12:33:00Z</dcterms:created>
  <dcterms:modified xsi:type="dcterms:W3CDTF">2020-08-05T12:35:00Z</dcterms:modified>
</cp:coreProperties>
</file>