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9876D" w14:textId="6FDEAC2F" w:rsidR="00FB5DA6" w:rsidRPr="001526BE" w:rsidRDefault="003D2939" w:rsidP="001526BE">
      <w:pPr>
        <w:pStyle w:val="Sinespaciado"/>
        <w:spacing w:line="360" w:lineRule="auto"/>
        <w:jc w:val="center"/>
        <w:rPr>
          <w:rFonts w:ascii="Times New Roman" w:hAnsi="Times New Roman" w:cs="Times New Roman"/>
          <w:b/>
          <w:bCs/>
        </w:rPr>
      </w:pPr>
      <w:r w:rsidRPr="001526BE">
        <w:rPr>
          <w:rFonts w:ascii="Times New Roman" w:hAnsi="Times New Roman" w:cs="Times New Roman"/>
          <w:b/>
          <w:bCs/>
        </w:rPr>
        <w:t>CONCEPTO 1286 DEL 15 DE OCTUBRE DE 2020</w:t>
      </w:r>
    </w:p>
    <w:p w14:paraId="4C806928" w14:textId="639BFDE0" w:rsidR="003D2939" w:rsidRPr="001526BE" w:rsidRDefault="003D2939" w:rsidP="001526BE">
      <w:pPr>
        <w:pStyle w:val="Sinespaciado"/>
        <w:spacing w:line="360" w:lineRule="auto"/>
        <w:jc w:val="center"/>
        <w:rPr>
          <w:rFonts w:ascii="Times New Roman" w:hAnsi="Times New Roman" w:cs="Times New Roman"/>
          <w:b/>
          <w:bCs/>
        </w:rPr>
      </w:pPr>
      <w:r w:rsidRPr="001526BE">
        <w:rPr>
          <w:rFonts w:ascii="Times New Roman" w:hAnsi="Times New Roman" w:cs="Times New Roman"/>
          <w:b/>
          <w:bCs/>
        </w:rPr>
        <w:t>DIRECCIÓN DE IMPUESTOS Y ADUANAS NACIONALES</w:t>
      </w:r>
    </w:p>
    <w:p w14:paraId="7C9D0862" w14:textId="77777777" w:rsidR="00FB5DA6" w:rsidRPr="001526BE" w:rsidRDefault="00FB5DA6" w:rsidP="001526BE">
      <w:pPr>
        <w:pStyle w:val="Sinespaciado"/>
        <w:spacing w:line="360" w:lineRule="auto"/>
        <w:jc w:val="both"/>
        <w:rPr>
          <w:rFonts w:ascii="Times New Roman" w:hAnsi="Times New Roman" w:cs="Times New Roman"/>
        </w:rPr>
      </w:pPr>
    </w:p>
    <w:p w14:paraId="3BD09A70" w14:textId="77777777" w:rsidR="001526BE" w:rsidRDefault="001526BE" w:rsidP="001526BE">
      <w:pPr>
        <w:pStyle w:val="Sinespaciado"/>
        <w:spacing w:line="360" w:lineRule="auto"/>
        <w:jc w:val="both"/>
        <w:rPr>
          <w:rFonts w:ascii="Times New Roman" w:hAnsi="Times New Roman" w:cs="Times New Roman"/>
        </w:rPr>
      </w:pPr>
    </w:p>
    <w:p w14:paraId="2F5782C0" w14:textId="7121E164"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Bogotá, D.C.</w:t>
      </w:r>
    </w:p>
    <w:p w14:paraId="4B3FCFFF" w14:textId="77777777" w:rsidR="00FB5DA6" w:rsidRPr="001526BE" w:rsidRDefault="00FB5DA6" w:rsidP="001526BE">
      <w:pPr>
        <w:pStyle w:val="Sinespaciado"/>
        <w:spacing w:line="360" w:lineRule="auto"/>
        <w:jc w:val="both"/>
        <w:rPr>
          <w:rFonts w:ascii="Times New Roman" w:hAnsi="Times New Roman" w:cs="Times New Roman"/>
        </w:rPr>
      </w:pPr>
    </w:p>
    <w:p w14:paraId="64282E36" w14:textId="2B516102"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b/>
          <w:bCs/>
        </w:rPr>
        <w:t>Tema</w:t>
      </w:r>
      <w:r w:rsidRPr="001526BE">
        <w:rPr>
          <w:rFonts w:ascii="Times New Roman" w:hAnsi="Times New Roman" w:cs="Times New Roman"/>
          <w:b/>
          <w:bCs/>
        </w:rPr>
        <w:tab/>
      </w:r>
      <w:r w:rsidRPr="001526BE">
        <w:rPr>
          <w:rFonts w:ascii="Times New Roman" w:hAnsi="Times New Roman" w:cs="Times New Roman"/>
          <w:b/>
          <w:bCs/>
        </w:rPr>
        <w:tab/>
      </w:r>
      <w:r w:rsidRPr="001526BE">
        <w:rPr>
          <w:rFonts w:ascii="Times New Roman" w:hAnsi="Times New Roman" w:cs="Times New Roman"/>
          <w:b/>
          <w:bCs/>
        </w:rPr>
        <w:tab/>
      </w:r>
      <w:r w:rsidRPr="001526BE">
        <w:rPr>
          <w:rFonts w:ascii="Times New Roman" w:hAnsi="Times New Roman" w:cs="Times New Roman"/>
        </w:rPr>
        <w:t>Impuesto Sobre las Ventas</w:t>
      </w:r>
    </w:p>
    <w:p w14:paraId="7287BFC0" w14:textId="77777777" w:rsidR="003D2939" w:rsidRPr="001526BE" w:rsidRDefault="003D2939" w:rsidP="001526BE">
      <w:pPr>
        <w:pStyle w:val="Sinespaciado"/>
        <w:spacing w:line="360" w:lineRule="auto"/>
        <w:ind w:left="2124" w:firstLine="708"/>
        <w:jc w:val="both"/>
        <w:rPr>
          <w:rFonts w:ascii="Times New Roman" w:hAnsi="Times New Roman" w:cs="Times New Roman"/>
        </w:rPr>
      </w:pPr>
      <w:r w:rsidRPr="001526BE">
        <w:rPr>
          <w:rFonts w:ascii="Times New Roman" w:hAnsi="Times New Roman" w:cs="Times New Roman"/>
        </w:rPr>
        <w:t>Impuesto Nacional al Consumo</w:t>
      </w:r>
    </w:p>
    <w:p w14:paraId="7481A9B4" w14:textId="54D15849"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b/>
          <w:bCs/>
        </w:rPr>
        <w:t>Descriptores</w:t>
      </w:r>
      <w:r w:rsidRPr="001526BE">
        <w:rPr>
          <w:rFonts w:ascii="Times New Roman" w:hAnsi="Times New Roman" w:cs="Times New Roman"/>
          <w:b/>
          <w:bCs/>
        </w:rPr>
        <w:tab/>
      </w:r>
      <w:r w:rsidRPr="001526BE">
        <w:rPr>
          <w:rFonts w:ascii="Times New Roman" w:hAnsi="Times New Roman" w:cs="Times New Roman"/>
          <w:b/>
          <w:bCs/>
        </w:rPr>
        <w:tab/>
      </w:r>
      <w:r w:rsidRPr="001526BE">
        <w:rPr>
          <w:rFonts w:ascii="Times New Roman" w:hAnsi="Times New Roman" w:cs="Times New Roman"/>
        </w:rPr>
        <w:t>Hecho generador</w:t>
      </w:r>
    </w:p>
    <w:p w14:paraId="2D58414C" w14:textId="77777777" w:rsidR="00FB5DA6" w:rsidRPr="001526BE" w:rsidRDefault="003D2939" w:rsidP="001526BE">
      <w:pPr>
        <w:pStyle w:val="Sinespaciado"/>
        <w:spacing w:line="360" w:lineRule="auto"/>
        <w:ind w:left="2124" w:firstLine="708"/>
        <w:jc w:val="both"/>
        <w:rPr>
          <w:rFonts w:ascii="Times New Roman" w:hAnsi="Times New Roman" w:cs="Times New Roman"/>
        </w:rPr>
      </w:pPr>
      <w:r w:rsidRPr="001526BE">
        <w:rPr>
          <w:rFonts w:ascii="Times New Roman" w:hAnsi="Times New Roman" w:cs="Times New Roman"/>
        </w:rPr>
        <w:t>Servicios excluidos</w:t>
      </w:r>
    </w:p>
    <w:p w14:paraId="2DCDD175" w14:textId="4D38A53E"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b/>
          <w:bCs/>
        </w:rPr>
        <w:t>Fuentes formales</w:t>
      </w:r>
      <w:r w:rsidRPr="001526BE">
        <w:rPr>
          <w:rFonts w:ascii="Times New Roman" w:hAnsi="Times New Roman" w:cs="Times New Roman"/>
          <w:b/>
          <w:bCs/>
        </w:rPr>
        <w:tab/>
      </w:r>
      <w:r w:rsidRPr="001526BE">
        <w:rPr>
          <w:rFonts w:ascii="Times New Roman" w:hAnsi="Times New Roman" w:cs="Times New Roman"/>
        </w:rPr>
        <w:t>Artículo 4 Decreto Legislativo 789 de 2020</w:t>
      </w:r>
    </w:p>
    <w:p w14:paraId="4BE94EF8" w14:textId="77777777" w:rsidR="00FB5DA6" w:rsidRPr="001526BE" w:rsidRDefault="003D2939" w:rsidP="001526BE">
      <w:pPr>
        <w:pStyle w:val="Sinespaciado"/>
        <w:spacing w:line="360" w:lineRule="auto"/>
        <w:ind w:left="2124" w:firstLine="708"/>
        <w:jc w:val="both"/>
        <w:rPr>
          <w:rFonts w:ascii="Times New Roman" w:hAnsi="Times New Roman" w:cs="Times New Roman"/>
        </w:rPr>
      </w:pPr>
      <w:r w:rsidRPr="001526BE">
        <w:rPr>
          <w:rFonts w:ascii="Times New Roman" w:hAnsi="Times New Roman" w:cs="Times New Roman"/>
        </w:rPr>
        <w:t>Artículos 78 y 79 Ley 300 de 1996.</w:t>
      </w:r>
    </w:p>
    <w:p w14:paraId="50875549" w14:textId="77777777" w:rsidR="00FB5DA6" w:rsidRPr="001526BE" w:rsidRDefault="003D2939" w:rsidP="001526BE">
      <w:pPr>
        <w:pStyle w:val="Sinespaciado"/>
        <w:spacing w:line="360" w:lineRule="auto"/>
        <w:ind w:left="2124" w:firstLine="708"/>
        <w:jc w:val="both"/>
        <w:rPr>
          <w:rFonts w:ascii="Times New Roman" w:hAnsi="Times New Roman" w:cs="Times New Roman"/>
        </w:rPr>
      </w:pPr>
      <w:r w:rsidRPr="001526BE">
        <w:rPr>
          <w:rFonts w:ascii="Times New Roman" w:hAnsi="Times New Roman" w:cs="Times New Roman"/>
        </w:rPr>
        <w:t>Artículo 9 Decreto Legislativo 682 de 2020.</w:t>
      </w:r>
    </w:p>
    <w:p w14:paraId="4B2CD26C" w14:textId="77777777" w:rsidR="003D2939" w:rsidRPr="001526BE" w:rsidRDefault="003D2939" w:rsidP="001526BE">
      <w:pPr>
        <w:pStyle w:val="Sinespaciado"/>
        <w:spacing w:line="360" w:lineRule="auto"/>
        <w:jc w:val="both"/>
        <w:rPr>
          <w:rFonts w:ascii="Times New Roman" w:hAnsi="Times New Roman" w:cs="Times New Roman"/>
        </w:rPr>
      </w:pPr>
    </w:p>
    <w:p w14:paraId="72DFBF83" w14:textId="11281EA8"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Cordial saludo,</w:t>
      </w:r>
    </w:p>
    <w:p w14:paraId="0D442790" w14:textId="77777777" w:rsidR="003D2939" w:rsidRPr="001526BE" w:rsidRDefault="003D2939" w:rsidP="001526BE">
      <w:pPr>
        <w:pStyle w:val="Sinespaciado"/>
        <w:spacing w:line="360" w:lineRule="auto"/>
        <w:jc w:val="both"/>
        <w:rPr>
          <w:rFonts w:ascii="Times New Roman" w:hAnsi="Times New Roman" w:cs="Times New Roman"/>
        </w:rPr>
      </w:pPr>
    </w:p>
    <w:p w14:paraId="0CC2F74F" w14:textId="0AAE7C62"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D76C17B" w14:textId="77777777" w:rsidR="003D2939" w:rsidRPr="001526BE" w:rsidRDefault="003D2939" w:rsidP="001526BE">
      <w:pPr>
        <w:pStyle w:val="Sinespaciado"/>
        <w:spacing w:line="360" w:lineRule="auto"/>
        <w:jc w:val="both"/>
        <w:rPr>
          <w:rFonts w:ascii="Times New Roman" w:hAnsi="Times New Roman" w:cs="Times New Roman"/>
        </w:rPr>
      </w:pPr>
    </w:p>
    <w:p w14:paraId="2E9648C6" w14:textId="62E67080" w:rsidR="00FB5DA6" w:rsidRPr="00AE37F0" w:rsidRDefault="003D2939" w:rsidP="001526BE">
      <w:pPr>
        <w:pStyle w:val="Sinespaciado"/>
        <w:spacing w:line="360" w:lineRule="auto"/>
        <w:jc w:val="both"/>
        <w:rPr>
          <w:rFonts w:ascii="Times New Roman" w:hAnsi="Times New Roman" w:cs="Times New Roman"/>
          <w:sz w:val="32"/>
          <w:szCs w:val="32"/>
          <w:highlight w:val="green"/>
        </w:rPr>
      </w:pPr>
      <w:r w:rsidRPr="00AE37F0">
        <w:rPr>
          <w:rFonts w:ascii="Times New Roman" w:hAnsi="Times New Roman" w:cs="Times New Roman"/>
          <w:sz w:val="32"/>
          <w:szCs w:val="32"/>
          <w:highlight w:val="green"/>
        </w:rPr>
        <w:t>Mediante el radicado de la referencia, el peticionario formula las siguientes preguntas:</w:t>
      </w:r>
    </w:p>
    <w:p w14:paraId="079AFAD9" w14:textId="77777777" w:rsidR="003D2939" w:rsidRPr="00AE37F0" w:rsidRDefault="003D2939" w:rsidP="001526BE">
      <w:pPr>
        <w:pStyle w:val="Sinespaciado"/>
        <w:spacing w:line="360" w:lineRule="auto"/>
        <w:jc w:val="both"/>
        <w:rPr>
          <w:rFonts w:ascii="Times New Roman" w:hAnsi="Times New Roman" w:cs="Times New Roman"/>
          <w:sz w:val="32"/>
          <w:szCs w:val="32"/>
          <w:highlight w:val="green"/>
        </w:rPr>
      </w:pPr>
    </w:p>
    <w:p w14:paraId="56729AD0" w14:textId="09E1E2B0" w:rsidR="00FB5DA6" w:rsidRPr="00AE37F0" w:rsidRDefault="003D2939" w:rsidP="001526BE">
      <w:pPr>
        <w:pStyle w:val="Sinespaciado"/>
        <w:numPr>
          <w:ilvl w:val="0"/>
          <w:numId w:val="3"/>
        </w:numPr>
        <w:spacing w:line="360" w:lineRule="auto"/>
        <w:jc w:val="both"/>
        <w:rPr>
          <w:rFonts w:ascii="Times New Roman" w:hAnsi="Times New Roman" w:cs="Times New Roman"/>
          <w:i/>
          <w:iCs/>
          <w:sz w:val="32"/>
          <w:szCs w:val="32"/>
          <w:highlight w:val="green"/>
        </w:rPr>
      </w:pPr>
      <w:r w:rsidRPr="00AE37F0">
        <w:rPr>
          <w:rFonts w:ascii="Times New Roman" w:hAnsi="Times New Roman" w:cs="Times New Roman"/>
          <w:i/>
          <w:iCs/>
          <w:sz w:val="32"/>
          <w:szCs w:val="32"/>
          <w:highlight w:val="green"/>
        </w:rPr>
        <w:t xml:space="preserve">A partir del Decreto 789 de 2020, titulo IV, articulo 4, sobre la exclusión de IVA a los servicios hoteleros, se pregunta sí: </w:t>
      </w:r>
      <w:r w:rsidRPr="00AE37F0">
        <w:rPr>
          <w:rFonts w:ascii="Times New Roman" w:hAnsi="Times New Roman" w:cs="Times New Roman"/>
          <w:i/>
          <w:iCs/>
          <w:sz w:val="32"/>
          <w:szCs w:val="32"/>
          <w:highlight w:val="green"/>
        </w:rPr>
        <w:lastRenderedPageBreak/>
        <w:t>¿Únicamente queda excluido como tal el hospedaje, o también queda excluido lo que son seguros hoteleros, consumos de minibar, elementos de aseo personal tales como lo son las presto-barbas, cremas dentales, cepillo, entre otros?</w:t>
      </w:r>
    </w:p>
    <w:p w14:paraId="4A9451C4" w14:textId="77777777" w:rsidR="003D2939" w:rsidRPr="00AE37F0" w:rsidRDefault="003D2939" w:rsidP="001526BE">
      <w:pPr>
        <w:pStyle w:val="Sinespaciado"/>
        <w:spacing w:line="360" w:lineRule="auto"/>
        <w:ind w:left="720"/>
        <w:jc w:val="both"/>
        <w:rPr>
          <w:rFonts w:ascii="Times New Roman" w:hAnsi="Times New Roman" w:cs="Times New Roman"/>
          <w:i/>
          <w:iCs/>
          <w:sz w:val="32"/>
          <w:szCs w:val="32"/>
          <w:highlight w:val="green"/>
        </w:rPr>
      </w:pPr>
    </w:p>
    <w:p w14:paraId="05A9F0F6" w14:textId="5753F2BE" w:rsidR="00FB5DA6" w:rsidRPr="00AE37F0" w:rsidRDefault="003D2939" w:rsidP="001526BE">
      <w:pPr>
        <w:pStyle w:val="Sinespaciado"/>
        <w:numPr>
          <w:ilvl w:val="0"/>
          <w:numId w:val="3"/>
        </w:numPr>
        <w:spacing w:line="360" w:lineRule="auto"/>
        <w:jc w:val="both"/>
        <w:rPr>
          <w:rFonts w:ascii="Times New Roman" w:hAnsi="Times New Roman" w:cs="Times New Roman"/>
          <w:i/>
          <w:iCs/>
          <w:sz w:val="32"/>
          <w:szCs w:val="32"/>
          <w:highlight w:val="green"/>
        </w:rPr>
      </w:pPr>
      <w:r w:rsidRPr="00AE37F0">
        <w:rPr>
          <w:rFonts w:ascii="Times New Roman" w:hAnsi="Times New Roman" w:cs="Times New Roman"/>
          <w:i/>
          <w:iCs/>
          <w:sz w:val="32"/>
          <w:szCs w:val="32"/>
          <w:highlight w:val="green"/>
        </w:rPr>
        <w:t>El Decreto 682 del 21 de mayo del presente año, en su TITULO II Articulo 9, se refiere a la reducción de las tarifas del impuesto nacional al consumo en el expendio de comidas y bebidas: ¿en esta exclusión también incluyen a los hoteles?</w:t>
      </w:r>
    </w:p>
    <w:p w14:paraId="3DC7E6E4" w14:textId="77777777" w:rsidR="003D2939" w:rsidRPr="001526BE" w:rsidRDefault="003D2939" w:rsidP="001526BE">
      <w:pPr>
        <w:pStyle w:val="Sinespaciado"/>
        <w:spacing w:line="360" w:lineRule="auto"/>
        <w:jc w:val="both"/>
        <w:rPr>
          <w:rFonts w:ascii="Times New Roman" w:hAnsi="Times New Roman" w:cs="Times New Roman"/>
        </w:rPr>
      </w:pPr>
    </w:p>
    <w:p w14:paraId="638DC736" w14:textId="3711B7E0"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Sobre el particular, este despacho considera lo siguiente:</w:t>
      </w:r>
    </w:p>
    <w:p w14:paraId="2341A213" w14:textId="77777777" w:rsidR="003D2939" w:rsidRPr="001526BE" w:rsidRDefault="003D2939" w:rsidP="001526BE">
      <w:pPr>
        <w:pStyle w:val="Sinespaciado"/>
        <w:spacing w:line="360" w:lineRule="auto"/>
        <w:jc w:val="both"/>
        <w:rPr>
          <w:rFonts w:ascii="Times New Roman" w:hAnsi="Times New Roman" w:cs="Times New Roman"/>
        </w:rPr>
      </w:pPr>
    </w:p>
    <w:p w14:paraId="51204526" w14:textId="61B2F501" w:rsidR="00FB5DA6" w:rsidRPr="001526BE" w:rsidRDefault="003D2939" w:rsidP="001526BE">
      <w:pPr>
        <w:pStyle w:val="Sinespaciado"/>
        <w:numPr>
          <w:ilvl w:val="0"/>
          <w:numId w:val="4"/>
        </w:numPr>
        <w:spacing w:line="360" w:lineRule="auto"/>
        <w:jc w:val="both"/>
        <w:rPr>
          <w:rFonts w:ascii="Times New Roman" w:hAnsi="Times New Roman" w:cs="Times New Roman"/>
          <w:b/>
          <w:bCs/>
        </w:rPr>
      </w:pPr>
      <w:r w:rsidRPr="001526BE">
        <w:rPr>
          <w:rFonts w:ascii="Times New Roman" w:hAnsi="Times New Roman" w:cs="Times New Roman"/>
          <w:b/>
          <w:bCs/>
        </w:rPr>
        <w:t>Servicio de hotelería excluido de IVA</w:t>
      </w:r>
    </w:p>
    <w:p w14:paraId="5E09972C" w14:textId="77777777"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Por regla general, la prestación de servicios en Colombia se encuentra gravada con el impuesto sobre las ventas, salvo las expresas disposiciones legales.</w:t>
      </w:r>
    </w:p>
    <w:p w14:paraId="3D36A144" w14:textId="77777777" w:rsidR="003D2939" w:rsidRPr="001526BE" w:rsidRDefault="003D2939" w:rsidP="001526BE">
      <w:pPr>
        <w:pStyle w:val="Sinespaciado"/>
        <w:spacing w:line="360" w:lineRule="auto"/>
        <w:jc w:val="both"/>
        <w:rPr>
          <w:rFonts w:ascii="Times New Roman" w:hAnsi="Times New Roman" w:cs="Times New Roman"/>
        </w:rPr>
      </w:pPr>
    </w:p>
    <w:p w14:paraId="30F9610E" w14:textId="121EA899" w:rsidR="00FB5DA6" w:rsidRPr="00AE37F0" w:rsidRDefault="003D2939" w:rsidP="001526BE">
      <w:pPr>
        <w:pStyle w:val="Sinespaciado"/>
        <w:spacing w:line="360" w:lineRule="auto"/>
        <w:jc w:val="both"/>
        <w:rPr>
          <w:rFonts w:ascii="Times New Roman" w:hAnsi="Times New Roman" w:cs="Times New Roman"/>
          <w:sz w:val="32"/>
          <w:szCs w:val="32"/>
          <w:highlight w:val="green"/>
        </w:rPr>
      </w:pPr>
      <w:r w:rsidRPr="00AE37F0">
        <w:rPr>
          <w:rFonts w:ascii="Times New Roman" w:hAnsi="Times New Roman" w:cs="Times New Roman"/>
          <w:sz w:val="32"/>
          <w:szCs w:val="32"/>
          <w:highlight w:val="green"/>
        </w:rPr>
        <w:t>Precisamente, el título IV del Decreto Legislativo 789 de 2020 trata de la “Exclusión transitoria del Impuesto Sobre las Ventas - IVA en la prestación de servicios de hotelería y turismo”, que en su artículo 4 establece:</w:t>
      </w:r>
    </w:p>
    <w:p w14:paraId="61255805" w14:textId="77777777" w:rsidR="003D2939" w:rsidRPr="00AE37F0" w:rsidRDefault="003D2939" w:rsidP="001526BE">
      <w:pPr>
        <w:pStyle w:val="Sinespaciado"/>
        <w:spacing w:line="360" w:lineRule="auto"/>
        <w:jc w:val="both"/>
        <w:rPr>
          <w:rFonts w:ascii="Times New Roman" w:hAnsi="Times New Roman" w:cs="Times New Roman"/>
          <w:sz w:val="32"/>
          <w:szCs w:val="32"/>
          <w:highlight w:val="green"/>
        </w:rPr>
      </w:pPr>
    </w:p>
    <w:p w14:paraId="6A0D2967" w14:textId="743610AE" w:rsidR="00FB5DA6" w:rsidRPr="00AE37F0" w:rsidRDefault="003D2939" w:rsidP="001526BE">
      <w:pPr>
        <w:pStyle w:val="Sinespaciado"/>
        <w:spacing w:line="360" w:lineRule="auto"/>
        <w:ind w:left="708"/>
        <w:jc w:val="both"/>
        <w:rPr>
          <w:rFonts w:ascii="Times New Roman" w:hAnsi="Times New Roman" w:cs="Times New Roman"/>
          <w:i/>
          <w:iCs/>
          <w:sz w:val="32"/>
          <w:szCs w:val="32"/>
          <w:highlight w:val="green"/>
        </w:rPr>
      </w:pPr>
      <w:r w:rsidRPr="00AE37F0">
        <w:rPr>
          <w:rFonts w:ascii="Times New Roman" w:hAnsi="Times New Roman" w:cs="Times New Roman"/>
          <w:i/>
          <w:iCs/>
          <w:sz w:val="32"/>
          <w:szCs w:val="32"/>
          <w:highlight w:val="green"/>
        </w:rPr>
        <w:t xml:space="preserve">“Artículo 4. Exclusión transitoria del impuesto sobre las ventas -IVA en la prestación de servicios de hotelería y turismo. </w:t>
      </w:r>
      <w:r w:rsidRPr="00AE37F0">
        <w:rPr>
          <w:rStyle w:val="Cuerpodeltexto7Negrita"/>
          <w:rFonts w:ascii="Times New Roman" w:hAnsi="Times New Roman" w:cs="Times New Roman"/>
          <w:sz w:val="32"/>
          <w:szCs w:val="32"/>
          <w:highlight w:val="green"/>
        </w:rPr>
        <w:t xml:space="preserve">Se encuentra excluida del impuesto sobre las ventas -IVA desde la </w:t>
      </w:r>
      <w:r w:rsidRPr="00AE37F0">
        <w:rPr>
          <w:rStyle w:val="Cuerpodeltexto7Negrita"/>
          <w:rFonts w:ascii="Times New Roman" w:hAnsi="Times New Roman" w:cs="Times New Roman"/>
          <w:sz w:val="32"/>
          <w:szCs w:val="32"/>
          <w:highlight w:val="green"/>
        </w:rPr>
        <w:lastRenderedPageBreak/>
        <w:t>vigencia del presente Decreto Legislativo y hasta el treinta y uno (31) de diciembre de 2020</w:t>
      </w:r>
      <w:r w:rsidRPr="00AE37F0">
        <w:rPr>
          <w:rStyle w:val="Cuerpodeltexto7Negrita"/>
          <w:rFonts w:ascii="Times New Roman" w:hAnsi="Times New Roman" w:cs="Times New Roman"/>
          <w:i w:val="0"/>
          <w:iCs w:val="0"/>
          <w:sz w:val="32"/>
          <w:szCs w:val="32"/>
          <w:highlight w:val="green"/>
        </w:rPr>
        <w:t xml:space="preserve"> </w:t>
      </w:r>
      <w:r w:rsidRPr="00AE37F0">
        <w:rPr>
          <w:rFonts w:ascii="Times New Roman" w:hAnsi="Times New Roman" w:cs="Times New Roman"/>
          <w:i/>
          <w:iCs/>
          <w:sz w:val="32"/>
          <w:szCs w:val="32"/>
          <w:highlight w:val="green"/>
        </w:rPr>
        <w:t>la prestación del servicio de hotelería y turismo.</w:t>
      </w:r>
    </w:p>
    <w:p w14:paraId="59443AA4" w14:textId="77777777" w:rsidR="003D2939" w:rsidRPr="00AE37F0" w:rsidRDefault="003D2939" w:rsidP="001526BE">
      <w:pPr>
        <w:pStyle w:val="Sinespaciado"/>
        <w:spacing w:line="360" w:lineRule="auto"/>
        <w:ind w:left="708"/>
        <w:jc w:val="both"/>
        <w:rPr>
          <w:rFonts w:ascii="Times New Roman" w:hAnsi="Times New Roman" w:cs="Times New Roman"/>
          <w:i/>
          <w:iCs/>
          <w:sz w:val="32"/>
          <w:szCs w:val="32"/>
          <w:highlight w:val="green"/>
        </w:rPr>
      </w:pPr>
    </w:p>
    <w:p w14:paraId="15FA5406" w14:textId="298A8F3B" w:rsidR="00FB5DA6" w:rsidRPr="00AE37F0" w:rsidRDefault="003D2939" w:rsidP="001526BE">
      <w:pPr>
        <w:pStyle w:val="Sinespaciado"/>
        <w:spacing w:line="360" w:lineRule="auto"/>
        <w:ind w:left="708"/>
        <w:jc w:val="both"/>
        <w:rPr>
          <w:rFonts w:ascii="Times New Roman" w:hAnsi="Times New Roman" w:cs="Times New Roman"/>
          <w:sz w:val="32"/>
          <w:szCs w:val="32"/>
        </w:rPr>
      </w:pPr>
      <w:r w:rsidRPr="00AE37F0">
        <w:rPr>
          <w:rFonts w:ascii="Times New Roman" w:hAnsi="Times New Roman" w:cs="Times New Roman"/>
          <w:i/>
          <w:iCs/>
          <w:sz w:val="32"/>
          <w:szCs w:val="32"/>
          <w:highlight w:val="green"/>
        </w:rPr>
        <w:t>Parágrafo. A partir del primero (1) de enero de 2021, solo será aplicable la exclusión para las zonas del régimen aduanero especial de que trata el numeral 26 del artículo 476 del Estatuto Tributario.”</w:t>
      </w:r>
    </w:p>
    <w:p w14:paraId="3F82DDD1" w14:textId="77777777" w:rsidR="003D2939" w:rsidRPr="001526BE" w:rsidRDefault="003D2939" w:rsidP="001526BE">
      <w:pPr>
        <w:pStyle w:val="Sinespaciado"/>
        <w:spacing w:line="360" w:lineRule="auto"/>
        <w:jc w:val="both"/>
        <w:rPr>
          <w:rFonts w:ascii="Times New Roman" w:hAnsi="Times New Roman" w:cs="Times New Roman"/>
        </w:rPr>
      </w:pPr>
    </w:p>
    <w:p w14:paraId="3F762A78" w14:textId="3F6B960F" w:rsidR="00FB5DA6" w:rsidRPr="00AE37F0" w:rsidRDefault="003D2939" w:rsidP="001526BE">
      <w:pPr>
        <w:pStyle w:val="Sinespaciado"/>
        <w:spacing w:line="360" w:lineRule="auto"/>
        <w:jc w:val="both"/>
        <w:rPr>
          <w:rFonts w:ascii="Times New Roman" w:hAnsi="Times New Roman" w:cs="Times New Roman"/>
          <w:sz w:val="32"/>
          <w:szCs w:val="32"/>
        </w:rPr>
      </w:pPr>
      <w:r w:rsidRPr="00AE37F0">
        <w:rPr>
          <w:rFonts w:ascii="Times New Roman" w:hAnsi="Times New Roman" w:cs="Times New Roman"/>
          <w:sz w:val="32"/>
          <w:szCs w:val="32"/>
          <w:highlight w:val="green"/>
        </w:rPr>
        <w:t xml:space="preserve">Como se observa, la norma se refiere en general a </w:t>
      </w:r>
      <w:r w:rsidRPr="00AE37F0">
        <w:rPr>
          <w:rStyle w:val="Cuerpodeltexto2Cursiva"/>
          <w:rFonts w:ascii="Times New Roman" w:hAnsi="Times New Roman" w:cs="Times New Roman"/>
          <w:sz w:val="32"/>
          <w:szCs w:val="32"/>
          <w:highlight w:val="green"/>
        </w:rPr>
        <w:t>“</w:t>
      </w:r>
      <w:r w:rsidRPr="00AE37F0">
        <w:rPr>
          <w:rStyle w:val="Cuerpodeltexto2NegritaCursiva"/>
          <w:rFonts w:ascii="Times New Roman" w:hAnsi="Times New Roman" w:cs="Times New Roman"/>
          <w:sz w:val="32"/>
          <w:szCs w:val="32"/>
          <w:highlight w:val="green"/>
        </w:rPr>
        <w:t>la prestación del servicio de hotelería y turismo</w:t>
      </w:r>
      <w:r w:rsidRPr="00AE37F0">
        <w:rPr>
          <w:rStyle w:val="Cuerpodeltexto2Cursiva"/>
          <w:rFonts w:ascii="Times New Roman" w:hAnsi="Times New Roman" w:cs="Times New Roman"/>
          <w:sz w:val="32"/>
          <w:szCs w:val="32"/>
          <w:highlight w:val="green"/>
        </w:rPr>
        <w:t>”.</w:t>
      </w:r>
      <w:r w:rsidRPr="00AE37F0">
        <w:rPr>
          <w:rFonts w:ascii="Times New Roman" w:hAnsi="Times New Roman" w:cs="Times New Roman"/>
          <w:sz w:val="32"/>
          <w:szCs w:val="32"/>
          <w:highlight w:val="green"/>
        </w:rPr>
        <w:t xml:space="preserve"> </w:t>
      </w:r>
      <w:r w:rsidRPr="00AE37F0">
        <w:rPr>
          <w:rFonts w:ascii="Times New Roman" w:hAnsi="Times New Roman" w:cs="Times New Roman"/>
          <w:sz w:val="32"/>
          <w:szCs w:val="32"/>
          <w:highlight w:val="yellow"/>
        </w:rPr>
        <w:t xml:space="preserve">Con el fin de determinar el alcance de la exclusión, es necesario establecer lo que se entiende por </w:t>
      </w:r>
      <w:r w:rsidRPr="00AE37F0">
        <w:rPr>
          <w:rStyle w:val="Cuerpodeltexto2Cursiva"/>
          <w:rFonts w:ascii="Times New Roman" w:hAnsi="Times New Roman" w:cs="Times New Roman"/>
          <w:sz w:val="32"/>
          <w:szCs w:val="32"/>
          <w:highlight w:val="yellow"/>
        </w:rPr>
        <w:t>“</w:t>
      </w:r>
      <w:r w:rsidRPr="00AE37F0">
        <w:rPr>
          <w:rStyle w:val="Cuerpodeltexto2NegritaCursiva"/>
          <w:rFonts w:ascii="Times New Roman" w:hAnsi="Times New Roman" w:cs="Times New Roman"/>
          <w:sz w:val="32"/>
          <w:szCs w:val="32"/>
          <w:highlight w:val="yellow"/>
        </w:rPr>
        <w:t>prestación del servicio de hotelería y turismo</w:t>
      </w:r>
      <w:r w:rsidRPr="00AE37F0">
        <w:rPr>
          <w:rFonts w:ascii="Times New Roman" w:hAnsi="Times New Roman" w:cs="Times New Roman"/>
          <w:sz w:val="32"/>
          <w:szCs w:val="32"/>
          <w:highlight w:val="yellow"/>
        </w:rPr>
        <w:t>” y, toda vez que la norma tributaria no lo hace, dado que no trae una definición especial para efectos de la exclusión, obliga a consultar las normas en materia de hotelería y turismo, como se indicó en su momento en el Oficio 904910 de septiembre de 2020, que se anexa.</w:t>
      </w:r>
    </w:p>
    <w:p w14:paraId="513E7B05" w14:textId="77777777" w:rsidR="003D2939" w:rsidRPr="001526BE" w:rsidRDefault="003D2939" w:rsidP="001526BE">
      <w:pPr>
        <w:pStyle w:val="Sinespaciado"/>
        <w:spacing w:line="360" w:lineRule="auto"/>
        <w:jc w:val="both"/>
        <w:rPr>
          <w:rFonts w:ascii="Times New Roman" w:hAnsi="Times New Roman" w:cs="Times New Roman"/>
        </w:rPr>
      </w:pPr>
    </w:p>
    <w:p w14:paraId="33481197" w14:textId="1D689C3C" w:rsidR="00FB5DA6" w:rsidRPr="00AE37F0" w:rsidRDefault="003D2939" w:rsidP="001526BE">
      <w:pPr>
        <w:pStyle w:val="Sinespaciado"/>
        <w:spacing w:line="360" w:lineRule="auto"/>
        <w:jc w:val="both"/>
        <w:rPr>
          <w:rFonts w:ascii="Times New Roman" w:hAnsi="Times New Roman" w:cs="Times New Roman"/>
          <w:sz w:val="32"/>
          <w:szCs w:val="32"/>
        </w:rPr>
      </w:pPr>
      <w:r w:rsidRPr="00AE37F0">
        <w:rPr>
          <w:rFonts w:ascii="Times New Roman" w:hAnsi="Times New Roman" w:cs="Times New Roman"/>
          <w:sz w:val="32"/>
          <w:szCs w:val="32"/>
          <w:highlight w:val="yellow"/>
        </w:rPr>
        <w:t>Cabe precisar que, actualmente, los aspectos relacionados con turismo se encuentran regulados por la Ley 300 de 1996 y sus modificaciones. Así mismo, debe considerarse lo pertinente en el Decreto 1074 de 2014 que recopila los distintos decretos sobre la materia.</w:t>
      </w:r>
    </w:p>
    <w:p w14:paraId="2314AD6E" w14:textId="77777777" w:rsidR="003D2939" w:rsidRPr="00AE37F0" w:rsidRDefault="003D2939" w:rsidP="001526BE">
      <w:pPr>
        <w:pStyle w:val="Sinespaciado"/>
        <w:spacing w:line="360" w:lineRule="auto"/>
        <w:jc w:val="both"/>
        <w:rPr>
          <w:rFonts w:ascii="Times New Roman" w:hAnsi="Times New Roman" w:cs="Times New Roman"/>
          <w:sz w:val="32"/>
          <w:szCs w:val="32"/>
        </w:rPr>
      </w:pPr>
    </w:p>
    <w:p w14:paraId="6ED79915" w14:textId="6B4E1E77"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 xml:space="preserve">En cuanto a la hotelería, se observa que el artículo 78 de la Ley 300 de 1996 define los </w:t>
      </w:r>
      <w:r w:rsidRPr="001526BE">
        <w:rPr>
          <w:rFonts w:ascii="Times New Roman" w:hAnsi="Times New Roman" w:cs="Times New Roman"/>
        </w:rPr>
        <w:lastRenderedPageBreak/>
        <w:t xml:space="preserve">establecimientos hoteleros o de hospedaje y el artículo 79 ibídem establece qué es el contrato de hospedaje. De estas normas se tiene que se entiende por establecimiento hotelero o de hospedaje </w:t>
      </w:r>
      <w:r w:rsidRPr="001526BE">
        <w:rPr>
          <w:rStyle w:val="Cuerpodeltexto2Cursiva"/>
          <w:rFonts w:ascii="Times New Roman" w:hAnsi="Times New Roman" w:cs="Times New Roman"/>
          <w:sz w:val="24"/>
          <w:szCs w:val="24"/>
        </w:rPr>
        <w:t>“el conjunto de bienes destinados por la persona natural o jurídica a prestar el servicio de alojamiento no permanente inferior a 30 días, con o sin alimentación y servicios básicos y/o complementarios o accesorios de alojamiento, mediante contrato de hospedaje.”</w:t>
      </w:r>
    </w:p>
    <w:p w14:paraId="52C178AA" w14:textId="77777777" w:rsidR="003D2939" w:rsidRPr="001526BE" w:rsidRDefault="003D2939" w:rsidP="001526BE">
      <w:pPr>
        <w:pStyle w:val="Sinespaciado"/>
        <w:spacing w:line="360" w:lineRule="auto"/>
        <w:jc w:val="both"/>
        <w:rPr>
          <w:rFonts w:ascii="Times New Roman" w:hAnsi="Times New Roman" w:cs="Times New Roman"/>
        </w:rPr>
      </w:pPr>
    </w:p>
    <w:p w14:paraId="6018A28E" w14:textId="032598A0" w:rsidR="00FB5DA6" w:rsidRPr="00AE37F0" w:rsidRDefault="003D2939" w:rsidP="001526BE">
      <w:pPr>
        <w:pStyle w:val="Sinespaciado"/>
        <w:spacing w:line="360" w:lineRule="auto"/>
        <w:jc w:val="both"/>
        <w:rPr>
          <w:rFonts w:ascii="Times New Roman" w:hAnsi="Times New Roman" w:cs="Times New Roman"/>
          <w:sz w:val="36"/>
          <w:szCs w:val="36"/>
        </w:rPr>
      </w:pPr>
      <w:r w:rsidRPr="00AE37F0">
        <w:rPr>
          <w:rFonts w:ascii="Times New Roman" w:hAnsi="Times New Roman" w:cs="Times New Roman"/>
          <w:sz w:val="36"/>
          <w:szCs w:val="36"/>
          <w:highlight w:val="green"/>
        </w:rPr>
        <w:t xml:space="preserve">De los artículos 78 y 79 de la Ley 300 de 1996 se desprende que esos servicios, incluidos los básicos, complementarios y/o accesorios, son aquellos </w:t>
      </w:r>
      <w:r w:rsidRPr="00AE37F0">
        <w:rPr>
          <w:rStyle w:val="Cuerpodeltexto2Negrita"/>
          <w:rFonts w:ascii="Times New Roman" w:hAnsi="Times New Roman" w:cs="Times New Roman"/>
          <w:sz w:val="36"/>
          <w:szCs w:val="36"/>
          <w:highlight w:val="green"/>
        </w:rPr>
        <w:t>que están comprendidos en el contrato de hospedaje, prestados como parte del mismo y cuyo propósito principal es el alojamiento, en el establecimiento hotelero o de hospedaje</w:t>
      </w:r>
      <w:r w:rsidRPr="00AE37F0">
        <w:rPr>
          <w:rFonts w:ascii="Times New Roman" w:hAnsi="Times New Roman" w:cs="Times New Roman"/>
          <w:sz w:val="36"/>
          <w:szCs w:val="36"/>
          <w:highlight w:val="green"/>
        </w:rPr>
        <w:t xml:space="preserve">. </w:t>
      </w:r>
      <w:r w:rsidRPr="00AE37F0">
        <w:rPr>
          <w:rFonts w:ascii="Times New Roman" w:hAnsi="Times New Roman" w:cs="Times New Roman"/>
          <w:sz w:val="36"/>
          <w:szCs w:val="36"/>
          <w:highlight w:val="yellow"/>
        </w:rPr>
        <w:t>De tal manera que si los demás servicios básicos y/o complementarios o accesorios no se prestan bajo ese entendido, será necesario valorar para cada servicio que se preste, individualmente considerado, si el mismo está gravado o no con el impuesto sobre las ventas, de conformidad con el Estatuto Tributario.</w:t>
      </w:r>
    </w:p>
    <w:p w14:paraId="09518899" w14:textId="77777777" w:rsidR="003D2939" w:rsidRPr="001526BE" w:rsidRDefault="003D2939" w:rsidP="001526BE">
      <w:pPr>
        <w:pStyle w:val="Sinespaciado"/>
        <w:spacing w:line="360" w:lineRule="auto"/>
        <w:jc w:val="both"/>
        <w:rPr>
          <w:rFonts w:ascii="Times New Roman" w:hAnsi="Times New Roman" w:cs="Times New Roman"/>
        </w:rPr>
      </w:pPr>
    </w:p>
    <w:p w14:paraId="2C20F907" w14:textId="545CDB2F" w:rsidR="00FB5DA6" w:rsidRPr="00AE37F0" w:rsidRDefault="003D2939" w:rsidP="001526BE">
      <w:pPr>
        <w:pStyle w:val="Sinespaciado"/>
        <w:spacing w:line="360" w:lineRule="auto"/>
        <w:jc w:val="both"/>
        <w:rPr>
          <w:rFonts w:ascii="Times New Roman" w:hAnsi="Times New Roman" w:cs="Times New Roman"/>
          <w:sz w:val="32"/>
          <w:szCs w:val="32"/>
        </w:rPr>
      </w:pPr>
      <w:r w:rsidRPr="00AE37F0">
        <w:rPr>
          <w:rFonts w:ascii="Times New Roman" w:hAnsi="Times New Roman" w:cs="Times New Roman"/>
          <w:sz w:val="32"/>
          <w:szCs w:val="32"/>
          <w:highlight w:val="yellow"/>
        </w:rPr>
        <w:t>Lo anterior sin perjuicio de las obligaciones de registro y control por parte de los prestadores de servicio de hotelería y turismo, tal como se señaló en el Oficio 904910 de septiembre de 2020.</w:t>
      </w:r>
    </w:p>
    <w:p w14:paraId="3E4EF3B9" w14:textId="77777777" w:rsidR="003D2939" w:rsidRPr="001526BE" w:rsidRDefault="003D2939" w:rsidP="001526BE">
      <w:pPr>
        <w:pStyle w:val="Sinespaciado"/>
        <w:spacing w:line="360" w:lineRule="auto"/>
        <w:jc w:val="both"/>
        <w:rPr>
          <w:rFonts w:ascii="Times New Roman" w:hAnsi="Times New Roman" w:cs="Times New Roman"/>
        </w:rPr>
      </w:pPr>
    </w:p>
    <w:p w14:paraId="07FE5A69" w14:textId="633F5B8E" w:rsidR="00FB5DA6" w:rsidRPr="00AE37F0" w:rsidRDefault="003D2939" w:rsidP="001526BE">
      <w:pPr>
        <w:pStyle w:val="Sinespaciado"/>
        <w:spacing w:line="360" w:lineRule="auto"/>
        <w:jc w:val="both"/>
        <w:rPr>
          <w:rFonts w:ascii="Times New Roman" w:hAnsi="Times New Roman" w:cs="Times New Roman"/>
          <w:sz w:val="36"/>
          <w:szCs w:val="36"/>
        </w:rPr>
      </w:pPr>
      <w:r w:rsidRPr="00AE37F0">
        <w:rPr>
          <w:rFonts w:ascii="Times New Roman" w:hAnsi="Times New Roman" w:cs="Times New Roman"/>
          <w:sz w:val="36"/>
          <w:szCs w:val="36"/>
          <w:highlight w:val="green"/>
        </w:rPr>
        <w:t xml:space="preserve">A partir de lo anterior, y en armonía con el artículo 4 del Decreto </w:t>
      </w:r>
      <w:r w:rsidRPr="00AE37F0">
        <w:rPr>
          <w:rFonts w:ascii="Times New Roman" w:hAnsi="Times New Roman" w:cs="Times New Roman"/>
          <w:sz w:val="36"/>
          <w:szCs w:val="36"/>
          <w:highlight w:val="green"/>
        </w:rPr>
        <w:lastRenderedPageBreak/>
        <w:t>Legislativo 789 de 2020, es posible señalar que le corresponde al prestador del respectivo servicio, bajo tales criterios, efectuar la valoración petinente (sic).</w:t>
      </w:r>
    </w:p>
    <w:p w14:paraId="2119E2F8" w14:textId="77777777" w:rsidR="003D2939" w:rsidRPr="001526BE" w:rsidRDefault="003D2939" w:rsidP="001526BE">
      <w:pPr>
        <w:pStyle w:val="Sinespaciado"/>
        <w:spacing w:line="360" w:lineRule="auto"/>
        <w:jc w:val="both"/>
        <w:rPr>
          <w:rFonts w:ascii="Times New Roman" w:hAnsi="Times New Roman" w:cs="Times New Roman"/>
        </w:rPr>
      </w:pPr>
    </w:p>
    <w:p w14:paraId="43DF31F4" w14:textId="1EA05B72"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Finalmente, se informa sobre el tema que la Corte Constitucional, mediante Sentencia C- 325 del 19 de agosto de 2019, decidió: “</w:t>
      </w:r>
      <w:r w:rsidRPr="001526BE">
        <w:rPr>
          <w:rStyle w:val="Cuerpodeltexto2Cursiva"/>
          <w:rFonts w:ascii="Times New Roman" w:hAnsi="Times New Roman" w:cs="Times New Roman"/>
          <w:sz w:val="24"/>
          <w:szCs w:val="24"/>
        </w:rPr>
        <w:t>Declarar EXEQUIBLE el artículo 4 del Decreto legislativo 789 de 2020 bajo el entendido para los prestadores de los servicios de hotelería y turismo es optativo acogerse al beneficio de exclusión del IVA.”.</w:t>
      </w:r>
    </w:p>
    <w:p w14:paraId="3916E5D7" w14:textId="77777777" w:rsidR="003D2939" w:rsidRPr="001526BE" w:rsidRDefault="003D2939" w:rsidP="001526BE">
      <w:pPr>
        <w:pStyle w:val="Sinespaciado"/>
        <w:spacing w:line="360" w:lineRule="auto"/>
        <w:jc w:val="both"/>
        <w:rPr>
          <w:rFonts w:ascii="Times New Roman" w:hAnsi="Times New Roman" w:cs="Times New Roman"/>
        </w:rPr>
      </w:pPr>
    </w:p>
    <w:p w14:paraId="648C463D" w14:textId="6E6B9F27" w:rsidR="00FB5DA6" w:rsidRPr="001526BE" w:rsidRDefault="003D2939" w:rsidP="001526BE">
      <w:pPr>
        <w:pStyle w:val="Sinespaciado"/>
        <w:numPr>
          <w:ilvl w:val="0"/>
          <w:numId w:val="4"/>
        </w:numPr>
        <w:spacing w:line="360" w:lineRule="auto"/>
        <w:jc w:val="both"/>
        <w:rPr>
          <w:rFonts w:ascii="Times New Roman" w:hAnsi="Times New Roman" w:cs="Times New Roman"/>
          <w:b/>
          <w:bCs/>
        </w:rPr>
      </w:pPr>
      <w:r w:rsidRPr="001526BE">
        <w:rPr>
          <w:rFonts w:ascii="Times New Roman" w:hAnsi="Times New Roman" w:cs="Times New Roman"/>
          <w:b/>
          <w:bCs/>
        </w:rPr>
        <w:t>Reducción impuesto al consumo</w:t>
      </w:r>
    </w:p>
    <w:p w14:paraId="0484A1A9" w14:textId="77777777" w:rsidR="003D2939" w:rsidRPr="001526BE" w:rsidRDefault="003D2939" w:rsidP="001526BE">
      <w:pPr>
        <w:pStyle w:val="Sinespaciado"/>
        <w:spacing w:line="360" w:lineRule="auto"/>
        <w:jc w:val="both"/>
        <w:rPr>
          <w:rFonts w:ascii="Times New Roman" w:hAnsi="Times New Roman" w:cs="Times New Roman"/>
        </w:rPr>
      </w:pPr>
    </w:p>
    <w:p w14:paraId="746F81E0" w14:textId="48C29A9A"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Con la expedición del Decreto Legislativo 682 de 2020, el TÍTULO II, sobre “</w:t>
      </w:r>
      <w:r w:rsidRPr="001526BE">
        <w:rPr>
          <w:rStyle w:val="Cuerpodeltexto2Cursiva"/>
          <w:rFonts w:ascii="Times New Roman" w:hAnsi="Times New Roman" w:cs="Times New Roman"/>
          <w:sz w:val="24"/>
          <w:szCs w:val="24"/>
        </w:rPr>
        <w:t>Reducción de las tarifas del impuesto nacional al consumo en el expendio de comidas y bebidas”,</w:t>
      </w:r>
      <w:r w:rsidRPr="001526BE">
        <w:rPr>
          <w:rFonts w:ascii="Times New Roman" w:hAnsi="Times New Roman" w:cs="Times New Roman"/>
        </w:rPr>
        <w:t xml:space="preserve"> en su artículo 9 establece:</w:t>
      </w:r>
    </w:p>
    <w:p w14:paraId="00C01E3A" w14:textId="77777777" w:rsidR="003D2939" w:rsidRPr="001526BE" w:rsidRDefault="003D2939" w:rsidP="001526BE">
      <w:pPr>
        <w:pStyle w:val="Sinespaciado"/>
        <w:spacing w:line="360" w:lineRule="auto"/>
        <w:jc w:val="both"/>
        <w:rPr>
          <w:rStyle w:val="Cuerpodeltexto20Sinnegrita"/>
          <w:rFonts w:ascii="Times New Roman" w:hAnsi="Times New Roman" w:cs="Times New Roman"/>
          <w:b w:val="0"/>
          <w:bCs w:val="0"/>
          <w:sz w:val="24"/>
          <w:szCs w:val="24"/>
        </w:rPr>
      </w:pPr>
    </w:p>
    <w:p w14:paraId="74D667E8" w14:textId="2973441C" w:rsidR="00FB5DA6" w:rsidRPr="001526BE" w:rsidRDefault="003D2939" w:rsidP="001526BE">
      <w:pPr>
        <w:pStyle w:val="Sinespaciado"/>
        <w:spacing w:line="360" w:lineRule="auto"/>
        <w:ind w:left="708"/>
        <w:jc w:val="both"/>
        <w:rPr>
          <w:rFonts w:ascii="Times New Roman" w:hAnsi="Times New Roman" w:cs="Times New Roman"/>
        </w:rPr>
      </w:pPr>
      <w:r w:rsidRPr="001526BE">
        <w:rPr>
          <w:rStyle w:val="Cuerpodeltexto20Sinnegrita"/>
          <w:rFonts w:ascii="Times New Roman" w:hAnsi="Times New Roman" w:cs="Times New Roman"/>
          <w:b w:val="0"/>
          <w:bCs w:val="0"/>
          <w:sz w:val="24"/>
          <w:szCs w:val="24"/>
        </w:rPr>
        <w:t xml:space="preserve">“Artículo 9. Reducción de las tarifas del impuesto nacional al consumo en el expendio de comidas y bebidas. </w:t>
      </w:r>
      <w:r w:rsidRPr="001526BE">
        <w:rPr>
          <w:rFonts w:ascii="Times New Roman" w:hAnsi="Times New Roman" w:cs="Times New Roman"/>
          <w:b/>
          <w:bCs/>
          <w:i/>
          <w:iCs/>
        </w:rPr>
        <w:t>Las tarifas del impuesto nacional al consumo de que tratan los artículos 512-9 y 512-12 del Estatuto Tributario</w:t>
      </w:r>
      <w:r w:rsidRPr="001526BE">
        <w:rPr>
          <w:rFonts w:ascii="Times New Roman" w:hAnsi="Times New Roman" w:cs="Times New Roman"/>
        </w:rPr>
        <w:t xml:space="preserve"> </w:t>
      </w:r>
      <w:r w:rsidRPr="001526BE">
        <w:rPr>
          <w:rStyle w:val="Cuerpodeltexto202"/>
          <w:rFonts w:ascii="Times New Roman" w:hAnsi="Times New Roman" w:cs="Times New Roman"/>
          <w:sz w:val="24"/>
          <w:szCs w:val="24"/>
        </w:rPr>
        <w:t>se reducirán al cero por ciento (0%) hasta el treinta y uno (31) de diciembre de 2020.</w:t>
      </w:r>
      <w:r w:rsidRPr="001526BE">
        <w:rPr>
          <w:rFonts w:ascii="Times New Roman" w:hAnsi="Times New Roman" w:cs="Times New Roman"/>
        </w:rPr>
        <w:t>”</w:t>
      </w:r>
    </w:p>
    <w:p w14:paraId="53C47DEC" w14:textId="77777777" w:rsidR="003D2939" w:rsidRPr="001526BE" w:rsidRDefault="003D2939" w:rsidP="001526BE">
      <w:pPr>
        <w:pStyle w:val="Sinespaciado"/>
        <w:spacing w:line="360" w:lineRule="auto"/>
        <w:jc w:val="both"/>
        <w:rPr>
          <w:rFonts w:ascii="Times New Roman" w:hAnsi="Times New Roman" w:cs="Times New Roman"/>
        </w:rPr>
      </w:pPr>
    </w:p>
    <w:p w14:paraId="605D2118" w14:textId="46089EE4"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Acorde con lo anterior, si un hotel se encuentra dentro de los supuestos del artículo 9 del Decreto Legislativo 682 de 2020, esto es, presta los servicios previstos en los artículos 512-9 y 512-2 del Estatuto Tributario, aplicará la tarifa del cero por ciento (0%) a título de impuesto nacional al consumo, vigente hasta el 31 de diciembre del año en curso.</w:t>
      </w:r>
    </w:p>
    <w:p w14:paraId="3F11DA09" w14:textId="77777777" w:rsidR="003D2939" w:rsidRPr="001526BE" w:rsidRDefault="003D2939" w:rsidP="001526BE">
      <w:pPr>
        <w:pStyle w:val="Sinespaciado"/>
        <w:spacing w:line="360" w:lineRule="auto"/>
        <w:jc w:val="both"/>
        <w:rPr>
          <w:rFonts w:ascii="Times New Roman" w:hAnsi="Times New Roman" w:cs="Times New Roman"/>
        </w:rPr>
      </w:pPr>
    </w:p>
    <w:p w14:paraId="71E37F2D" w14:textId="77777777" w:rsidR="00AE37F0"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Para estos efectos, se sugiere la lectura de los artículos 512-8 y 512-10 del Estatuto Tributario que definen qué se entiende por restaurante y bares.</w:t>
      </w:r>
    </w:p>
    <w:p w14:paraId="05133273" w14:textId="77777777" w:rsidR="00AE37F0"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Atentamente,</w:t>
      </w:r>
    </w:p>
    <w:p w14:paraId="4EEF4288" w14:textId="7EBBC8CC" w:rsidR="00FB5DA6" w:rsidRPr="00AE37F0"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b/>
          <w:bCs/>
        </w:rPr>
        <w:lastRenderedPageBreak/>
        <w:t>PABLO EMILIO MENDOZA VELILLA</w:t>
      </w:r>
    </w:p>
    <w:p w14:paraId="6890A57F" w14:textId="77777777" w:rsidR="003D2939"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Subdirector de Gestión Normativa y Doctrina</w:t>
      </w:r>
    </w:p>
    <w:p w14:paraId="299D8645" w14:textId="77777777" w:rsidR="003D2939"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Dirección de Gestión Jurídica</w:t>
      </w:r>
    </w:p>
    <w:p w14:paraId="4BD84953" w14:textId="3252B2AE"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UAE-DIAN</w:t>
      </w:r>
    </w:p>
    <w:p w14:paraId="7D34296E" w14:textId="77777777" w:rsidR="003D2939"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Car. 8 N° 6C-38 Piso 4, Edificio San Agustín</w:t>
      </w:r>
    </w:p>
    <w:p w14:paraId="4381E0E6" w14:textId="512B1792" w:rsidR="00FB5DA6" w:rsidRPr="001526BE" w:rsidRDefault="003D2939" w:rsidP="001526BE">
      <w:pPr>
        <w:pStyle w:val="Sinespaciado"/>
        <w:spacing w:line="360" w:lineRule="auto"/>
        <w:jc w:val="both"/>
        <w:rPr>
          <w:rFonts w:ascii="Times New Roman" w:hAnsi="Times New Roman" w:cs="Times New Roman"/>
        </w:rPr>
      </w:pPr>
      <w:r w:rsidRPr="001526BE">
        <w:rPr>
          <w:rFonts w:ascii="Times New Roman" w:hAnsi="Times New Roman" w:cs="Times New Roman"/>
        </w:rPr>
        <w:t>Bogotá D.C.</w:t>
      </w:r>
    </w:p>
    <w:p w14:paraId="3D89CD13" w14:textId="77777777" w:rsidR="003D2939" w:rsidRPr="001526BE" w:rsidRDefault="003D2939" w:rsidP="001526BE">
      <w:pPr>
        <w:pStyle w:val="Sinespaciado"/>
        <w:spacing w:line="360" w:lineRule="auto"/>
        <w:jc w:val="both"/>
        <w:rPr>
          <w:rStyle w:val="Cuerpodeltexto181"/>
          <w:rFonts w:ascii="Times New Roman" w:hAnsi="Times New Roman" w:cs="Times New Roman"/>
          <w:sz w:val="24"/>
          <w:szCs w:val="24"/>
        </w:rPr>
      </w:pPr>
    </w:p>
    <w:p w14:paraId="689DB909" w14:textId="552668A8" w:rsidR="00FB5DA6" w:rsidRPr="001526BE" w:rsidRDefault="003D2939" w:rsidP="001526BE">
      <w:pPr>
        <w:pStyle w:val="Sinespaciado"/>
        <w:spacing w:line="360" w:lineRule="auto"/>
        <w:jc w:val="both"/>
        <w:rPr>
          <w:rFonts w:ascii="Times New Roman" w:hAnsi="Times New Roman" w:cs="Times New Roman"/>
        </w:rPr>
      </w:pPr>
      <w:r w:rsidRPr="001526BE">
        <w:rPr>
          <w:rStyle w:val="Cuerpodeltexto181"/>
          <w:rFonts w:ascii="Times New Roman" w:hAnsi="Times New Roman" w:cs="Times New Roman"/>
          <w:sz w:val="24"/>
          <w:szCs w:val="24"/>
        </w:rPr>
        <w:t>Anexo: Oficio 904910 de septiembre de 2020.</w:t>
      </w:r>
    </w:p>
    <w:sectPr w:rsidR="00FB5DA6" w:rsidRPr="001526BE" w:rsidSect="003D2939">
      <w:type w:val="continuous"/>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547A1" w14:textId="77777777" w:rsidR="00AA6AED" w:rsidRDefault="00AA6AED">
      <w:r>
        <w:separator/>
      </w:r>
    </w:p>
  </w:endnote>
  <w:endnote w:type="continuationSeparator" w:id="0">
    <w:p w14:paraId="5B726918" w14:textId="77777777" w:rsidR="00AA6AED" w:rsidRDefault="00AA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E3980" w14:textId="77777777" w:rsidR="00AA6AED" w:rsidRDefault="00AA6AED"/>
  </w:footnote>
  <w:footnote w:type="continuationSeparator" w:id="0">
    <w:p w14:paraId="78B3EF11" w14:textId="77777777" w:rsidR="00AA6AED" w:rsidRDefault="00AA6A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A18D1"/>
    <w:multiLevelType w:val="multilevel"/>
    <w:tmpl w:val="5BB4A394"/>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D0064"/>
    <w:multiLevelType w:val="hybridMultilevel"/>
    <w:tmpl w:val="0A329B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476787"/>
    <w:multiLevelType w:val="hybridMultilevel"/>
    <w:tmpl w:val="7068B4DC"/>
    <w:lvl w:ilvl="0" w:tplc="2CDEBBC2">
      <w:start w:val="3"/>
      <w:numFmt w:val="bullet"/>
      <w:lvlText w:val="-"/>
      <w:lvlJc w:val="left"/>
      <w:pPr>
        <w:ind w:left="720" w:hanging="360"/>
      </w:pPr>
      <w:rPr>
        <w:rFonts w:ascii="Verdana" w:eastAsia="Microsoft Sans Serif" w:hAnsi="Verdana" w:cs="Microsoft Sans Serif"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3E278E7"/>
    <w:multiLevelType w:val="multilevel"/>
    <w:tmpl w:val="EBC80F90"/>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A6"/>
    <w:rsid w:val="001526BE"/>
    <w:rsid w:val="003D2939"/>
    <w:rsid w:val="00747B6C"/>
    <w:rsid w:val="00AA6AED"/>
    <w:rsid w:val="00AE37F0"/>
    <w:rsid w:val="00BB30E5"/>
    <w:rsid w:val="00F80803"/>
    <w:rsid w:val="00FB5D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8C50"/>
  <w15:docId w15:val="{ABD46ED4-9018-4E15-B308-057FDB6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9"/>
      <w:szCs w:val="19"/>
      <w:u w:val="none"/>
    </w:rPr>
  </w:style>
  <w:style w:type="character" w:customStyle="1" w:styleId="Cuerpodeltexto7">
    <w:name w:val="Cuerpo del texto (7)_"/>
    <w:basedOn w:val="Fuentedeprrafopredeter"/>
    <w:link w:val="Cuerpodeltexto70"/>
    <w:rPr>
      <w:rFonts w:ascii="Arial" w:eastAsia="Arial" w:hAnsi="Arial" w:cs="Arial"/>
      <w:b w:val="0"/>
      <w:bCs w:val="0"/>
      <w:i/>
      <w:iCs/>
      <w:smallCaps w:val="0"/>
      <w:strike w:val="0"/>
      <w:sz w:val="19"/>
      <w:szCs w:val="19"/>
      <w:u w:val="none"/>
    </w:rPr>
  </w:style>
  <w:style w:type="character" w:customStyle="1" w:styleId="Cuerpodeltexto7Sincursiva">
    <w:name w:val="Cuerpo del texto (7) + Sin cursiva"/>
    <w:basedOn w:val="Cuerpodeltexto7"/>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19"/>
      <w:szCs w:val="19"/>
      <w:u w:val="none"/>
    </w:rPr>
  </w:style>
  <w:style w:type="character" w:customStyle="1" w:styleId="Cuerpodeltexto7Negrita">
    <w:name w:val="Cuerpo del texto (7) + Negrita"/>
    <w:basedOn w:val="Cuerpodeltexto7"/>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19"/>
      <w:szCs w:val="19"/>
      <w:u w:val="none"/>
      <w:lang w:val="es-ES" w:eastAsia="es-ES" w:bidi="es-ES"/>
    </w:rPr>
  </w:style>
  <w:style w:type="character" w:customStyle="1" w:styleId="Cuerpodeltexto2NegritaCursiva">
    <w:name w:val="Cuerpo del texto (2) + Negrita;Cursiva"/>
    <w:basedOn w:val="Cuerpodeltexto2"/>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4Cursiva">
    <w:name w:val="Cuerpo del texto (4) + Cursiva"/>
    <w:basedOn w:val="Cuerpodeltexto4"/>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00">
    <w:name w:val="Cuerpo del texto (20)_"/>
    <w:basedOn w:val="Fuentedeprrafopredeter"/>
    <w:link w:val="Cuerpodeltexto201"/>
    <w:rPr>
      <w:rFonts w:ascii="Arial" w:eastAsia="Arial" w:hAnsi="Arial" w:cs="Arial"/>
      <w:b/>
      <w:bCs/>
      <w:i/>
      <w:iCs/>
      <w:smallCaps w:val="0"/>
      <w:strike w:val="0"/>
      <w:sz w:val="19"/>
      <w:szCs w:val="19"/>
      <w:u w:val="none"/>
    </w:rPr>
  </w:style>
  <w:style w:type="character" w:customStyle="1" w:styleId="Cuerpodeltexto20Sinnegrita">
    <w:name w:val="Cuerpo del texto (20) + Sin negrita"/>
    <w:basedOn w:val="Cuerpodeltexto200"/>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202">
    <w:name w:val="Cuerpo del texto (20)"/>
    <w:basedOn w:val="Cuerpodeltexto200"/>
    <w:rPr>
      <w:rFonts w:ascii="Arial" w:eastAsia="Arial" w:hAnsi="Arial" w:cs="Arial"/>
      <w:b/>
      <w:bCs/>
      <w:i/>
      <w:iCs/>
      <w:smallCaps w:val="0"/>
      <w:strike w:val="0"/>
      <w:color w:val="000000"/>
      <w:spacing w:val="0"/>
      <w:w w:val="100"/>
      <w:position w:val="0"/>
      <w:sz w:val="19"/>
      <w:szCs w:val="19"/>
      <w:u w:val="singl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uerpodeltexto19">
    <w:name w:val="Cuerpo del texto (19)_"/>
    <w:basedOn w:val="Fuentedeprrafopredeter"/>
    <w:link w:val="Cuerpodeltexto190"/>
    <w:rPr>
      <w:rFonts w:ascii="Arial" w:eastAsia="Arial" w:hAnsi="Arial" w:cs="Arial"/>
      <w:b w:val="0"/>
      <w:bCs w:val="0"/>
      <w:i w:val="0"/>
      <w:iCs w:val="0"/>
      <w:smallCaps w:val="0"/>
      <w:strike w:val="0"/>
      <w:sz w:val="10"/>
      <w:szCs w:val="10"/>
      <w:u w:val="none"/>
    </w:rPr>
  </w:style>
  <w:style w:type="character" w:customStyle="1" w:styleId="Cuerpodeltexto19Garamond6ptoCursiva">
    <w:name w:val="Cuerpo del texto (19) + Garamond;6 pto;Cursiva"/>
    <w:basedOn w:val="Cuerpodeltexto19"/>
    <w:rPr>
      <w:rFonts w:ascii="Garamond" w:eastAsia="Garamond" w:hAnsi="Garamond" w:cs="Garamond"/>
      <w:b w:val="0"/>
      <w:bCs w:val="0"/>
      <w:i/>
      <w:iCs/>
      <w:smallCaps w:val="0"/>
      <w:strike w:val="0"/>
      <w:color w:val="000000"/>
      <w:spacing w:val="0"/>
      <w:w w:val="100"/>
      <w:position w:val="0"/>
      <w:sz w:val="12"/>
      <w:szCs w:val="12"/>
      <w:u w:val="none"/>
      <w:lang w:val="es-ES" w:eastAsia="es-ES" w:bidi="es-ES"/>
    </w:rPr>
  </w:style>
  <w:style w:type="character" w:customStyle="1" w:styleId="Cuerpodeltexto1945ptoNegrita">
    <w:name w:val="Cuerpo del texto (19) + 4;5 pto;Negrita"/>
    <w:basedOn w:val="Cuerpodeltexto19"/>
    <w:rPr>
      <w:rFonts w:ascii="Arial" w:eastAsia="Arial" w:hAnsi="Arial" w:cs="Arial"/>
      <w:b/>
      <w:bCs/>
      <w:i w:val="0"/>
      <w:iCs w:val="0"/>
      <w:smallCaps w:val="0"/>
      <w:strike w:val="0"/>
      <w:color w:val="000000"/>
      <w:spacing w:val="0"/>
      <w:w w:val="100"/>
      <w:position w:val="0"/>
      <w:sz w:val="9"/>
      <w:szCs w:val="9"/>
      <w:u w:val="none"/>
      <w:lang w:val="es-ES" w:eastAsia="es-ES" w:bidi="es-ES"/>
    </w:rPr>
  </w:style>
  <w:style w:type="character" w:customStyle="1" w:styleId="Cuerpodeltexto6">
    <w:name w:val="Cuerpo del texto (6)_"/>
    <w:basedOn w:val="Fuentedeprrafopredeter"/>
    <w:link w:val="Cuerpodeltexto60"/>
    <w:rPr>
      <w:rFonts w:ascii="Arial" w:eastAsia="Arial" w:hAnsi="Arial" w:cs="Arial"/>
      <w:b w:val="0"/>
      <w:bCs w:val="0"/>
      <w:i w:val="0"/>
      <w:iCs w:val="0"/>
      <w:smallCaps w:val="0"/>
      <w:strike w:val="0"/>
      <w:sz w:val="10"/>
      <w:szCs w:val="10"/>
      <w:u w:val="none"/>
    </w:rPr>
  </w:style>
  <w:style w:type="character" w:customStyle="1" w:styleId="Cuerpodeltexto69pto">
    <w:name w:val="Cuerpo del texto (6) + 9 pto"/>
    <w:basedOn w:val="Cuerpodeltexto6"/>
    <w:rPr>
      <w:rFonts w:ascii="Arial" w:eastAsia="Arial" w:hAnsi="Arial" w:cs="Arial"/>
      <w:b w:val="0"/>
      <w:bCs w:val="0"/>
      <w:i w:val="0"/>
      <w:iCs w:val="0"/>
      <w:smallCaps w:val="0"/>
      <w:strike w:val="0"/>
      <w:color w:val="000000"/>
      <w:spacing w:val="0"/>
      <w:w w:val="100"/>
      <w:position w:val="0"/>
      <w:sz w:val="18"/>
      <w:szCs w:val="18"/>
      <w:u w:val="none"/>
      <w:lang w:val="es-ES" w:eastAsia="es-ES" w:bidi="es-ES"/>
    </w:rPr>
  </w:style>
  <w:style w:type="character" w:customStyle="1" w:styleId="Cuerpodeltexto42">
    <w:name w:val="Cuerpo del texto (42)_"/>
    <w:basedOn w:val="Fuentedeprrafopredeter"/>
    <w:link w:val="Cuerpodeltexto420"/>
    <w:rPr>
      <w:rFonts w:ascii="Arial" w:eastAsia="Arial" w:hAnsi="Arial" w:cs="Arial"/>
      <w:b/>
      <w:bCs/>
      <w:i w:val="0"/>
      <w:iCs w:val="0"/>
      <w:smallCaps w:val="0"/>
      <w:strike w:val="0"/>
      <w:sz w:val="9"/>
      <w:szCs w:val="9"/>
      <w:u w:val="none"/>
    </w:rPr>
  </w:style>
  <w:style w:type="character" w:customStyle="1" w:styleId="Cuerpodeltexto18">
    <w:name w:val="Cuerpo del texto (18)_"/>
    <w:basedOn w:val="Fuentedeprrafopredeter"/>
    <w:link w:val="Cuerpodeltexto180"/>
    <w:rPr>
      <w:rFonts w:ascii="Arial" w:eastAsia="Arial" w:hAnsi="Arial" w:cs="Arial"/>
      <w:b w:val="0"/>
      <w:bCs w:val="0"/>
      <w:i w:val="0"/>
      <w:iCs w:val="0"/>
      <w:smallCaps w:val="0"/>
      <w:strike w:val="0"/>
      <w:sz w:val="18"/>
      <w:szCs w:val="18"/>
      <w:u w:val="none"/>
    </w:rPr>
  </w:style>
  <w:style w:type="character" w:customStyle="1" w:styleId="Cuerpodeltexto181">
    <w:name w:val="Cuerpo del texto (18)"/>
    <w:basedOn w:val="Cuerpodeltexto18"/>
    <w:rPr>
      <w:rFonts w:ascii="Arial" w:eastAsia="Arial" w:hAnsi="Arial" w:cs="Arial"/>
      <w:b w:val="0"/>
      <w:bCs w:val="0"/>
      <w:i w:val="0"/>
      <w:iCs w:val="0"/>
      <w:smallCaps w:val="0"/>
      <w:strike w:val="0"/>
      <w:color w:val="000000"/>
      <w:spacing w:val="0"/>
      <w:w w:val="100"/>
      <w:position w:val="0"/>
      <w:sz w:val="18"/>
      <w:szCs w:val="18"/>
      <w:u w:val="none"/>
      <w:lang w:val="es-ES" w:eastAsia="es-ES" w:bidi="es-ES"/>
    </w:rPr>
  </w:style>
  <w:style w:type="paragraph" w:customStyle="1" w:styleId="Cuerpodeltexto20">
    <w:name w:val="Cuerpo del texto (2)"/>
    <w:basedOn w:val="Normal"/>
    <w:link w:val="Cuerpodeltexto2"/>
    <w:pPr>
      <w:shd w:val="clear" w:color="auto" w:fill="FFFFFF"/>
      <w:spacing w:after="480" w:line="0" w:lineRule="atLeast"/>
      <w:ind w:hanging="360"/>
      <w:jc w:val="both"/>
    </w:pPr>
    <w:rPr>
      <w:rFonts w:ascii="Arial" w:eastAsia="Arial" w:hAnsi="Arial" w:cs="Arial"/>
      <w:sz w:val="19"/>
      <w:szCs w:val="19"/>
    </w:rPr>
  </w:style>
  <w:style w:type="paragraph" w:customStyle="1" w:styleId="Cuerpodeltexto70">
    <w:name w:val="Cuerpo del texto (7)"/>
    <w:basedOn w:val="Normal"/>
    <w:link w:val="Cuerpodeltexto7"/>
    <w:pPr>
      <w:shd w:val="clear" w:color="auto" w:fill="FFFFFF"/>
      <w:spacing w:line="0" w:lineRule="atLeast"/>
    </w:pPr>
    <w:rPr>
      <w:rFonts w:ascii="Arial" w:eastAsia="Arial" w:hAnsi="Arial" w:cs="Arial"/>
      <w:i/>
      <w:iCs/>
      <w:sz w:val="19"/>
      <w:szCs w:val="19"/>
    </w:rPr>
  </w:style>
  <w:style w:type="paragraph" w:customStyle="1" w:styleId="Cuerpodeltexto40">
    <w:name w:val="Cuerpo del texto (4)"/>
    <w:basedOn w:val="Normal"/>
    <w:link w:val="Cuerpodeltexto4"/>
    <w:pPr>
      <w:shd w:val="clear" w:color="auto" w:fill="FFFFFF"/>
      <w:spacing w:before="180" w:line="230" w:lineRule="exact"/>
      <w:ind w:hanging="360"/>
      <w:jc w:val="both"/>
    </w:pPr>
    <w:rPr>
      <w:rFonts w:ascii="Arial" w:eastAsia="Arial" w:hAnsi="Arial" w:cs="Arial"/>
      <w:b/>
      <w:bCs/>
      <w:sz w:val="19"/>
      <w:szCs w:val="19"/>
    </w:rPr>
  </w:style>
  <w:style w:type="paragraph" w:customStyle="1" w:styleId="Cuerpodeltexto201">
    <w:name w:val="Cuerpo del texto (20)"/>
    <w:basedOn w:val="Normal"/>
    <w:link w:val="Cuerpodeltexto200"/>
    <w:pPr>
      <w:shd w:val="clear" w:color="auto" w:fill="FFFFFF"/>
      <w:spacing w:before="180" w:after="180" w:line="230" w:lineRule="exact"/>
    </w:pPr>
    <w:rPr>
      <w:rFonts w:ascii="Arial" w:eastAsia="Arial" w:hAnsi="Arial" w:cs="Arial"/>
      <w:b/>
      <w:bCs/>
      <w:i/>
      <w:iCs/>
      <w:sz w:val="19"/>
      <w:szCs w:val="19"/>
    </w:rPr>
  </w:style>
  <w:style w:type="paragraph" w:customStyle="1" w:styleId="Cuerpodeltexto190">
    <w:name w:val="Cuerpo del texto (19)"/>
    <w:basedOn w:val="Normal"/>
    <w:link w:val="Cuerpodeltexto19"/>
    <w:pPr>
      <w:shd w:val="clear" w:color="auto" w:fill="FFFFFF"/>
      <w:spacing w:line="120" w:lineRule="exact"/>
      <w:jc w:val="both"/>
    </w:pPr>
    <w:rPr>
      <w:rFonts w:ascii="Arial" w:eastAsia="Arial" w:hAnsi="Arial" w:cs="Arial"/>
      <w:sz w:val="10"/>
      <w:szCs w:val="10"/>
    </w:rPr>
  </w:style>
  <w:style w:type="paragraph" w:customStyle="1" w:styleId="Cuerpodeltexto60">
    <w:name w:val="Cuerpo del texto (6)"/>
    <w:basedOn w:val="Normal"/>
    <w:link w:val="Cuerpodeltexto6"/>
    <w:pPr>
      <w:shd w:val="clear" w:color="auto" w:fill="FFFFFF"/>
      <w:spacing w:before="480" w:line="0" w:lineRule="atLeast"/>
      <w:jc w:val="both"/>
    </w:pPr>
    <w:rPr>
      <w:rFonts w:ascii="Arial" w:eastAsia="Arial" w:hAnsi="Arial" w:cs="Arial"/>
      <w:sz w:val="10"/>
      <w:szCs w:val="10"/>
    </w:rPr>
  </w:style>
  <w:style w:type="paragraph" w:customStyle="1" w:styleId="Cuerpodeltexto420">
    <w:name w:val="Cuerpo del texto (42)"/>
    <w:basedOn w:val="Normal"/>
    <w:link w:val="Cuerpodeltexto42"/>
    <w:pPr>
      <w:shd w:val="clear" w:color="auto" w:fill="FFFFFF"/>
      <w:spacing w:line="110" w:lineRule="exact"/>
      <w:jc w:val="both"/>
    </w:pPr>
    <w:rPr>
      <w:rFonts w:ascii="Arial" w:eastAsia="Arial" w:hAnsi="Arial" w:cs="Arial"/>
      <w:b/>
      <w:bCs/>
      <w:sz w:val="9"/>
      <w:szCs w:val="9"/>
    </w:rPr>
  </w:style>
  <w:style w:type="paragraph" w:customStyle="1" w:styleId="Cuerpodeltexto180">
    <w:name w:val="Cuerpo del texto (18)"/>
    <w:basedOn w:val="Normal"/>
    <w:link w:val="Cuerpodeltexto18"/>
    <w:pPr>
      <w:shd w:val="clear" w:color="auto" w:fill="FFFFFF"/>
      <w:spacing w:before="240" w:after="2940" w:line="0" w:lineRule="atLeast"/>
      <w:jc w:val="both"/>
    </w:pPr>
    <w:rPr>
      <w:rFonts w:ascii="Arial" w:eastAsia="Arial" w:hAnsi="Arial" w:cs="Arial"/>
      <w:sz w:val="18"/>
      <w:szCs w:val="18"/>
    </w:rPr>
  </w:style>
  <w:style w:type="paragraph" w:styleId="Sinespaciado">
    <w:name w:val="No Spacing"/>
    <w:uiPriority w:val="1"/>
    <w:qFormat/>
    <w:rsid w:val="003D29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1021</Words>
  <Characters>5618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RMARTINQ</dc:creator>
  <cp:keywords/>
  <cp:lastModifiedBy>Guillermo Alzate Duque</cp:lastModifiedBy>
  <cp:revision>3</cp:revision>
  <dcterms:created xsi:type="dcterms:W3CDTF">2020-12-12T00:04:00Z</dcterms:created>
  <dcterms:modified xsi:type="dcterms:W3CDTF">2021-01-15T17:19:00Z</dcterms:modified>
</cp:coreProperties>
</file>