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8CFD9" w14:textId="739C33B8" w:rsidR="00C8397A" w:rsidRPr="00C8397A" w:rsidRDefault="00C8397A" w:rsidP="00C8397A">
      <w:pPr>
        <w:pStyle w:val="Sinespaciado"/>
        <w:jc w:val="both"/>
        <w:rPr>
          <w:rFonts w:ascii="Verdana" w:hAnsi="Verdana"/>
          <w:b/>
          <w:bCs/>
        </w:rPr>
      </w:pPr>
      <w:r w:rsidRPr="00C8397A">
        <w:rPr>
          <w:rFonts w:ascii="Verdana" w:hAnsi="Verdana"/>
          <w:b/>
          <w:bCs/>
        </w:rPr>
        <w:t>CONCEPTO 1283 DEL 14 DE OCTUBRE DE 2020</w:t>
      </w:r>
    </w:p>
    <w:p w14:paraId="4A790C69" w14:textId="691D2DEC" w:rsidR="00C8397A" w:rsidRPr="00C8397A" w:rsidRDefault="00C8397A" w:rsidP="00C8397A">
      <w:pPr>
        <w:pStyle w:val="Sinespaciado"/>
        <w:jc w:val="both"/>
        <w:rPr>
          <w:rFonts w:ascii="Verdana" w:hAnsi="Verdana"/>
          <w:b/>
          <w:bCs/>
        </w:rPr>
      </w:pPr>
      <w:r w:rsidRPr="00C8397A">
        <w:rPr>
          <w:rFonts w:ascii="Verdana" w:hAnsi="Verdana"/>
          <w:b/>
          <w:bCs/>
        </w:rPr>
        <w:t>DIRECCIÓN DE IMPUESTOS Y ADUANAS NACIONALES</w:t>
      </w:r>
    </w:p>
    <w:p w14:paraId="1113B723" w14:textId="1F779585" w:rsidR="00C8397A" w:rsidRDefault="00C8397A" w:rsidP="00C8397A">
      <w:pPr>
        <w:pStyle w:val="Sinespaciado"/>
        <w:jc w:val="both"/>
        <w:rPr>
          <w:rFonts w:ascii="Verdana" w:hAnsi="Verdana"/>
        </w:rPr>
      </w:pPr>
    </w:p>
    <w:p w14:paraId="49AFE08A" w14:textId="14BDFA33" w:rsidR="00C8397A" w:rsidRDefault="00C8397A" w:rsidP="00C8397A">
      <w:pPr>
        <w:pStyle w:val="Sinespaciado"/>
        <w:jc w:val="both"/>
        <w:rPr>
          <w:rFonts w:ascii="Verdana" w:hAnsi="Verdana"/>
        </w:rPr>
      </w:pPr>
      <w:r>
        <w:rPr>
          <w:rFonts w:ascii="Verdana" w:hAnsi="Verdana"/>
        </w:rPr>
        <w:t>Bogotá, D.C.</w:t>
      </w:r>
    </w:p>
    <w:p w14:paraId="0A3E9761" w14:textId="67BDDF76" w:rsidR="00C8397A" w:rsidRDefault="00C8397A" w:rsidP="00C8397A">
      <w:pPr>
        <w:pStyle w:val="Sinespaciado"/>
        <w:jc w:val="both"/>
        <w:rPr>
          <w:rFonts w:ascii="Verdana" w:hAnsi="Verdana"/>
        </w:rPr>
      </w:pPr>
    </w:p>
    <w:p w14:paraId="7A328F4D" w14:textId="2E0E4B9F" w:rsidR="00C8397A" w:rsidRDefault="00C8397A" w:rsidP="00C8397A">
      <w:pPr>
        <w:pStyle w:val="Sinespaciado"/>
        <w:jc w:val="both"/>
        <w:rPr>
          <w:rFonts w:ascii="Verdana" w:hAnsi="Verdana"/>
        </w:rPr>
      </w:pPr>
      <w:r w:rsidRPr="00C8397A">
        <w:rPr>
          <w:rFonts w:ascii="Verdana" w:hAnsi="Verdana"/>
        </w:rPr>
        <w:t>Ref.: Consulta 100059716 del 08/06/2020</w:t>
      </w:r>
    </w:p>
    <w:p w14:paraId="69B9CBF5" w14:textId="77777777" w:rsidR="00C8397A" w:rsidRDefault="00C8397A" w:rsidP="00C8397A">
      <w:pPr>
        <w:pStyle w:val="Sinespaciado"/>
        <w:jc w:val="both"/>
        <w:rPr>
          <w:rFonts w:ascii="Verdana" w:hAnsi="Verdana"/>
        </w:rPr>
      </w:pPr>
    </w:p>
    <w:p w14:paraId="395FDDEA" w14:textId="503AF7C5" w:rsidR="00BE3BF9" w:rsidRPr="00C8397A" w:rsidRDefault="00A85957" w:rsidP="00C8397A">
      <w:pPr>
        <w:pStyle w:val="Sinespaciado"/>
        <w:jc w:val="both"/>
        <w:rPr>
          <w:rFonts w:ascii="Verdana" w:hAnsi="Verdana"/>
        </w:rPr>
      </w:pPr>
      <w:r w:rsidRPr="00C8397A">
        <w:rPr>
          <w:rFonts w:ascii="Verdana" w:hAnsi="Verdana"/>
          <w:b/>
          <w:bCs/>
        </w:rPr>
        <w:t>Tema</w:t>
      </w:r>
      <w:r w:rsidR="00C8397A">
        <w:rPr>
          <w:rFonts w:ascii="Verdana" w:hAnsi="Verdana"/>
          <w:b/>
          <w:bCs/>
        </w:rPr>
        <w:tab/>
      </w:r>
      <w:r w:rsidR="00C8397A">
        <w:rPr>
          <w:rFonts w:ascii="Verdana" w:hAnsi="Verdana"/>
          <w:b/>
          <w:bCs/>
        </w:rPr>
        <w:tab/>
      </w:r>
      <w:r w:rsidR="00C8397A">
        <w:rPr>
          <w:rFonts w:ascii="Verdana" w:hAnsi="Verdana"/>
          <w:b/>
          <w:bCs/>
        </w:rPr>
        <w:tab/>
      </w:r>
      <w:r w:rsidRPr="00C8397A">
        <w:rPr>
          <w:rFonts w:ascii="Verdana" w:hAnsi="Verdana"/>
        </w:rPr>
        <w:t>Impuesto Sobre las Ventas</w:t>
      </w:r>
    </w:p>
    <w:p w14:paraId="2DD12829" w14:textId="11BE27D7" w:rsidR="00BE3BF9" w:rsidRPr="00C8397A" w:rsidRDefault="00A85957" w:rsidP="00C8397A">
      <w:pPr>
        <w:pStyle w:val="Sinespaciado"/>
        <w:jc w:val="both"/>
        <w:rPr>
          <w:rFonts w:ascii="Verdana" w:hAnsi="Verdana"/>
        </w:rPr>
      </w:pPr>
      <w:r w:rsidRPr="00C8397A">
        <w:rPr>
          <w:rFonts w:ascii="Verdana" w:hAnsi="Verdana"/>
          <w:b/>
          <w:bCs/>
        </w:rPr>
        <w:t>Descriptores</w:t>
      </w:r>
      <w:r w:rsidR="00C8397A">
        <w:rPr>
          <w:rFonts w:ascii="Verdana" w:hAnsi="Verdana"/>
          <w:b/>
          <w:bCs/>
        </w:rPr>
        <w:tab/>
      </w:r>
      <w:r w:rsidR="00C8397A">
        <w:rPr>
          <w:rFonts w:ascii="Verdana" w:hAnsi="Verdana"/>
          <w:b/>
          <w:bCs/>
        </w:rPr>
        <w:tab/>
      </w:r>
      <w:r w:rsidRPr="00C8397A">
        <w:rPr>
          <w:rFonts w:ascii="Verdana" w:hAnsi="Verdana"/>
        </w:rPr>
        <w:t>Franquicia e impuesto sobre las ventas</w:t>
      </w:r>
    </w:p>
    <w:p w14:paraId="4BFE71AE" w14:textId="77777777" w:rsidR="00BE3BF9" w:rsidRPr="00C8397A" w:rsidRDefault="00A85957" w:rsidP="00C8397A">
      <w:pPr>
        <w:pStyle w:val="Sinespaciado"/>
        <w:ind w:left="2832"/>
        <w:jc w:val="both"/>
        <w:rPr>
          <w:rFonts w:ascii="Verdana" w:hAnsi="Verdana"/>
        </w:rPr>
      </w:pPr>
      <w:r w:rsidRPr="00C8397A">
        <w:rPr>
          <w:rFonts w:ascii="Verdana" w:hAnsi="Verdana"/>
        </w:rPr>
        <w:t>Franquicia en servicios de expendio de comidas y bebidas</w:t>
      </w:r>
    </w:p>
    <w:p w14:paraId="111EE736" w14:textId="637C8DD6" w:rsidR="00BE3BF9" w:rsidRPr="00C8397A" w:rsidRDefault="00A85957" w:rsidP="00C8397A">
      <w:pPr>
        <w:pStyle w:val="Sinespaciado"/>
        <w:ind w:left="2832" w:hanging="2832"/>
        <w:jc w:val="both"/>
        <w:rPr>
          <w:rFonts w:ascii="Verdana" w:hAnsi="Verdana"/>
        </w:rPr>
      </w:pPr>
      <w:r w:rsidRPr="00C8397A">
        <w:rPr>
          <w:rFonts w:ascii="Verdana" w:hAnsi="Verdana"/>
          <w:b/>
          <w:bCs/>
        </w:rPr>
        <w:t>Fuentes formales</w:t>
      </w:r>
      <w:r w:rsidR="00C8397A">
        <w:rPr>
          <w:rFonts w:ascii="Verdana" w:hAnsi="Verdana"/>
          <w:b/>
          <w:bCs/>
        </w:rPr>
        <w:tab/>
      </w:r>
      <w:r w:rsidRPr="00C8397A">
        <w:rPr>
          <w:rFonts w:ascii="Verdana" w:hAnsi="Verdana"/>
        </w:rPr>
        <w:t>Artículos 420, 426, 485, 486, 488, 493, 494, 495 y 496 del Estatuto</w:t>
      </w:r>
      <w:r w:rsidR="00C8397A">
        <w:rPr>
          <w:rFonts w:ascii="Verdana" w:hAnsi="Verdana"/>
        </w:rPr>
        <w:t xml:space="preserve"> </w:t>
      </w:r>
      <w:r w:rsidRPr="00C8397A">
        <w:rPr>
          <w:rFonts w:ascii="Verdana" w:hAnsi="Verdana"/>
        </w:rPr>
        <w:t>Tributario</w:t>
      </w:r>
    </w:p>
    <w:p w14:paraId="380FCC10" w14:textId="77777777" w:rsidR="00C8397A" w:rsidRDefault="00A85957" w:rsidP="00C8397A">
      <w:pPr>
        <w:pStyle w:val="Sinespaciado"/>
        <w:ind w:left="2124" w:firstLine="708"/>
        <w:jc w:val="both"/>
        <w:rPr>
          <w:rFonts w:ascii="Verdana" w:hAnsi="Verdana"/>
        </w:rPr>
      </w:pPr>
      <w:r w:rsidRPr="00C8397A">
        <w:rPr>
          <w:rFonts w:ascii="Verdana" w:hAnsi="Verdana"/>
        </w:rPr>
        <w:t>Artículo 2 del Decreto Legislativo 789 de 2020</w:t>
      </w:r>
    </w:p>
    <w:p w14:paraId="6998B44B" w14:textId="5114453F" w:rsidR="00BE3BF9" w:rsidRPr="00C8397A" w:rsidRDefault="00A85957" w:rsidP="00C8397A">
      <w:pPr>
        <w:pStyle w:val="Sinespaciado"/>
        <w:ind w:left="2124" w:firstLine="708"/>
        <w:jc w:val="both"/>
        <w:rPr>
          <w:rFonts w:ascii="Verdana" w:hAnsi="Verdana"/>
        </w:rPr>
      </w:pPr>
      <w:r w:rsidRPr="00C8397A">
        <w:rPr>
          <w:rFonts w:ascii="Verdana" w:hAnsi="Verdana"/>
        </w:rPr>
        <w:t>Concepto Unificado de IVA N° 00001 de 2003</w:t>
      </w:r>
    </w:p>
    <w:p w14:paraId="5ED620AF" w14:textId="77777777" w:rsidR="00C8397A" w:rsidRDefault="00C8397A" w:rsidP="00C8397A">
      <w:pPr>
        <w:pStyle w:val="Sinespaciado"/>
        <w:jc w:val="both"/>
        <w:rPr>
          <w:rFonts w:ascii="Verdana" w:hAnsi="Verdana"/>
        </w:rPr>
      </w:pPr>
    </w:p>
    <w:p w14:paraId="22498B7F" w14:textId="11B16E03" w:rsidR="00BE3BF9" w:rsidRPr="00C8397A" w:rsidRDefault="00A85957" w:rsidP="00C8397A">
      <w:pPr>
        <w:pStyle w:val="Sinespaciado"/>
        <w:jc w:val="both"/>
        <w:rPr>
          <w:rFonts w:ascii="Verdana" w:hAnsi="Verdana"/>
        </w:rPr>
      </w:pPr>
      <w:r w:rsidRPr="00C8397A">
        <w:rPr>
          <w:rFonts w:ascii="Verdana" w:hAnsi="Verdana"/>
        </w:rPr>
        <w:t>Cordial saludo.</w:t>
      </w:r>
    </w:p>
    <w:p w14:paraId="3557C7B5" w14:textId="77777777" w:rsidR="00C8397A" w:rsidRDefault="00C8397A" w:rsidP="00C8397A">
      <w:pPr>
        <w:pStyle w:val="Sinespaciado"/>
        <w:jc w:val="both"/>
        <w:rPr>
          <w:rFonts w:ascii="Verdana" w:hAnsi="Verdana"/>
        </w:rPr>
      </w:pPr>
    </w:p>
    <w:p w14:paraId="7A795057" w14:textId="57B0D13C" w:rsidR="00BE3BF9" w:rsidRPr="00C8397A" w:rsidRDefault="00A85957" w:rsidP="00C8397A">
      <w:pPr>
        <w:pStyle w:val="Sinespaciado"/>
        <w:jc w:val="both"/>
        <w:rPr>
          <w:rFonts w:ascii="Verdana" w:hAnsi="Verdana"/>
        </w:rPr>
      </w:pPr>
      <w:r w:rsidRPr="00C8397A">
        <w:rPr>
          <w:rFonts w:ascii="Verdana" w:hAnsi="Verdana"/>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11CE3D60" w14:textId="77777777" w:rsidR="00C8397A" w:rsidRDefault="00C8397A" w:rsidP="00C8397A">
      <w:pPr>
        <w:pStyle w:val="Sinespaciado"/>
        <w:jc w:val="both"/>
        <w:rPr>
          <w:rFonts w:ascii="Verdana" w:hAnsi="Verdana"/>
        </w:rPr>
      </w:pPr>
    </w:p>
    <w:p w14:paraId="1B0C0534" w14:textId="03954D97" w:rsidR="00BE3BF9" w:rsidRPr="00C8397A" w:rsidRDefault="00A85957" w:rsidP="00C8397A">
      <w:pPr>
        <w:pStyle w:val="Sinespaciado"/>
        <w:jc w:val="both"/>
        <w:rPr>
          <w:rFonts w:ascii="Verdana" w:hAnsi="Verdana"/>
        </w:rPr>
      </w:pPr>
      <w:r w:rsidRPr="00C8397A">
        <w:rPr>
          <w:rFonts w:ascii="Verdana" w:hAnsi="Verdana"/>
        </w:rPr>
        <w:t>Mediante el radicado de la referencia, la peticionaria plantea tener una franquicia con una marca de helados, en desarrollo de la cual, el franquiciante le factura con IVA la venta de los suministros. Agrega que, como franquicia, no debe cobrar IVA al consumidor final y, siendo así, le afecta la imposibilidad de aprovechar impuestos descontables, motivo por el cual solicita la respectiva aclaración, teniendo en cuenta lo consagrado en el Título II del Decreto 789 de 2020. Asimismo, solicita aclaración sobre si debe o no pagar IVA por concepto de regalías.</w:t>
      </w:r>
    </w:p>
    <w:p w14:paraId="3ABBEAE7" w14:textId="77777777" w:rsidR="00C8397A" w:rsidRDefault="00C8397A" w:rsidP="00C8397A">
      <w:pPr>
        <w:pStyle w:val="Sinespaciado"/>
        <w:jc w:val="both"/>
        <w:rPr>
          <w:rFonts w:ascii="Verdana" w:hAnsi="Verdana"/>
        </w:rPr>
      </w:pPr>
    </w:p>
    <w:p w14:paraId="37306F70" w14:textId="30154319" w:rsidR="00BE3BF9" w:rsidRPr="00C8397A" w:rsidRDefault="00A85957" w:rsidP="00C8397A">
      <w:pPr>
        <w:pStyle w:val="Sinespaciado"/>
        <w:jc w:val="both"/>
        <w:rPr>
          <w:rFonts w:ascii="Verdana" w:hAnsi="Verdana"/>
        </w:rPr>
      </w:pPr>
      <w:r w:rsidRPr="00C8397A">
        <w:rPr>
          <w:rFonts w:ascii="Verdana" w:hAnsi="Verdana"/>
        </w:rPr>
        <w:t>Sobre el particular, este Despacho considera lo siguiente:</w:t>
      </w:r>
    </w:p>
    <w:p w14:paraId="742B727E" w14:textId="77777777" w:rsidR="00C8397A" w:rsidRDefault="00C8397A" w:rsidP="00C8397A">
      <w:pPr>
        <w:pStyle w:val="Sinespaciado"/>
        <w:jc w:val="both"/>
        <w:rPr>
          <w:rStyle w:val="Cuerpodeltexto41"/>
          <w:rFonts w:ascii="Verdana" w:hAnsi="Verdana"/>
          <w:sz w:val="24"/>
          <w:szCs w:val="24"/>
        </w:rPr>
      </w:pPr>
    </w:p>
    <w:p w14:paraId="582FE378" w14:textId="089155D7" w:rsidR="00BE3BF9" w:rsidRPr="00C8397A" w:rsidRDefault="00A85957" w:rsidP="00C8397A">
      <w:pPr>
        <w:pStyle w:val="Sinespaciado"/>
        <w:numPr>
          <w:ilvl w:val="0"/>
          <w:numId w:val="5"/>
        </w:numPr>
        <w:jc w:val="both"/>
        <w:rPr>
          <w:rFonts w:ascii="Verdana" w:hAnsi="Verdana"/>
        </w:rPr>
      </w:pPr>
      <w:r w:rsidRPr="00C8397A">
        <w:rPr>
          <w:rStyle w:val="Cuerpodeltexto41"/>
          <w:rFonts w:ascii="Verdana" w:hAnsi="Verdana"/>
          <w:sz w:val="24"/>
          <w:szCs w:val="24"/>
        </w:rPr>
        <w:t>Impuesto sobre las ventas y el servicio de expendio de comidas y bebidas en restaurantes a través de franquicia</w:t>
      </w:r>
    </w:p>
    <w:p w14:paraId="315416D8" w14:textId="77777777" w:rsidR="00C8397A" w:rsidRDefault="00C8397A" w:rsidP="00C8397A">
      <w:pPr>
        <w:pStyle w:val="Sinespaciado"/>
        <w:jc w:val="both"/>
        <w:rPr>
          <w:rFonts w:ascii="Verdana" w:hAnsi="Verdana"/>
        </w:rPr>
      </w:pPr>
    </w:p>
    <w:p w14:paraId="694F169B" w14:textId="77777777" w:rsidR="00C8397A" w:rsidRDefault="00A85957" w:rsidP="00C8397A">
      <w:pPr>
        <w:pStyle w:val="Sinespaciado"/>
        <w:jc w:val="both"/>
        <w:rPr>
          <w:rFonts w:ascii="Verdana" w:hAnsi="Verdana"/>
        </w:rPr>
      </w:pPr>
      <w:r w:rsidRPr="00C8397A">
        <w:rPr>
          <w:rFonts w:ascii="Verdana" w:hAnsi="Verdana"/>
        </w:rPr>
        <w:t xml:space="preserve">De conformidad con el parágrafo del artículo 426 del Estatuto Tributario - </w:t>
      </w:r>
      <w:r w:rsidRPr="00C8397A">
        <w:rPr>
          <w:rFonts w:ascii="Verdana" w:hAnsi="Verdana"/>
        </w:rPr>
        <w:lastRenderedPageBreak/>
        <w:t>disposición modificada por el artículo 2 de la Ley 2010 de 2019 - se encuentran sometidas al impuesto sobre las ventas - IVA y no al impuesto nacional al consumo las actividades de expendio de comidas y bebidas preparadas en heladerías, entre otros lugares, en desarrollo de un contrato de franquicia. Por ende, en el presente caso el franquiciado debe cobrar IVA al consumidor final.</w:t>
      </w:r>
    </w:p>
    <w:p w14:paraId="535015DE" w14:textId="77777777" w:rsidR="00C8397A" w:rsidRDefault="00C8397A" w:rsidP="00C8397A">
      <w:pPr>
        <w:pStyle w:val="Sinespaciado"/>
        <w:jc w:val="both"/>
        <w:rPr>
          <w:rFonts w:ascii="Verdana" w:hAnsi="Verdana"/>
        </w:rPr>
      </w:pPr>
    </w:p>
    <w:p w14:paraId="7E304F37" w14:textId="1A23325F" w:rsidR="00BE3BF9" w:rsidRPr="00C8397A" w:rsidRDefault="00A85957" w:rsidP="00C8397A">
      <w:pPr>
        <w:pStyle w:val="Sinespaciado"/>
        <w:jc w:val="both"/>
        <w:rPr>
          <w:rFonts w:ascii="Verdana" w:hAnsi="Verdana"/>
        </w:rPr>
      </w:pPr>
      <w:r w:rsidRPr="00C8397A">
        <w:rPr>
          <w:rFonts w:ascii="Verdana" w:hAnsi="Verdana"/>
        </w:rPr>
        <w:t>Lo anterior implica, a la par, que el franquiciado, en su calidad de responsable de IVA, cuente con la posibilidad de aprovechar los impuestos descontables, en los términos de los artículos 485 y siguientes del Estatuto Tributario y la normativa reglamentaria.</w:t>
      </w:r>
    </w:p>
    <w:p w14:paraId="068AFD89" w14:textId="77777777" w:rsidR="00C8397A" w:rsidRDefault="00C8397A" w:rsidP="00C8397A">
      <w:pPr>
        <w:pStyle w:val="Sinespaciado"/>
        <w:jc w:val="both"/>
        <w:rPr>
          <w:rFonts w:ascii="Verdana" w:hAnsi="Verdana"/>
        </w:rPr>
      </w:pPr>
    </w:p>
    <w:p w14:paraId="1E5BFE5F" w14:textId="4263B7B2" w:rsidR="00BE3BF9" w:rsidRPr="00C8397A" w:rsidRDefault="00A85957" w:rsidP="00C8397A">
      <w:pPr>
        <w:pStyle w:val="Sinespaciado"/>
        <w:jc w:val="both"/>
        <w:rPr>
          <w:rFonts w:ascii="Verdana" w:hAnsi="Verdana"/>
        </w:rPr>
      </w:pPr>
      <w:r w:rsidRPr="00C8397A">
        <w:rPr>
          <w:rFonts w:ascii="Verdana" w:hAnsi="Verdana"/>
        </w:rPr>
        <w:t>Sin perjuicio de lo anterior, en el marco de la Emergencia Económica, Social y Ecológica declarada mediante el Decreto 637 de 2020, el Gobierno Nacional expidió el Decreto Legislativo 789 de la misma anualidad, cuyo Título II (en concreto, el artículo 2) dispone:</w:t>
      </w:r>
    </w:p>
    <w:p w14:paraId="68C00BF4" w14:textId="77777777" w:rsidR="00C8397A" w:rsidRDefault="00C8397A" w:rsidP="00C8397A">
      <w:pPr>
        <w:pStyle w:val="Sinespaciado"/>
        <w:jc w:val="both"/>
        <w:rPr>
          <w:rFonts w:ascii="Verdana" w:hAnsi="Verdana"/>
        </w:rPr>
      </w:pPr>
    </w:p>
    <w:p w14:paraId="4A3A530F" w14:textId="73434CC8" w:rsidR="00BE3BF9" w:rsidRPr="00C8397A" w:rsidRDefault="00A85957" w:rsidP="00A85957">
      <w:pPr>
        <w:pStyle w:val="Sinespaciado"/>
        <w:ind w:left="708"/>
        <w:jc w:val="both"/>
        <w:rPr>
          <w:rFonts w:ascii="Verdana" w:hAnsi="Verdana"/>
        </w:rPr>
      </w:pPr>
      <w:r>
        <w:rPr>
          <w:rFonts w:ascii="Verdana" w:hAnsi="Verdana"/>
          <w:i/>
          <w:iCs/>
        </w:rPr>
        <w:t>“</w:t>
      </w:r>
      <w:r w:rsidRPr="00A85957">
        <w:rPr>
          <w:rFonts w:ascii="Verdana" w:hAnsi="Verdana"/>
          <w:i/>
          <w:iCs/>
        </w:rPr>
        <w:t xml:space="preserve">Artículo 2. Exclusión transitoria del impuesto sobre las ventas -IVA en contratos de franquicia. Los establecimientos de comercio que lleven a cabo actividades de expendio de comidas y bebidas preparadas en restaurantes, cafeterías, autoservicios, </w:t>
      </w:r>
      <w:r w:rsidRPr="00A85957">
        <w:rPr>
          <w:rStyle w:val="Cuerpodeltexto7Negrita"/>
          <w:rFonts w:ascii="Verdana" w:hAnsi="Verdana"/>
          <w:sz w:val="24"/>
          <w:szCs w:val="24"/>
        </w:rPr>
        <w:t>heladerías</w:t>
      </w:r>
      <w:r w:rsidRPr="00A85957">
        <w:rPr>
          <w:rFonts w:ascii="Verdana" w:hAnsi="Verdana"/>
          <w:i/>
          <w:iCs/>
        </w:rPr>
        <w:t>, fruterías, pastelerías y panaderías, para consumo en el lugar, cuando el Gobierno nacional así lo autorice, para ser llevadas por el comprador o entregadas a domicilio,</w:t>
      </w:r>
      <w:r w:rsidRPr="00C8397A">
        <w:rPr>
          <w:rFonts w:ascii="Verdana" w:hAnsi="Verdana"/>
        </w:rPr>
        <w:t xml:space="preserve"> </w:t>
      </w:r>
      <w:r w:rsidRPr="00C8397A">
        <w:rPr>
          <w:rStyle w:val="Cuerpodeltexto7Negrita"/>
          <w:rFonts w:ascii="Verdana" w:hAnsi="Verdana"/>
          <w:sz w:val="24"/>
          <w:szCs w:val="24"/>
        </w:rPr>
        <w:t>desarrollados a través de contratos de franquicia, se encuentran excluidas del impuesto sobre las ventas -IVA, a partir de la expedición del presente Decreto Legislativo y hasta el treinta y uno (31) de diciembre de 2020</w:t>
      </w:r>
      <w:r w:rsidRPr="00C8397A">
        <w:rPr>
          <w:rFonts w:ascii="Verdana" w:hAnsi="Verdana"/>
        </w:rPr>
        <w:t>.</w:t>
      </w:r>
      <w:r>
        <w:rPr>
          <w:rFonts w:ascii="Verdana" w:hAnsi="Verdana"/>
        </w:rPr>
        <w:t>”</w:t>
      </w:r>
      <w:r w:rsidRPr="00C8397A">
        <w:rPr>
          <w:rStyle w:val="Cuerpodeltexto7Sincursiva"/>
          <w:rFonts w:ascii="Verdana" w:hAnsi="Verdana"/>
          <w:i w:val="0"/>
          <w:iCs w:val="0"/>
          <w:sz w:val="24"/>
          <w:szCs w:val="24"/>
        </w:rPr>
        <w:t xml:space="preserve"> (resaltado fuera de texto)</w:t>
      </w:r>
    </w:p>
    <w:p w14:paraId="39176116" w14:textId="77777777" w:rsidR="00A85957" w:rsidRDefault="00A85957" w:rsidP="00C8397A">
      <w:pPr>
        <w:pStyle w:val="Sinespaciado"/>
        <w:jc w:val="both"/>
        <w:rPr>
          <w:rFonts w:ascii="Verdana" w:hAnsi="Verdana"/>
        </w:rPr>
      </w:pPr>
    </w:p>
    <w:p w14:paraId="3A914A67" w14:textId="77E5771C" w:rsidR="00BE3BF9" w:rsidRPr="00C8397A" w:rsidRDefault="00A85957" w:rsidP="00C8397A">
      <w:pPr>
        <w:pStyle w:val="Sinespaciado"/>
        <w:jc w:val="both"/>
        <w:rPr>
          <w:rFonts w:ascii="Verdana" w:hAnsi="Verdana"/>
        </w:rPr>
      </w:pPr>
      <w:r w:rsidRPr="00C8397A">
        <w:rPr>
          <w:rFonts w:ascii="Verdana" w:hAnsi="Verdana"/>
        </w:rPr>
        <w:t xml:space="preserve">Así las cosas, el artículo 2 previamente transcrito excluye temporalmente las actividades allí mencionadas, lo que implica que, </w:t>
      </w:r>
      <w:r w:rsidRPr="00C8397A">
        <w:rPr>
          <w:rStyle w:val="Cuerpodeltexto21"/>
          <w:rFonts w:ascii="Verdana" w:hAnsi="Verdana"/>
          <w:sz w:val="24"/>
          <w:szCs w:val="24"/>
        </w:rPr>
        <w:t>sólo en estos casos</w:t>
      </w:r>
      <w:r w:rsidRPr="00C8397A">
        <w:rPr>
          <w:rFonts w:ascii="Verdana" w:hAnsi="Verdana"/>
        </w:rPr>
        <w:t>, el franquiciado no deba facturar IVA al consumidor final durante el periodo comprendido entre la expedición del Decreto Legislativo 789 de 2020 y el 31 de diciembre de 2020.</w:t>
      </w:r>
    </w:p>
    <w:p w14:paraId="4A80570D" w14:textId="77777777" w:rsidR="00A85957" w:rsidRDefault="00A85957" w:rsidP="00C8397A">
      <w:pPr>
        <w:pStyle w:val="Sinespaciado"/>
        <w:jc w:val="both"/>
        <w:rPr>
          <w:rFonts w:ascii="Verdana" w:hAnsi="Verdana"/>
        </w:rPr>
      </w:pPr>
    </w:p>
    <w:p w14:paraId="72E03718" w14:textId="50F462D5" w:rsidR="00BE3BF9" w:rsidRPr="00C8397A" w:rsidRDefault="00A85957" w:rsidP="00C8397A">
      <w:pPr>
        <w:pStyle w:val="Sinespaciado"/>
        <w:jc w:val="both"/>
        <w:rPr>
          <w:rFonts w:ascii="Verdana" w:hAnsi="Verdana"/>
        </w:rPr>
      </w:pPr>
      <w:r w:rsidRPr="00C8397A">
        <w:rPr>
          <w:rFonts w:ascii="Verdana" w:hAnsi="Verdana"/>
        </w:rPr>
        <w:t xml:space="preserve">De resaltar que dicha norma no se refiere al tratamiento del IVA en la venta de bienes y/o prestación de servicios realizados por el franquiciante al franquiciado; </w:t>
      </w:r>
      <w:r w:rsidRPr="00C8397A">
        <w:rPr>
          <w:rStyle w:val="Cuerpodeltexto21"/>
          <w:rFonts w:ascii="Verdana" w:hAnsi="Verdana"/>
          <w:sz w:val="24"/>
          <w:szCs w:val="24"/>
        </w:rPr>
        <w:t>en consecuencia, éstas continuarán gravadas con el mencionado impuesto</w:t>
      </w:r>
      <w:r w:rsidRPr="00C8397A">
        <w:rPr>
          <w:rFonts w:ascii="Verdana" w:hAnsi="Verdana"/>
        </w:rPr>
        <w:t>, salvo que por disposición expresa prevista en el Estatuto Tributario sean consideradas excluidas, exentas o sometidas a una tarifa preferencial.</w:t>
      </w:r>
    </w:p>
    <w:p w14:paraId="49B891C3" w14:textId="77777777" w:rsidR="00A85957" w:rsidRDefault="00A85957" w:rsidP="00C8397A">
      <w:pPr>
        <w:pStyle w:val="Sinespaciado"/>
        <w:jc w:val="both"/>
        <w:rPr>
          <w:rFonts w:ascii="Verdana" w:hAnsi="Verdana"/>
        </w:rPr>
      </w:pPr>
    </w:p>
    <w:p w14:paraId="1EAE8038" w14:textId="3898671D" w:rsidR="00BE3BF9" w:rsidRPr="00C8397A" w:rsidRDefault="00A85957" w:rsidP="00C8397A">
      <w:pPr>
        <w:pStyle w:val="Sinespaciado"/>
        <w:jc w:val="both"/>
        <w:rPr>
          <w:rFonts w:ascii="Verdana" w:hAnsi="Verdana"/>
        </w:rPr>
      </w:pPr>
      <w:r w:rsidRPr="00C8397A">
        <w:rPr>
          <w:rFonts w:ascii="Verdana" w:hAnsi="Verdana"/>
        </w:rPr>
        <w:lastRenderedPageBreak/>
        <w:t>Ahora bien, tal y como se desprende de los artículos 485 y 488 del Estatuto Tributario, el IVA descontable corresponde al IVA facturado al responsable de este impuesto en la adquisición de bienes o servicios que constituyan costo o gasto de la empresa para efectos del impuesto sobre la renta y que sean destinados a la producción o comercialización de bienes o servicios gravados con IVA.</w:t>
      </w:r>
    </w:p>
    <w:p w14:paraId="09F5E033" w14:textId="77777777" w:rsidR="00A85957" w:rsidRDefault="00A85957" w:rsidP="00C8397A">
      <w:pPr>
        <w:pStyle w:val="Sinespaciado"/>
        <w:jc w:val="both"/>
        <w:rPr>
          <w:rFonts w:ascii="Verdana" w:hAnsi="Verdana"/>
        </w:rPr>
      </w:pPr>
    </w:p>
    <w:p w14:paraId="2779986C" w14:textId="48BCB198" w:rsidR="00BE3BF9" w:rsidRPr="00C8397A" w:rsidRDefault="00A85957" w:rsidP="00C8397A">
      <w:pPr>
        <w:pStyle w:val="Sinespaciado"/>
        <w:jc w:val="both"/>
        <w:rPr>
          <w:rFonts w:ascii="Verdana" w:hAnsi="Verdana"/>
        </w:rPr>
      </w:pPr>
      <w:r w:rsidRPr="00C8397A">
        <w:rPr>
          <w:rFonts w:ascii="Verdana" w:hAnsi="Verdana"/>
        </w:rPr>
        <w:t>Por lo anterior, dado que temporalmente se encuentran excluidas de IVA las actividades de expendio de comidas y bebidas preparadas en restaurantes, cafeterías, autoservicios, heladerías, fruterías, pastelerías y panaderías - para consumo en el lugar, cuando el Gobierno nacional así lo autorice, para ser llevadas por el comprador o entregadas a domicilio - desarrolladas a través de contratos de franquicia, en atención al artículo 2 del Decreto Legislativo 789 de 2020, es de concluir que:</w:t>
      </w:r>
    </w:p>
    <w:p w14:paraId="6FFC03E0" w14:textId="77777777" w:rsidR="00A85957" w:rsidRDefault="00A85957" w:rsidP="00C8397A">
      <w:pPr>
        <w:pStyle w:val="Sinespaciado"/>
        <w:jc w:val="both"/>
        <w:rPr>
          <w:rFonts w:ascii="Verdana" w:hAnsi="Verdana"/>
        </w:rPr>
      </w:pPr>
    </w:p>
    <w:p w14:paraId="3B8A14E9" w14:textId="77777777" w:rsidR="00A85957" w:rsidRDefault="00A85957" w:rsidP="00C8397A">
      <w:pPr>
        <w:pStyle w:val="Sinespaciado"/>
        <w:numPr>
          <w:ilvl w:val="0"/>
          <w:numId w:val="6"/>
        </w:numPr>
        <w:jc w:val="both"/>
        <w:rPr>
          <w:rFonts w:ascii="Verdana" w:hAnsi="Verdana"/>
        </w:rPr>
      </w:pPr>
      <w:r w:rsidRPr="00C8397A">
        <w:rPr>
          <w:rFonts w:ascii="Verdana" w:hAnsi="Verdana"/>
        </w:rPr>
        <w:t xml:space="preserve">Las actividades de que trata el artículo 2 </w:t>
      </w:r>
      <w:r w:rsidRPr="00C8397A">
        <w:rPr>
          <w:rStyle w:val="Cuerpodeltexto2Cursiva"/>
          <w:rFonts w:ascii="Verdana" w:hAnsi="Verdana"/>
          <w:sz w:val="24"/>
          <w:szCs w:val="24"/>
        </w:rPr>
        <w:t>ibídem</w:t>
      </w:r>
      <w:r w:rsidRPr="00C8397A">
        <w:rPr>
          <w:rFonts w:ascii="Verdana" w:hAnsi="Verdana"/>
        </w:rPr>
        <w:t xml:space="preserve"> no se encuentran gravadas con IVA temporalmente y, por lo tanto, el franquiciado no se encuentra sometido a este impuesto en relación exclusivamente con las mismas.</w:t>
      </w:r>
    </w:p>
    <w:p w14:paraId="2EC22E97" w14:textId="77777777" w:rsidR="00A85957" w:rsidRDefault="00A85957" w:rsidP="00A85957">
      <w:pPr>
        <w:pStyle w:val="Sinespaciado"/>
        <w:ind w:left="720"/>
        <w:jc w:val="both"/>
        <w:rPr>
          <w:rFonts w:ascii="Verdana" w:hAnsi="Verdana"/>
        </w:rPr>
      </w:pPr>
    </w:p>
    <w:p w14:paraId="6B4419E1" w14:textId="3B51088F" w:rsidR="00BE3BF9" w:rsidRPr="00A85957" w:rsidRDefault="00A85957" w:rsidP="00C8397A">
      <w:pPr>
        <w:pStyle w:val="Sinespaciado"/>
        <w:numPr>
          <w:ilvl w:val="0"/>
          <w:numId w:val="6"/>
        </w:numPr>
        <w:jc w:val="both"/>
        <w:rPr>
          <w:rFonts w:ascii="Verdana" w:hAnsi="Verdana"/>
        </w:rPr>
      </w:pPr>
      <w:r w:rsidRPr="00A85957">
        <w:rPr>
          <w:rFonts w:ascii="Verdana" w:hAnsi="Verdana"/>
        </w:rPr>
        <w:t xml:space="preserve">El IVA pagado por el franquiciado en la producción o comercialización de las actividades de que trata el artículo 2 </w:t>
      </w:r>
      <w:r w:rsidRPr="00A85957">
        <w:rPr>
          <w:rStyle w:val="Cuerpodeltexto2Cursiva"/>
          <w:rFonts w:ascii="Verdana" w:hAnsi="Verdana"/>
          <w:sz w:val="24"/>
          <w:szCs w:val="24"/>
        </w:rPr>
        <w:t>ibídem</w:t>
      </w:r>
      <w:r w:rsidRPr="00A85957">
        <w:rPr>
          <w:rFonts w:ascii="Verdana" w:hAnsi="Verdana"/>
        </w:rPr>
        <w:t xml:space="preserve"> no recibe el tratamiento de impuesto descontable, constituyendo un mayor valor del costo o gasto.</w:t>
      </w:r>
    </w:p>
    <w:p w14:paraId="1EE3963A" w14:textId="77777777" w:rsidR="00A85957" w:rsidRDefault="00A85957" w:rsidP="00A85957">
      <w:pPr>
        <w:pStyle w:val="Sinespaciado"/>
        <w:ind w:left="708"/>
        <w:jc w:val="both"/>
        <w:rPr>
          <w:rFonts w:ascii="Verdana" w:hAnsi="Verdana"/>
        </w:rPr>
      </w:pPr>
    </w:p>
    <w:p w14:paraId="2EA1C466" w14:textId="6A822C1F" w:rsidR="00BE3BF9" w:rsidRPr="00C8397A" w:rsidRDefault="00A85957" w:rsidP="00A85957">
      <w:pPr>
        <w:pStyle w:val="Sinespaciado"/>
        <w:ind w:left="708"/>
        <w:jc w:val="both"/>
        <w:rPr>
          <w:rFonts w:ascii="Verdana" w:hAnsi="Verdana"/>
        </w:rPr>
      </w:pPr>
      <w:r w:rsidRPr="00C8397A">
        <w:rPr>
          <w:rFonts w:ascii="Verdana" w:hAnsi="Verdana"/>
        </w:rPr>
        <w:t>Lo anterior sin perjuicio de la aplicación del artículo 490 del Estatuto Tributario, cuando haya lugar a ello.</w:t>
      </w:r>
    </w:p>
    <w:p w14:paraId="524A22B5" w14:textId="77777777" w:rsidR="00A85957" w:rsidRDefault="00A85957" w:rsidP="00C8397A">
      <w:pPr>
        <w:pStyle w:val="Sinespaciado"/>
        <w:jc w:val="both"/>
        <w:rPr>
          <w:rStyle w:val="Cuerpodeltexto41"/>
          <w:rFonts w:ascii="Verdana" w:hAnsi="Verdana"/>
          <w:sz w:val="24"/>
          <w:szCs w:val="24"/>
        </w:rPr>
      </w:pPr>
    </w:p>
    <w:p w14:paraId="0EF85A0B" w14:textId="3BE8F133" w:rsidR="00BE3BF9" w:rsidRPr="00C8397A" w:rsidRDefault="00A85957" w:rsidP="00A85957">
      <w:pPr>
        <w:pStyle w:val="Sinespaciado"/>
        <w:numPr>
          <w:ilvl w:val="0"/>
          <w:numId w:val="5"/>
        </w:numPr>
        <w:jc w:val="both"/>
        <w:rPr>
          <w:rFonts w:ascii="Verdana" w:hAnsi="Verdana"/>
        </w:rPr>
      </w:pPr>
      <w:r w:rsidRPr="00C8397A">
        <w:rPr>
          <w:rStyle w:val="Cuerpodeltexto41"/>
          <w:rFonts w:ascii="Verdana" w:hAnsi="Verdana"/>
          <w:sz w:val="24"/>
          <w:szCs w:val="24"/>
        </w:rPr>
        <w:t>La regalía en el contrato de franquicia y el impuesto sobre las ventas</w:t>
      </w:r>
    </w:p>
    <w:p w14:paraId="4F9890C5" w14:textId="77777777" w:rsidR="00A85957" w:rsidRDefault="00A85957" w:rsidP="00C8397A">
      <w:pPr>
        <w:pStyle w:val="Sinespaciado"/>
        <w:jc w:val="both"/>
        <w:rPr>
          <w:rFonts w:ascii="Verdana" w:hAnsi="Verdana"/>
        </w:rPr>
      </w:pPr>
    </w:p>
    <w:p w14:paraId="68A31B6E" w14:textId="727A0ED9" w:rsidR="00BE3BF9" w:rsidRPr="00C8397A" w:rsidRDefault="00A85957" w:rsidP="00C8397A">
      <w:pPr>
        <w:pStyle w:val="Sinespaciado"/>
        <w:jc w:val="both"/>
        <w:rPr>
          <w:rFonts w:ascii="Verdana" w:hAnsi="Verdana"/>
        </w:rPr>
      </w:pPr>
      <w:r w:rsidRPr="00C8397A">
        <w:rPr>
          <w:rFonts w:ascii="Verdana" w:hAnsi="Verdana"/>
        </w:rPr>
        <w:t>Sea de aclarar que, en el contexto del contrato de franquicia, la regalía constituye la remuneración que debe el franquiciado al franquiciante.</w:t>
      </w:r>
    </w:p>
    <w:p w14:paraId="542A00A9" w14:textId="77777777" w:rsidR="00A85957" w:rsidRDefault="00A85957" w:rsidP="00C8397A">
      <w:pPr>
        <w:pStyle w:val="Sinespaciado"/>
        <w:jc w:val="both"/>
        <w:rPr>
          <w:rFonts w:ascii="Verdana" w:hAnsi="Verdana"/>
        </w:rPr>
      </w:pPr>
    </w:p>
    <w:p w14:paraId="54603715" w14:textId="2AF6ABCF" w:rsidR="00BE3BF9" w:rsidRPr="00C8397A" w:rsidRDefault="00A85957" w:rsidP="00C8397A">
      <w:pPr>
        <w:pStyle w:val="Sinespaciado"/>
        <w:jc w:val="both"/>
        <w:rPr>
          <w:rFonts w:ascii="Verdana" w:hAnsi="Verdana"/>
        </w:rPr>
      </w:pPr>
      <w:r w:rsidRPr="00C8397A">
        <w:rPr>
          <w:rFonts w:ascii="Verdana" w:hAnsi="Verdana"/>
        </w:rPr>
        <w:t>Teniendo en cuenta lo anterior, del Concepto Unificado de IVA N° 00001 de 2003 se destaca:</w:t>
      </w:r>
    </w:p>
    <w:p w14:paraId="3A70DEE6" w14:textId="77777777" w:rsidR="00A85957" w:rsidRDefault="00A85957" w:rsidP="00C8397A">
      <w:pPr>
        <w:pStyle w:val="Sinespaciado"/>
        <w:jc w:val="both"/>
        <w:rPr>
          <w:rFonts w:ascii="Verdana" w:hAnsi="Verdana"/>
        </w:rPr>
      </w:pPr>
    </w:p>
    <w:p w14:paraId="0A2DFE98" w14:textId="495D3CA1" w:rsidR="00BE3BF9" w:rsidRPr="00A85957" w:rsidRDefault="00A85957" w:rsidP="00A85957">
      <w:pPr>
        <w:pStyle w:val="Sinespaciado"/>
        <w:ind w:left="708"/>
        <w:jc w:val="both"/>
        <w:rPr>
          <w:rFonts w:ascii="Verdana" w:hAnsi="Verdana"/>
          <w:i/>
          <w:iCs/>
        </w:rPr>
      </w:pPr>
      <w:r>
        <w:rPr>
          <w:rFonts w:ascii="Verdana" w:hAnsi="Verdana"/>
          <w:i/>
          <w:iCs/>
        </w:rPr>
        <w:t>“</w:t>
      </w:r>
      <w:r w:rsidRPr="00A85957">
        <w:rPr>
          <w:rFonts w:ascii="Verdana" w:hAnsi="Verdana"/>
          <w:i/>
          <w:iCs/>
        </w:rPr>
        <w:t>2.4. FRANQUICIA</w:t>
      </w:r>
    </w:p>
    <w:p w14:paraId="26F963A4" w14:textId="77777777" w:rsidR="00A85957" w:rsidRDefault="00A85957" w:rsidP="00A85957">
      <w:pPr>
        <w:pStyle w:val="Sinespaciado"/>
        <w:ind w:left="708"/>
        <w:jc w:val="both"/>
        <w:rPr>
          <w:rFonts w:ascii="Verdana" w:hAnsi="Verdana"/>
          <w:i/>
          <w:iCs/>
        </w:rPr>
      </w:pPr>
    </w:p>
    <w:p w14:paraId="218CB828" w14:textId="18EBBE8A" w:rsidR="00BE3BF9" w:rsidRPr="00A85957" w:rsidRDefault="00A85957" w:rsidP="00A85957">
      <w:pPr>
        <w:pStyle w:val="Sinespaciado"/>
        <w:ind w:left="708"/>
        <w:jc w:val="both"/>
        <w:rPr>
          <w:rFonts w:ascii="Verdana" w:hAnsi="Verdana"/>
          <w:i/>
          <w:iCs/>
        </w:rPr>
      </w:pPr>
      <w:r w:rsidRPr="00A85957">
        <w:rPr>
          <w:rFonts w:ascii="Verdana" w:hAnsi="Verdana"/>
          <w:i/>
          <w:iCs/>
        </w:rPr>
        <w:t xml:space="preserve">El contrato de franquicia es un contrato innominado en virtud del cual una de las partes denominada el franquiciante concede a otra llamada el franquiciado, a cambio del pago de una remuneración (regalías), el </w:t>
      </w:r>
      <w:r w:rsidRPr="00A85957">
        <w:rPr>
          <w:rFonts w:ascii="Verdana" w:hAnsi="Verdana"/>
          <w:i/>
          <w:iCs/>
        </w:rPr>
        <w:lastRenderedPageBreak/>
        <w:t xml:space="preserve">uso de su propia formula de distribución comercial que </w:t>
      </w:r>
      <w:r w:rsidRPr="00A85957">
        <w:rPr>
          <w:rStyle w:val="Cuerpodeltexto7Negrita"/>
          <w:rFonts w:ascii="Verdana" w:hAnsi="Verdana"/>
          <w:sz w:val="24"/>
          <w:szCs w:val="24"/>
        </w:rPr>
        <w:t>comprende en general la cesión de una denominación o marca, la transferencia de un Know How, la prestación de asistencia y en ocasiones el suministro de ciertos bienes o equipos</w:t>
      </w:r>
      <w:r w:rsidRPr="00A85957">
        <w:rPr>
          <w:rFonts w:ascii="Verdana" w:hAnsi="Verdana"/>
          <w:i/>
          <w:iCs/>
        </w:rPr>
        <w:t>.</w:t>
      </w:r>
    </w:p>
    <w:p w14:paraId="15F52628" w14:textId="77777777" w:rsidR="00A85957" w:rsidRDefault="00A85957" w:rsidP="00A85957">
      <w:pPr>
        <w:pStyle w:val="Sinespaciado"/>
        <w:ind w:left="708"/>
        <w:jc w:val="both"/>
        <w:rPr>
          <w:rFonts w:ascii="Verdana" w:hAnsi="Verdana"/>
          <w:i/>
          <w:iCs/>
        </w:rPr>
      </w:pPr>
    </w:p>
    <w:p w14:paraId="2E818D15" w14:textId="48704433" w:rsidR="00BE3BF9" w:rsidRPr="00A85957" w:rsidRDefault="00A85957" w:rsidP="00A85957">
      <w:pPr>
        <w:pStyle w:val="Sinespaciado"/>
        <w:ind w:left="708"/>
        <w:jc w:val="both"/>
        <w:rPr>
          <w:rFonts w:ascii="Verdana" w:hAnsi="Verdana"/>
          <w:i/>
          <w:iCs/>
        </w:rPr>
      </w:pPr>
      <w:r w:rsidRPr="00A85957">
        <w:rPr>
          <w:rFonts w:ascii="Verdana" w:hAnsi="Verdana"/>
          <w:i/>
          <w:iCs/>
        </w:rPr>
        <w:t>(...)</w:t>
      </w:r>
    </w:p>
    <w:p w14:paraId="4CD51280" w14:textId="77777777" w:rsidR="00A85957" w:rsidRDefault="00A85957" w:rsidP="00A85957">
      <w:pPr>
        <w:pStyle w:val="Sinespaciado"/>
        <w:ind w:left="708"/>
        <w:jc w:val="both"/>
        <w:rPr>
          <w:rFonts w:ascii="Verdana" w:hAnsi="Verdana"/>
          <w:i/>
          <w:iCs/>
        </w:rPr>
      </w:pPr>
    </w:p>
    <w:p w14:paraId="3B0E1B19" w14:textId="78C586E6" w:rsidR="00BE3BF9" w:rsidRPr="00A85957" w:rsidRDefault="00A85957" w:rsidP="00A85957">
      <w:pPr>
        <w:pStyle w:val="Sinespaciado"/>
        <w:ind w:left="708"/>
        <w:jc w:val="both"/>
        <w:rPr>
          <w:rFonts w:ascii="Verdana" w:hAnsi="Verdana"/>
          <w:i/>
          <w:iCs/>
        </w:rPr>
      </w:pPr>
      <w:r w:rsidRPr="00A85957">
        <w:rPr>
          <w:rFonts w:ascii="Verdana" w:hAnsi="Verdana"/>
          <w:i/>
          <w:iCs/>
        </w:rPr>
        <w:t xml:space="preserve">Este contrato como lo señala la doctrina, es un contrato complejo cuyo objeto </w:t>
      </w:r>
      <w:r w:rsidRPr="00A85957">
        <w:rPr>
          <w:rStyle w:val="Cuerpodeltexto7Negrita"/>
          <w:rFonts w:ascii="Verdana" w:hAnsi="Verdana"/>
          <w:sz w:val="24"/>
          <w:szCs w:val="24"/>
        </w:rPr>
        <w:t>involucra diversas prestaciones que pueden estipularse en varios contratos o en un contrato unitario</w:t>
      </w:r>
      <w:r w:rsidRPr="00A85957">
        <w:rPr>
          <w:rFonts w:ascii="Verdana" w:hAnsi="Verdana"/>
          <w:i/>
          <w:iCs/>
        </w:rPr>
        <w:t>, entre las que se destacan las siguientes:</w:t>
      </w:r>
    </w:p>
    <w:p w14:paraId="4722DE09" w14:textId="77777777" w:rsidR="00A85957" w:rsidRDefault="00A85957" w:rsidP="00A85957">
      <w:pPr>
        <w:pStyle w:val="Sinespaciado"/>
        <w:ind w:left="708"/>
        <w:jc w:val="both"/>
        <w:rPr>
          <w:rFonts w:ascii="Verdana" w:hAnsi="Verdana"/>
          <w:i/>
          <w:iCs/>
        </w:rPr>
      </w:pPr>
    </w:p>
    <w:p w14:paraId="273257F7" w14:textId="39422BC8" w:rsidR="00BE3BF9" w:rsidRPr="00A85957" w:rsidRDefault="00A85957" w:rsidP="00A85957">
      <w:pPr>
        <w:pStyle w:val="Sinespaciado"/>
        <w:numPr>
          <w:ilvl w:val="2"/>
          <w:numId w:val="5"/>
        </w:numPr>
        <w:jc w:val="both"/>
        <w:rPr>
          <w:rFonts w:ascii="Verdana" w:hAnsi="Verdana"/>
          <w:i/>
          <w:iCs/>
        </w:rPr>
      </w:pPr>
      <w:r w:rsidRPr="00A85957">
        <w:rPr>
          <w:rFonts w:ascii="Verdana" w:hAnsi="Verdana"/>
          <w:i/>
          <w:iCs/>
        </w:rPr>
        <w:t>CESIÓN DE UNA MARCA:</w:t>
      </w:r>
    </w:p>
    <w:p w14:paraId="3418FE95" w14:textId="77777777" w:rsidR="00A85957" w:rsidRDefault="00A85957" w:rsidP="00A85957">
      <w:pPr>
        <w:pStyle w:val="Sinespaciado"/>
        <w:ind w:left="708"/>
        <w:jc w:val="both"/>
        <w:rPr>
          <w:rFonts w:ascii="Verdana" w:hAnsi="Verdana"/>
          <w:i/>
          <w:iCs/>
        </w:rPr>
      </w:pPr>
    </w:p>
    <w:p w14:paraId="516555F4" w14:textId="3FEE4D51" w:rsidR="00BE3BF9" w:rsidRPr="00A85957" w:rsidRDefault="00A85957" w:rsidP="00A85957">
      <w:pPr>
        <w:pStyle w:val="Sinespaciado"/>
        <w:ind w:left="708"/>
        <w:jc w:val="both"/>
        <w:rPr>
          <w:rFonts w:ascii="Verdana" w:hAnsi="Verdana"/>
          <w:i/>
          <w:iCs/>
        </w:rPr>
      </w:pPr>
      <w:r w:rsidRPr="00A85957">
        <w:rPr>
          <w:rFonts w:ascii="Verdana" w:hAnsi="Verdana"/>
          <w:i/>
          <w:iCs/>
        </w:rPr>
        <w:t>El contrato de franquicia involucra necesariamente la transferencia o cesión del uso de una marca de bienes o servicios por parte del franquiciante en favor del franquiciado (licencia de uso) (...)</w:t>
      </w:r>
    </w:p>
    <w:p w14:paraId="0C820622" w14:textId="77777777" w:rsidR="00A85957" w:rsidRDefault="00A85957" w:rsidP="00A85957">
      <w:pPr>
        <w:pStyle w:val="Sinespaciado"/>
        <w:ind w:left="708"/>
        <w:jc w:val="both"/>
        <w:rPr>
          <w:rFonts w:ascii="Verdana" w:hAnsi="Verdana"/>
          <w:i/>
          <w:iCs/>
        </w:rPr>
      </w:pPr>
    </w:p>
    <w:p w14:paraId="379F4676" w14:textId="3DEB7205" w:rsidR="00BE3BF9" w:rsidRPr="00A85957" w:rsidRDefault="00A85957" w:rsidP="00A85957">
      <w:pPr>
        <w:pStyle w:val="Sinespaciado"/>
        <w:ind w:left="708"/>
        <w:jc w:val="both"/>
        <w:rPr>
          <w:rFonts w:ascii="Verdana" w:hAnsi="Verdana"/>
          <w:i/>
          <w:iCs/>
        </w:rPr>
      </w:pPr>
      <w:r w:rsidRPr="00A85957">
        <w:rPr>
          <w:rFonts w:ascii="Verdana" w:hAnsi="Verdana"/>
          <w:i/>
          <w:iCs/>
        </w:rPr>
        <w:t>(...) la cesión de la marca que hace el franquiciante a través de una licencia contractual puede consistir en la transferencia (Transferir la titularidad del derecho de dominio) del intangible en venta o en usufructo, o su entrega en arrendamiento (prestación de hacer) al franquiciado (...)</w:t>
      </w:r>
    </w:p>
    <w:p w14:paraId="5E081A2C" w14:textId="77777777" w:rsidR="00A85957" w:rsidRDefault="00A85957" w:rsidP="00A85957">
      <w:pPr>
        <w:pStyle w:val="Sinespaciado"/>
        <w:ind w:left="708"/>
        <w:jc w:val="both"/>
        <w:rPr>
          <w:rFonts w:ascii="Verdana" w:hAnsi="Verdana"/>
          <w:i/>
          <w:iCs/>
        </w:rPr>
      </w:pPr>
    </w:p>
    <w:p w14:paraId="745EE804" w14:textId="5FB99B9A" w:rsidR="00BE3BF9" w:rsidRPr="00A85957" w:rsidRDefault="00A85957" w:rsidP="00A85957">
      <w:pPr>
        <w:pStyle w:val="Sinespaciado"/>
        <w:numPr>
          <w:ilvl w:val="2"/>
          <w:numId w:val="5"/>
        </w:numPr>
        <w:jc w:val="both"/>
        <w:rPr>
          <w:rFonts w:ascii="Verdana" w:hAnsi="Verdana"/>
          <w:i/>
          <w:iCs/>
        </w:rPr>
      </w:pPr>
      <w:r w:rsidRPr="00A85957">
        <w:rPr>
          <w:rFonts w:ascii="Verdana" w:hAnsi="Verdana"/>
          <w:i/>
          <w:iCs/>
        </w:rPr>
        <w:t>CESIÓN DE UN KNOW HOW:</w:t>
      </w:r>
    </w:p>
    <w:p w14:paraId="25F689FF" w14:textId="77777777" w:rsidR="00A85957" w:rsidRDefault="00A85957" w:rsidP="00A85957">
      <w:pPr>
        <w:pStyle w:val="Sinespaciado"/>
        <w:ind w:left="708"/>
        <w:jc w:val="both"/>
        <w:rPr>
          <w:rFonts w:ascii="Verdana" w:hAnsi="Verdana"/>
          <w:i/>
          <w:iCs/>
        </w:rPr>
      </w:pPr>
    </w:p>
    <w:p w14:paraId="77F7E8C5" w14:textId="6E935A27" w:rsidR="00BE3BF9" w:rsidRPr="00A85957" w:rsidRDefault="00A85957" w:rsidP="00A85957">
      <w:pPr>
        <w:pStyle w:val="Sinespaciado"/>
        <w:ind w:left="708"/>
        <w:jc w:val="both"/>
        <w:rPr>
          <w:rFonts w:ascii="Verdana" w:hAnsi="Verdana"/>
          <w:i/>
          <w:iCs/>
        </w:rPr>
      </w:pPr>
      <w:r w:rsidRPr="00A85957">
        <w:rPr>
          <w:rFonts w:ascii="Verdana" w:hAnsi="Verdana"/>
          <w:i/>
          <w:iCs/>
        </w:rPr>
        <w:t>(...) la franquicia también supone necesariamente la transmisión de un know how por parte del franquiciante en favor del franquiciado, dicha cesión puede consistir en la transferencia del intangible (prestación de dar) en usufructo o su entrega en arrendamiento al franquiciado</w:t>
      </w:r>
    </w:p>
    <w:p w14:paraId="7CA9CF90" w14:textId="2292F553" w:rsidR="00BE3BF9" w:rsidRPr="00A85957" w:rsidRDefault="00A85957" w:rsidP="00A85957">
      <w:pPr>
        <w:pStyle w:val="Sinespaciado"/>
        <w:ind w:left="708"/>
        <w:jc w:val="both"/>
        <w:rPr>
          <w:rFonts w:ascii="Verdana" w:hAnsi="Verdana"/>
          <w:i/>
          <w:iCs/>
        </w:rPr>
      </w:pPr>
      <w:r w:rsidRPr="00A85957">
        <w:rPr>
          <w:rFonts w:ascii="Verdana" w:hAnsi="Verdana"/>
          <w:i/>
          <w:iCs/>
        </w:rPr>
        <w:t>(</w:t>
      </w:r>
      <w:r>
        <w:rPr>
          <w:rFonts w:ascii="Verdana" w:hAnsi="Verdana"/>
          <w:i/>
          <w:iCs/>
        </w:rPr>
        <w:t>…</w:t>
      </w:r>
      <w:r w:rsidRPr="00A85957">
        <w:rPr>
          <w:rFonts w:ascii="Verdana" w:hAnsi="Verdana"/>
          <w:i/>
          <w:iCs/>
        </w:rPr>
        <w:t>).</w:t>
      </w:r>
    </w:p>
    <w:p w14:paraId="1E6B5E46" w14:textId="77777777" w:rsidR="00A85957" w:rsidRDefault="00A85957" w:rsidP="00A85957">
      <w:pPr>
        <w:pStyle w:val="Sinespaciado"/>
        <w:ind w:left="708"/>
        <w:jc w:val="both"/>
        <w:rPr>
          <w:rFonts w:ascii="Verdana" w:hAnsi="Verdana"/>
          <w:i/>
          <w:iCs/>
        </w:rPr>
      </w:pPr>
    </w:p>
    <w:p w14:paraId="198CCD36" w14:textId="6B7C3536" w:rsidR="00BE3BF9" w:rsidRPr="00A85957" w:rsidRDefault="00A85957" w:rsidP="00A85957">
      <w:pPr>
        <w:pStyle w:val="Sinespaciado"/>
        <w:numPr>
          <w:ilvl w:val="2"/>
          <w:numId w:val="5"/>
        </w:numPr>
        <w:jc w:val="both"/>
        <w:rPr>
          <w:rFonts w:ascii="Verdana" w:hAnsi="Verdana"/>
          <w:i/>
          <w:iCs/>
        </w:rPr>
      </w:pPr>
      <w:r w:rsidRPr="00A85957">
        <w:rPr>
          <w:rFonts w:ascii="Verdana" w:hAnsi="Verdana"/>
          <w:i/>
          <w:iCs/>
        </w:rPr>
        <w:t>SERVICIOS DE ASISTENCIA</w:t>
      </w:r>
    </w:p>
    <w:p w14:paraId="32096E86" w14:textId="77777777" w:rsidR="00A85957" w:rsidRDefault="00A85957" w:rsidP="00A85957">
      <w:pPr>
        <w:pStyle w:val="Sinespaciado"/>
        <w:ind w:left="708"/>
        <w:jc w:val="both"/>
        <w:rPr>
          <w:rFonts w:ascii="Verdana" w:hAnsi="Verdana"/>
          <w:i/>
          <w:iCs/>
        </w:rPr>
      </w:pPr>
    </w:p>
    <w:p w14:paraId="49A95ADF" w14:textId="17123F0C" w:rsidR="00BE3BF9" w:rsidRPr="00A85957" w:rsidRDefault="00A85957" w:rsidP="00A85957">
      <w:pPr>
        <w:pStyle w:val="Sinespaciado"/>
        <w:ind w:left="708"/>
        <w:jc w:val="both"/>
        <w:rPr>
          <w:rFonts w:ascii="Verdana" w:hAnsi="Verdana"/>
          <w:i/>
          <w:iCs/>
        </w:rPr>
      </w:pPr>
      <w:r w:rsidRPr="00A85957">
        <w:rPr>
          <w:rFonts w:ascii="Verdana" w:hAnsi="Verdana"/>
          <w:i/>
          <w:iCs/>
        </w:rPr>
        <w:t>Estos servicios pueden ser prestados por parte del franquiciante al franquiciado con el fin de transmitir o aplicar directamente una tecnología necesaria para el adecuado desarrollo y ejecución de la franquicia.</w:t>
      </w:r>
    </w:p>
    <w:p w14:paraId="2BBDABD8" w14:textId="77777777" w:rsidR="00A85957" w:rsidRDefault="00A85957" w:rsidP="00A85957">
      <w:pPr>
        <w:pStyle w:val="Sinespaciado"/>
        <w:ind w:left="708"/>
        <w:jc w:val="both"/>
        <w:rPr>
          <w:rStyle w:val="Cuerpodeltexto2Cursiva"/>
          <w:rFonts w:ascii="Verdana" w:hAnsi="Verdana"/>
          <w:sz w:val="24"/>
          <w:szCs w:val="24"/>
        </w:rPr>
      </w:pPr>
    </w:p>
    <w:p w14:paraId="010FF714" w14:textId="10DEA73E" w:rsidR="00BE3BF9" w:rsidRPr="00C8397A" w:rsidRDefault="00A85957" w:rsidP="00A85957">
      <w:pPr>
        <w:pStyle w:val="Sinespaciado"/>
        <w:ind w:left="708"/>
        <w:jc w:val="both"/>
        <w:rPr>
          <w:rFonts w:ascii="Verdana" w:hAnsi="Verdana"/>
        </w:rPr>
      </w:pPr>
      <w:r w:rsidRPr="00A85957">
        <w:rPr>
          <w:rStyle w:val="Cuerpodeltexto2Cursiva"/>
          <w:rFonts w:ascii="Verdana" w:hAnsi="Verdana"/>
          <w:sz w:val="24"/>
          <w:szCs w:val="24"/>
        </w:rPr>
        <w:t>(...).</w:t>
      </w:r>
      <w:r>
        <w:rPr>
          <w:rStyle w:val="Cuerpodeltexto2Cursiva"/>
          <w:rFonts w:ascii="Verdana" w:hAnsi="Verdana"/>
          <w:sz w:val="24"/>
          <w:szCs w:val="24"/>
        </w:rPr>
        <w:t>”</w:t>
      </w:r>
      <w:r w:rsidRPr="00A85957">
        <w:rPr>
          <w:rFonts w:ascii="Verdana" w:hAnsi="Verdana"/>
          <w:i/>
          <w:iCs/>
        </w:rPr>
        <w:t xml:space="preserve"> </w:t>
      </w:r>
      <w:r w:rsidRPr="00A85957">
        <w:rPr>
          <w:rFonts w:ascii="Verdana" w:hAnsi="Verdana"/>
        </w:rPr>
        <w:t>(Resaltado fuera de texto)</w:t>
      </w:r>
    </w:p>
    <w:p w14:paraId="70588578" w14:textId="77777777" w:rsidR="00A85957" w:rsidRDefault="00A85957" w:rsidP="00C8397A">
      <w:pPr>
        <w:pStyle w:val="Sinespaciado"/>
        <w:jc w:val="both"/>
        <w:rPr>
          <w:rFonts w:ascii="Verdana" w:hAnsi="Verdana"/>
        </w:rPr>
      </w:pPr>
    </w:p>
    <w:p w14:paraId="5C867A7A" w14:textId="48C2B2F7" w:rsidR="00BE3BF9" w:rsidRPr="00C8397A" w:rsidRDefault="00A85957" w:rsidP="00C8397A">
      <w:pPr>
        <w:pStyle w:val="Sinespaciado"/>
        <w:jc w:val="both"/>
        <w:rPr>
          <w:rFonts w:ascii="Verdana" w:hAnsi="Verdana"/>
        </w:rPr>
      </w:pPr>
      <w:r w:rsidRPr="00C8397A">
        <w:rPr>
          <w:rFonts w:ascii="Verdana" w:hAnsi="Verdana"/>
        </w:rPr>
        <w:t xml:space="preserve">A la par, de acuerdo con el artículo 420 </w:t>
      </w:r>
      <w:r w:rsidRPr="00C8397A">
        <w:rPr>
          <w:rStyle w:val="Cuerpodeltexto2Cursiva"/>
          <w:rFonts w:ascii="Verdana" w:hAnsi="Verdana"/>
          <w:sz w:val="24"/>
          <w:szCs w:val="24"/>
        </w:rPr>
        <w:t>ibídem,</w:t>
      </w:r>
      <w:r w:rsidRPr="00C8397A">
        <w:rPr>
          <w:rFonts w:ascii="Verdana" w:hAnsi="Verdana"/>
        </w:rPr>
        <w:t xml:space="preserve"> el IVA recae, entre otros </w:t>
      </w:r>
      <w:r w:rsidRPr="00C8397A">
        <w:rPr>
          <w:rFonts w:ascii="Verdana" w:hAnsi="Verdana"/>
        </w:rPr>
        <w:lastRenderedPageBreak/>
        <w:t>hechos, sobre:</w:t>
      </w:r>
    </w:p>
    <w:p w14:paraId="57A833B8" w14:textId="77777777" w:rsidR="00A85957" w:rsidRDefault="00A85957" w:rsidP="00A85957">
      <w:pPr>
        <w:pStyle w:val="Sinespaciado"/>
        <w:ind w:left="708"/>
        <w:jc w:val="both"/>
        <w:rPr>
          <w:rFonts w:ascii="Verdana" w:hAnsi="Verdana"/>
          <w:i/>
          <w:iCs/>
        </w:rPr>
      </w:pPr>
    </w:p>
    <w:p w14:paraId="2E158DB6" w14:textId="70786FC9" w:rsidR="00BE3BF9" w:rsidRPr="00A85957" w:rsidRDefault="00A85957" w:rsidP="00A85957">
      <w:pPr>
        <w:pStyle w:val="Sinespaciado"/>
        <w:ind w:left="708"/>
        <w:jc w:val="both"/>
        <w:rPr>
          <w:rFonts w:ascii="Verdana" w:hAnsi="Verdana"/>
          <w:i/>
          <w:iCs/>
        </w:rPr>
      </w:pPr>
      <w:r>
        <w:rPr>
          <w:rFonts w:ascii="Verdana" w:hAnsi="Verdana"/>
          <w:i/>
          <w:iCs/>
        </w:rPr>
        <w:t>“</w:t>
      </w:r>
      <w:r w:rsidRPr="00A85957">
        <w:rPr>
          <w:rFonts w:ascii="Verdana" w:hAnsi="Verdana"/>
          <w:i/>
          <w:iCs/>
        </w:rPr>
        <w:t xml:space="preserve">a) La </w:t>
      </w:r>
      <w:r w:rsidRPr="00A85957">
        <w:rPr>
          <w:rStyle w:val="Cuerpodeltexto7Negrita"/>
          <w:rFonts w:ascii="Verdana" w:hAnsi="Verdana"/>
          <w:sz w:val="24"/>
          <w:szCs w:val="24"/>
        </w:rPr>
        <w:t xml:space="preserve">venta de bienes corporales muebles </w:t>
      </w:r>
      <w:r w:rsidRPr="00A85957">
        <w:rPr>
          <w:rFonts w:ascii="Verdana" w:hAnsi="Verdana"/>
          <w:i/>
          <w:iCs/>
        </w:rPr>
        <w:t>e inmuebles, con excepción de los expresamente excluidos;</w:t>
      </w:r>
    </w:p>
    <w:p w14:paraId="6729E57D" w14:textId="77777777" w:rsidR="00A85957" w:rsidRDefault="00A85957" w:rsidP="00A85957">
      <w:pPr>
        <w:pStyle w:val="Sinespaciado"/>
        <w:ind w:left="708"/>
        <w:jc w:val="both"/>
        <w:rPr>
          <w:rStyle w:val="Cuerpodeltexto20Sinnegrita"/>
          <w:rFonts w:ascii="Verdana" w:hAnsi="Verdana"/>
          <w:b w:val="0"/>
          <w:bCs w:val="0"/>
          <w:sz w:val="24"/>
          <w:szCs w:val="24"/>
        </w:rPr>
      </w:pPr>
    </w:p>
    <w:p w14:paraId="0BEA59EF" w14:textId="533DE5E0" w:rsidR="00BE3BF9" w:rsidRPr="00A85957" w:rsidRDefault="00A85957" w:rsidP="00A85957">
      <w:pPr>
        <w:pStyle w:val="Sinespaciado"/>
        <w:ind w:left="708"/>
        <w:jc w:val="both"/>
        <w:rPr>
          <w:rFonts w:ascii="Verdana" w:hAnsi="Verdana"/>
          <w:b/>
          <w:bCs/>
          <w:i/>
          <w:iCs/>
        </w:rPr>
      </w:pPr>
      <w:r>
        <w:rPr>
          <w:rStyle w:val="Cuerpodeltexto20Sinnegrita"/>
          <w:rFonts w:ascii="Verdana" w:hAnsi="Verdana"/>
          <w:b w:val="0"/>
          <w:bCs w:val="0"/>
          <w:sz w:val="24"/>
          <w:szCs w:val="24"/>
        </w:rPr>
        <w:t xml:space="preserve">b) </w:t>
      </w:r>
      <w:r w:rsidRPr="00A85957">
        <w:rPr>
          <w:rStyle w:val="Cuerpodeltexto20Sinnegrita"/>
          <w:rFonts w:ascii="Verdana" w:hAnsi="Verdana"/>
          <w:b w:val="0"/>
          <w:bCs w:val="0"/>
          <w:sz w:val="24"/>
          <w:szCs w:val="24"/>
        </w:rPr>
        <w:t xml:space="preserve">La </w:t>
      </w:r>
      <w:r w:rsidRPr="00A85957">
        <w:rPr>
          <w:rFonts w:ascii="Verdana" w:hAnsi="Verdana"/>
          <w:b/>
          <w:bCs/>
          <w:i/>
          <w:iCs/>
        </w:rPr>
        <w:t>venta o cesiones de derechos sobre activos intangibles, únicamente asociados con la propiedad industrial</w:t>
      </w:r>
      <w:r w:rsidRPr="00A85957">
        <w:rPr>
          <w:rStyle w:val="Cuerpodeltexto20Sinnegrita"/>
          <w:rFonts w:ascii="Verdana" w:hAnsi="Verdana"/>
          <w:b w:val="0"/>
          <w:bCs w:val="0"/>
          <w:sz w:val="24"/>
          <w:szCs w:val="24"/>
        </w:rPr>
        <w:t>;</w:t>
      </w:r>
    </w:p>
    <w:p w14:paraId="4A189DA6" w14:textId="77777777" w:rsidR="00A85957" w:rsidRDefault="00A85957" w:rsidP="00A85957">
      <w:pPr>
        <w:pStyle w:val="Sinespaciado"/>
        <w:ind w:left="708"/>
        <w:jc w:val="both"/>
        <w:rPr>
          <w:rStyle w:val="Cuerpodeltexto20Sinnegrita"/>
          <w:rFonts w:ascii="Verdana" w:hAnsi="Verdana"/>
          <w:b w:val="0"/>
          <w:bCs w:val="0"/>
          <w:sz w:val="24"/>
          <w:szCs w:val="24"/>
        </w:rPr>
      </w:pPr>
    </w:p>
    <w:p w14:paraId="3888DEFF" w14:textId="54F92635" w:rsidR="00BE3BF9" w:rsidRPr="00C8397A" w:rsidRDefault="00A85957" w:rsidP="00A85957">
      <w:pPr>
        <w:pStyle w:val="Sinespaciado"/>
        <w:ind w:left="708"/>
        <w:jc w:val="both"/>
        <w:rPr>
          <w:rFonts w:ascii="Verdana" w:hAnsi="Verdana"/>
        </w:rPr>
      </w:pPr>
      <w:r>
        <w:rPr>
          <w:rStyle w:val="Cuerpodeltexto20Sinnegrita"/>
          <w:rFonts w:ascii="Verdana" w:hAnsi="Verdana"/>
          <w:b w:val="0"/>
          <w:bCs w:val="0"/>
          <w:sz w:val="24"/>
          <w:szCs w:val="24"/>
        </w:rPr>
        <w:t xml:space="preserve">c) </w:t>
      </w:r>
      <w:r w:rsidRPr="00A85957">
        <w:rPr>
          <w:rStyle w:val="Cuerpodeltexto20Sinnegrita"/>
          <w:rFonts w:ascii="Verdana" w:hAnsi="Verdana"/>
          <w:b w:val="0"/>
          <w:bCs w:val="0"/>
          <w:sz w:val="24"/>
          <w:szCs w:val="24"/>
        </w:rPr>
        <w:t xml:space="preserve">La </w:t>
      </w:r>
      <w:r w:rsidRPr="00A85957">
        <w:rPr>
          <w:rFonts w:ascii="Verdana" w:hAnsi="Verdana"/>
          <w:b/>
          <w:bCs/>
          <w:i/>
          <w:iCs/>
        </w:rPr>
        <w:t>prestación de servicios en el territorio nacional, o desde el exterior</w:t>
      </w:r>
      <w:r w:rsidRPr="00A85957">
        <w:rPr>
          <w:rStyle w:val="Cuerpodeltexto20Sinnegrita"/>
          <w:rFonts w:ascii="Verdana" w:hAnsi="Verdana"/>
          <w:b w:val="0"/>
          <w:bCs w:val="0"/>
          <w:sz w:val="24"/>
          <w:szCs w:val="24"/>
        </w:rPr>
        <w:t>, con excepción de los expresamente excluidos”</w:t>
      </w:r>
      <w:r w:rsidRPr="00A85957">
        <w:rPr>
          <w:rStyle w:val="Cuerpodeltexto20SinnegritaSincursiva"/>
          <w:rFonts w:ascii="Verdana" w:hAnsi="Verdana"/>
          <w:b w:val="0"/>
          <w:bCs w:val="0"/>
          <w:sz w:val="24"/>
          <w:szCs w:val="24"/>
        </w:rPr>
        <w:t xml:space="preserve"> </w:t>
      </w:r>
      <w:r w:rsidRPr="00A85957">
        <w:rPr>
          <w:rStyle w:val="Cuerpodeltexto20SinnegritaSincursiva"/>
          <w:rFonts w:ascii="Verdana" w:hAnsi="Verdana"/>
          <w:b w:val="0"/>
          <w:bCs w:val="0"/>
          <w:i w:val="0"/>
          <w:iCs w:val="0"/>
          <w:sz w:val="24"/>
          <w:szCs w:val="24"/>
        </w:rPr>
        <w:t>(resaltado fuera de texto).</w:t>
      </w:r>
    </w:p>
    <w:p w14:paraId="0A981D74" w14:textId="77777777" w:rsidR="00A85957" w:rsidRDefault="00A85957" w:rsidP="00C8397A">
      <w:pPr>
        <w:pStyle w:val="Sinespaciado"/>
        <w:jc w:val="both"/>
        <w:rPr>
          <w:rFonts w:ascii="Verdana" w:hAnsi="Verdana"/>
        </w:rPr>
      </w:pPr>
    </w:p>
    <w:p w14:paraId="75DFA6D0" w14:textId="753B9A37" w:rsidR="00BE3BF9" w:rsidRPr="00C8397A" w:rsidRDefault="00A85957" w:rsidP="00C8397A">
      <w:pPr>
        <w:pStyle w:val="Sinespaciado"/>
        <w:jc w:val="both"/>
        <w:rPr>
          <w:rFonts w:ascii="Verdana" w:hAnsi="Verdana"/>
        </w:rPr>
      </w:pPr>
      <w:r w:rsidRPr="00C8397A">
        <w:rPr>
          <w:rFonts w:ascii="Verdana" w:hAnsi="Verdana"/>
        </w:rPr>
        <w:t>De manera que, teniendo en cuenta que en el contrato de franquicia las partes pueden estipular diversas prestaciones - atendiendo al principio de autonomía de la voluntad - corresponde a las mismas establecer cuáles constituyen hechos generadores del impuesto sobre las ventas, de acuerdo con lo previsto en el artículo 420 del Estatuto Tributario.</w:t>
      </w:r>
    </w:p>
    <w:p w14:paraId="30358BFB" w14:textId="77777777" w:rsidR="00A85957" w:rsidRDefault="00A85957" w:rsidP="00C8397A">
      <w:pPr>
        <w:pStyle w:val="Sinespaciado"/>
        <w:jc w:val="both"/>
        <w:rPr>
          <w:rFonts w:ascii="Verdana" w:hAnsi="Verdana"/>
        </w:rPr>
      </w:pPr>
    </w:p>
    <w:p w14:paraId="200F7306" w14:textId="254DC8E0" w:rsidR="00BE3BF9" w:rsidRPr="00C8397A" w:rsidRDefault="00A85957" w:rsidP="00C8397A">
      <w:pPr>
        <w:pStyle w:val="Sinespaciado"/>
        <w:jc w:val="both"/>
        <w:rPr>
          <w:rFonts w:ascii="Verdana" w:hAnsi="Verdana"/>
        </w:rPr>
      </w:pPr>
      <w:r w:rsidRPr="00C8397A">
        <w:rPr>
          <w:rFonts w:ascii="Verdana" w:hAnsi="Verdana"/>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w:t>
      </w:r>
      <w:r w:rsidRPr="00A85957">
        <w:rPr>
          <w:rFonts w:ascii="Verdana" w:hAnsi="Verdana"/>
        </w:rPr>
        <w:t xml:space="preserve"> </w:t>
      </w:r>
      <w:r w:rsidRPr="00A85957">
        <w:rPr>
          <w:rFonts w:ascii="Verdana" w:hAnsi="Verdana"/>
          <w:lang w:val="en-US" w:eastAsia="en-US" w:bidi="en-US"/>
        </w:rPr>
        <w:t>www.dian.gov.co,</w:t>
      </w:r>
      <w:r w:rsidRPr="00C8397A">
        <w:rPr>
          <w:rFonts w:ascii="Verdana" w:hAnsi="Verdana"/>
          <w:lang w:val="en-US" w:eastAsia="en-US" w:bidi="en-US"/>
        </w:rPr>
        <w:t xml:space="preserve"> </w:t>
      </w:r>
      <w:r w:rsidRPr="00C8397A">
        <w:rPr>
          <w:rFonts w:ascii="Verdana" w:hAnsi="Verdana"/>
        </w:rPr>
        <w:t>la base de conceptos en materia tributaria, aduanera y cambiaria expedidos desde el año 2001, la cual se puede ingresar por el icono de “Normatividad” -</w:t>
      </w:r>
      <w:r>
        <w:rPr>
          <w:rFonts w:ascii="Verdana" w:hAnsi="Verdana"/>
        </w:rPr>
        <w:t xml:space="preserve"> </w:t>
      </w:r>
      <w:r w:rsidRPr="00C8397A">
        <w:rPr>
          <w:rFonts w:ascii="Verdana" w:hAnsi="Verdana"/>
        </w:rPr>
        <w:t>“Doctrina”</w:t>
      </w:r>
      <w:r w:rsidRPr="00C8397A">
        <w:rPr>
          <w:rFonts w:ascii="Verdana" w:hAnsi="Verdana"/>
        </w:rPr>
        <w:softHyphen/>
        <w:t>, dando click en el link “Doctrina Dirección de Gestión Jurídica”.</w:t>
      </w:r>
    </w:p>
    <w:p w14:paraId="29B3D5E4" w14:textId="77777777" w:rsidR="00A85957" w:rsidRDefault="00A85957" w:rsidP="00C8397A">
      <w:pPr>
        <w:pStyle w:val="Sinespaciado"/>
        <w:jc w:val="both"/>
        <w:rPr>
          <w:rFonts w:ascii="Verdana" w:hAnsi="Verdana"/>
        </w:rPr>
      </w:pPr>
    </w:p>
    <w:p w14:paraId="628E2B11" w14:textId="77777777" w:rsidR="00A85957" w:rsidRDefault="00A85957" w:rsidP="00C8397A">
      <w:pPr>
        <w:pStyle w:val="Sinespaciado"/>
        <w:jc w:val="both"/>
        <w:rPr>
          <w:rFonts w:ascii="Verdana" w:hAnsi="Verdana"/>
        </w:rPr>
      </w:pPr>
    </w:p>
    <w:p w14:paraId="0BBC7198" w14:textId="732160DE" w:rsidR="00BE3BF9" w:rsidRPr="00C8397A" w:rsidRDefault="00A85957" w:rsidP="00C8397A">
      <w:pPr>
        <w:pStyle w:val="Sinespaciado"/>
        <w:jc w:val="both"/>
        <w:rPr>
          <w:rFonts w:ascii="Verdana" w:hAnsi="Verdana"/>
        </w:rPr>
      </w:pPr>
      <w:r w:rsidRPr="00C8397A">
        <w:rPr>
          <w:rFonts w:ascii="Verdana" w:hAnsi="Verdana"/>
        </w:rPr>
        <w:t>Atentamente,</w:t>
      </w:r>
    </w:p>
    <w:p w14:paraId="2A2482B5" w14:textId="77777777" w:rsidR="00A85957" w:rsidRDefault="00A85957" w:rsidP="00C8397A">
      <w:pPr>
        <w:pStyle w:val="Sinespaciado"/>
        <w:jc w:val="both"/>
        <w:rPr>
          <w:rFonts w:ascii="Verdana" w:hAnsi="Verdana"/>
        </w:rPr>
      </w:pPr>
    </w:p>
    <w:p w14:paraId="6C32A5B5" w14:textId="77777777" w:rsidR="00A85957" w:rsidRDefault="00A85957" w:rsidP="00C8397A">
      <w:pPr>
        <w:pStyle w:val="Sinespaciado"/>
        <w:jc w:val="both"/>
        <w:rPr>
          <w:rFonts w:ascii="Verdana" w:hAnsi="Verdana"/>
        </w:rPr>
      </w:pPr>
    </w:p>
    <w:p w14:paraId="5DDF90C0" w14:textId="77777777" w:rsidR="00A85957" w:rsidRDefault="00A85957" w:rsidP="00C8397A">
      <w:pPr>
        <w:pStyle w:val="Sinespaciado"/>
        <w:jc w:val="both"/>
        <w:rPr>
          <w:rFonts w:ascii="Verdana" w:hAnsi="Verdana"/>
        </w:rPr>
      </w:pPr>
    </w:p>
    <w:p w14:paraId="1F5A9B90" w14:textId="6E0C0318" w:rsidR="00BE3BF9" w:rsidRPr="00A85957" w:rsidRDefault="00A85957" w:rsidP="00C8397A">
      <w:pPr>
        <w:pStyle w:val="Sinespaciado"/>
        <w:jc w:val="both"/>
        <w:rPr>
          <w:rFonts w:ascii="Verdana" w:hAnsi="Verdana"/>
          <w:b/>
          <w:bCs/>
        </w:rPr>
      </w:pPr>
      <w:r w:rsidRPr="00A85957">
        <w:rPr>
          <w:rFonts w:ascii="Verdana" w:hAnsi="Verdana"/>
          <w:b/>
          <w:bCs/>
        </w:rPr>
        <w:t>PABLO EMILIO MENDOZA VELILLA</w:t>
      </w:r>
    </w:p>
    <w:p w14:paraId="0EC420C1" w14:textId="77777777" w:rsidR="00A85957" w:rsidRDefault="00A85957" w:rsidP="00C8397A">
      <w:pPr>
        <w:pStyle w:val="Sinespaciado"/>
        <w:jc w:val="both"/>
        <w:rPr>
          <w:rFonts w:ascii="Verdana" w:hAnsi="Verdana"/>
        </w:rPr>
      </w:pPr>
      <w:r w:rsidRPr="00C8397A">
        <w:rPr>
          <w:rFonts w:ascii="Verdana" w:hAnsi="Verdana"/>
        </w:rPr>
        <w:t>Subdirector de Gestión Normativa y Doctrina</w:t>
      </w:r>
    </w:p>
    <w:p w14:paraId="51E4F8F2" w14:textId="77777777" w:rsidR="00A85957" w:rsidRDefault="00A85957" w:rsidP="00C8397A">
      <w:pPr>
        <w:pStyle w:val="Sinespaciado"/>
        <w:jc w:val="both"/>
        <w:rPr>
          <w:rFonts w:ascii="Verdana" w:hAnsi="Verdana"/>
        </w:rPr>
      </w:pPr>
      <w:r w:rsidRPr="00C8397A">
        <w:rPr>
          <w:rFonts w:ascii="Verdana" w:hAnsi="Verdana"/>
        </w:rPr>
        <w:t>Dirección de Gestión Jurídica</w:t>
      </w:r>
    </w:p>
    <w:p w14:paraId="720EB2CF" w14:textId="697F40C7" w:rsidR="00BE3BF9" w:rsidRPr="00C8397A" w:rsidRDefault="00A85957" w:rsidP="00C8397A">
      <w:pPr>
        <w:pStyle w:val="Sinespaciado"/>
        <w:jc w:val="both"/>
        <w:rPr>
          <w:rFonts w:ascii="Verdana" w:hAnsi="Verdana"/>
        </w:rPr>
      </w:pPr>
      <w:r w:rsidRPr="00C8397A">
        <w:rPr>
          <w:rFonts w:ascii="Verdana" w:hAnsi="Verdana"/>
        </w:rPr>
        <w:t>UAE-DIAN</w:t>
      </w:r>
    </w:p>
    <w:p w14:paraId="38EEA4B0" w14:textId="77777777" w:rsidR="00BE3BF9" w:rsidRPr="00C8397A" w:rsidRDefault="00A85957" w:rsidP="00C8397A">
      <w:pPr>
        <w:pStyle w:val="Sinespaciado"/>
        <w:jc w:val="both"/>
        <w:rPr>
          <w:rFonts w:ascii="Verdana" w:hAnsi="Verdana"/>
        </w:rPr>
      </w:pPr>
      <w:r w:rsidRPr="00C8397A">
        <w:rPr>
          <w:rFonts w:ascii="Verdana" w:hAnsi="Verdana"/>
        </w:rPr>
        <w:t>Car. 8 N° 6C-38 Piso 4, Edificio San Agustín.</w:t>
      </w:r>
    </w:p>
    <w:p w14:paraId="3630C696" w14:textId="77777777" w:rsidR="00BE3BF9" w:rsidRPr="00C8397A" w:rsidRDefault="00A85957" w:rsidP="00C8397A">
      <w:pPr>
        <w:pStyle w:val="Sinespaciado"/>
        <w:jc w:val="both"/>
        <w:rPr>
          <w:rFonts w:ascii="Verdana" w:hAnsi="Verdana"/>
        </w:rPr>
      </w:pPr>
      <w:r w:rsidRPr="00C8397A">
        <w:rPr>
          <w:rFonts w:ascii="Verdana" w:hAnsi="Verdana"/>
        </w:rPr>
        <w:t>Bogotá D.C.</w:t>
      </w:r>
    </w:p>
    <w:sectPr w:rsidR="00BE3BF9" w:rsidRPr="00C8397A" w:rsidSect="00C8397A">
      <w:headerReference w:type="default" r:id="rId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59EB" w14:textId="77777777" w:rsidR="00F217DD" w:rsidRDefault="00F217DD">
      <w:r>
        <w:separator/>
      </w:r>
    </w:p>
  </w:endnote>
  <w:endnote w:type="continuationSeparator" w:id="0">
    <w:p w14:paraId="6314557E" w14:textId="77777777" w:rsidR="00F217DD" w:rsidRDefault="00F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F2C8" w14:textId="77777777" w:rsidR="00F217DD" w:rsidRDefault="00F217DD"/>
  </w:footnote>
  <w:footnote w:type="continuationSeparator" w:id="0">
    <w:p w14:paraId="2650E9A2" w14:textId="77777777" w:rsidR="00F217DD" w:rsidRDefault="00F21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D18B" w14:textId="77777777" w:rsidR="00BE3BF9" w:rsidRDefault="00BE3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B6A"/>
    <w:multiLevelType w:val="multilevel"/>
    <w:tmpl w:val="ECEE26A0"/>
    <w:lvl w:ilvl="0">
      <w:start w:val="1"/>
      <w:numFmt w:val="decimal"/>
      <w:lvlText w:val="2.4.%1."/>
      <w:lvlJc w:val="left"/>
      <w:rPr>
        <w:rFonts w:ascii="Arial" w:eastAsia="Arial" w:hAnsi="Arial" w:cs="Arial"/>
        <w:b w:val="0"/>
        <w:bCs w:val="0"/>
        <w:i/>
        <w:iCs/>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C1490"/>
    <w:multiLevelType w:val="multilevel"/>
    <w:tmpl w:val="051A32D8"/>
    <w:lvl w:ilvl="0">
      <w:start w:val="2"/>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2D1C07"/>
    <w:multiLevelType w:val="hybridMultilevel"/>
    <w:tmpl w:val="F8522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961408"/>
    <w:multiLevelType w:val="multilevel"/>
    <w:tmpl w:val="752A6B36"/>
    <w:lvl w:ilvl="0">
      <w:start w:val="1"/>
      <w:numFmt w:val="decimal"/>
      <w:lvlText w:val="%1."/>
      <w:lvlJc w:val="left"/>
      <w:pPr>
        <w:ind w:left="720" w:hanging="360"/>
      </w:pPr>
      <w:rPr>
        <w:rFonts w:eastAsia="Arial" w:cs="Arial" w:hint="default"/>
        <w:b/>
        <w:u w:val="none"/>
      </w:rPr>
    </w:lvl>
    <w:lvl w:ilvl="1">
      <w:start w:val="4"/>
      <w:numFmt w:val="decimal"/>
      <w:isLgl/>
      <w:lvlText w:val="%1.%2."/>
      <w:lvlJc w:val="left"/>
      <w:pPr>
        <w:ind w:left="1254"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322" w:hanging="144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564" w:hanging="2160"/>
      </w:pPr>
      <w:rPr>
        <w:rFonts w:hint="default"/>
      </w:rPr>
    </w:lvl>
    <w:lvl w:ilvl="7">
      <w:start w:val="1"/>
      <w:numFmt w:val="decimal"/>
      <w:isLgl/>
      <w:lvlText w:val="%1.%2.%3.%4.%5.%6.%7.%8."/>
      <w:lvlJc w:val="left"/>
      <w:pPr>
        <w:ind w:left="4098" w:hanging="2520"/>
      </w:pPr>
      <w:rPr>
        <w:rFonts w:hint="default"/>
      </w:rPr>
    </w:lvl>
    <w:lvl w:ilvl="8">
      <w:start w:val="1"/>
      <w:numFmt w:val="decimal"/>
      <w:isLgl/>
      <w:lvlText w:val="%1.%2.%3.%4.%5.%6.%7.%8.%9."/>
      <w:lvlJc w:val="left"/>
      <w:pPr>
        <w:ind w:left="4632" w:hanging="2880"/>
      </w:pPr>
      <w:rPr>
        <w:rFonts w:hint="default"/>
      </w:rPr>
    </w:lvl>
  </w:abstractNum>
  <w:abstractNum w:abstractNumId="4" w15:restartNumberingAfterBreak="0">
    <w:nsid w:val="4CCE3CBB"/>
    <w:multiLevelType w:val="multilevel"/>
    <w:tmpl w:val="0D2473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56F7B"/>
    <w:multiLevelType w:val="multilevel"/>
    <w:tmpl w:val="3D94C77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F9"/>
    <w:rsid w:val="00216F00"/>
    <w:rsid w:val="007340CA"/>
    <w:rsid w:val="00A85957"/>
    <w:rsid w:val="00BE3BF9"/>
    <w:rsid w:val="00C8397A"/>
    <w:rsid w:val="00F217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78683"/>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Encabezamientoopiedepgina">
    <w:name w:val="Encabezamiento o pie de página_"/>
    <w:basedOn w:val="Fuentedeprrafopredeter"/>
    <w:link w:val="Encabezamientoopiedepgina0"/>
    <w:rPr>
      <w:rFonts w:ascii="Tahoma" w:eastAsia="Tahoma" w:hAnsi="Tahoma" w:cs="Tahoma"/>
      <w:b w:val="0"/>
      <w:bCs w:val="0"/>
      <w:i w:val="0"/>
      <w:iCs w:val="0"/>
      <w:smallCaps w:val="0"/>
      <w:strike w:val="0"/>
      <w:sz w:val="15"/>
      <w:szCs w:val="15"/>
      <w:u w:val="none"/>
    </w:rPr>
  </w:style>
  <w:style w:type="character" w:customStyle="1" w:styleId="Cuerpodeltexto210pto">
    <w:name w:val="Cuerpo del texto (2) + 10 pto"/>
    <w:basedOn w:val="Cuerpodeltexto2"/>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9"/>
      <w:szCs w:val="19"/>
      <w:u w:val="none"/>
    </w:rPr>
  </w:style>
  <w:style w:type="character" w:customStyle="1" w:styleId="Cuerpodeltexto41">
    <w:name w:val="Cuerpo del texto (4)"/>
    <w:basedOn w:val="Cuerpodeltexto4"/>
    <w:rPr>
      <w:rFonts w:ascii="Arial" w:eastAsia="Arial" w:hAnsi="Arial" w:cs="Arial"/>
      <w:b/>
      <w:bCs/>
      <w:i w:val="0"/>
      <w:iCs w:val="0"/>
      <w:smallCaps w:val="0"/>
      <w:strike w:val="0"/>
      <w:color w:val="000000"/>
      <w:spacing w:val="0"/>
      <w:w w:val="100"/>
      <w:position w:val="0"/>
      <w:sz w:val="19"/>
      <w:szCs w:val="19"/>
      <w:u w:val="single"/>
      <w:lang w:val="es-ES" w:eastAsia="es-ES" w:bidi="es-ES"/>
    </w:rPr>
  </w:style>
  <w:style w:type="character" w:customStyle="1" w:styleId="Cuerpodeltexto7">
    <w:name w:val="Cuerpo del texto (7)_"/>
    <w:basedOn w:val="Fuentedeprrafopredeter"/>
    <w:link w:val="Cuerpodeltexto70"/>
    <w:rPr>
      <w:rFonts w:ascii="Arial" w:eastAsia="Arial" w:hAnsi="Arial" w:cs="Arial"/>
      <w:b w:val="0"/>
      <w:bCs w:val="0"/>
      <w:i/>
      <w:iCs/>
      <w:smallCaps w:val="0"/>
      <w:strike w:val="0"/>
      <w:sz w:val="19"/>
      <w:szCs w:val="19"/>
      <w:u w:val="none"/>
    </w:rPr>
  </w:style>
  <w:style w:type="character" w:customStyle="1" w:styleId="Cuerpodeltexto7Negrita">
    <w:name w:val="Cuerpo del texto (7) + Negrita"/>
    <w:basedOn w:val="Cuerpodeltexto7"/>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7Sincursiva">
    <w:name w:val="Cuerpo del texto (7) + Sin cursiva"/>
    <w:basedOn w:val="Cuerpodeltexto7"/>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00">
    <w:name w:val="Cuerpo del texto (20)_"/>
    <w:basedOn w:val="Fuentedeprrafopredeter"/>
    <w:link w:val="Cuerpodeltexto201"/>
    <w:rPr>
      <w:rFonts w:ascii="Arial" w:eastAsia="Arial" w:hAnsi="Arial" w:cs="Arial"/>
      <w:b/>
      <w:bCs/>
      <w:i/>
      <w:iCs/>
      <w:smallCaps w:val="0"/>
      <w:strike w:val="0"/>
      <w:sz w:val="19"/>
      <w:szCs w:val="19"/>
      <w:u w:val="none"/>
    </w:rPr>
  </w:style>
  <w:style w:type="character" w:customStyle="1" w:styleId="Cuerpodeltexto20Sinnegrita">
    <w:name w:val="Cuerpo del texto (20) + Sin negrita"/>
    <w:basedOn w:val="Cuerpodeltexto200"/>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0SinnegritaSincursiva">
    <w:name w:val="Cuerpo del texto (20) + Sin negrita;Sin cursiva"/>
    <w:basedOn w:val="Cuerpodeltexto200"/>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36">
    <w:name w:val="Cuerpo del texto (36)_"/>
    <w:basedOn w:val="Fuentedeprrafopredeter"/>
    <w:link w:val="Cuerpodeltexto360"/>
    <w:rPr>
      <w:rFonts w:ascii="Arial" w:eastAsia="Arial" w:hAnsi="Arial" w:cs="Arial"/>
      <w:b w:val="0"/>
      <w:bCs w:val="0"/>
      <w:i w:val="0"/>
      <w:iCs w:val="0"/>
      <w:smallCaps w:val="0"/>
      <w:strike w:val="0"/>
      <w:sz w:val="8"/>
      <w:szCs w:val="8"/>
      <w:u w:val="none"/>
    </w:rPr>
  </w:style>
  <w:style w:type="character" w:customStyle="1" w:styleId="Cuerpodeltexto36TrebuchetMS7pto">
    <w:name w:val="Cuerpo del texto (36) + Trebuchet MS;7 pto"/>
    <w:basedOn w:val="Cuerpodeltexto36"/>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character" w:customStyle="1" w:styleId="Cuerpodeltexto32">
    <w:name w:val="Cuerpo del texto (32)_"/>
    <w:basedOn w:val="Fuentedeprrafopredeter"/>
    <w:link w:val="Cuerpodeltexto320"/>
    <w:rPr>
      <w:rFonts w:ascii="Arial" w:eastAsia="Arial" w:hAnsi="Arial" w:cs="Arial"/>
      <w:b w:val="0"/>
      <w:bCs w:val="0"/>
      <w:i w:val="0"/>
      <w:iCs w:val="0"/>
      <w:smallCaps w:val="0"/>
      <w:strike w:val="0"/>
      <w:sz w:val="8"/>
      <w:szCs w:val="8"/>
      <w:u w:val="none"/>
    </w:rPr>
  </w:style>
  <w:style w:type="character" w:customStyle="1" w:styleId="Cuerpodeltexto32TrebuchetMS7pto">
    <w:name w:val="Cuerpo del texto (32) + Trebuchet MS;7 pto"/>
    <w:basedOn w:val="Cuerpodeltexto32"/>
    <w:rPr>
      <w:rFonts w:ascii="Trebuchet MS" w:eastAsia="Trebuchet MS" w:hAnsi="Trebuchet MS" w:cs="Trebuchet MS"/>
      <w:b w:val="0"/>
      <w:bCs w:val="0"/>
      <w:i w:val="0"/>
      <w:iCs w:val="0"/>
      <w:smallCaps w:val="0"/>
      <w:strike w:val="0"/>
      <w:color w:val="000000"/>
      <w:spacing w:val="0"/>
      <w:w w:val="100"/>
      <w:position w:val="0"/>
      <w:sz w:val="14"/>
      <w:szCs w:val="14"/>
      <w:u w:val="none"/>
      <w:lang w:val="es-ES" w:eastAsia="es-ES" w:bidi="es-ES"/>
    </w:rPr>
  </w:style>
  <w:style w:type="paragraph" w:customStyle="1" w:styleId="Cuerpodeltexto20">
    <w:name w:val="Cuerpo del texto (2)"/>
    <w:basedOn w:val="Normal"/>
    <w:link w:val="Cuerpodeltexto2"/>
    <w:pPr>
      <w:shd w:val="clear" w:color="auto" w:fill="FFFFFF"/>
      <w:spacing w:after="480" w:line="0" w:lineRule="atLeast"/>
      <w:ind w:hanging="360"/>
      <w:jc w:val="both"/>
    </w:pPr>
    <w:rPr>
      <w:rFonts w:ascii="Arial" w:eastAsia="Arial" w:hAnsi="Arial" w:cs="Arial"/>
      <w:sz w:val="19"/>
      <w:szCs w:val="19"/>
    </w:rPr>
  </w:style>
  <w:style w:type="paragraph" w:customStyle="1" w:styleId="Encabezamientoopiedepgina0">
    <w:name w:val="Encabezamiento o pie de página"/>
    <w:basedOn w:val="Normal"/>
    <w:link w:val="Encabezamientoopiedepgina"/>
    <w:pPr>
      <w:shd w:val="clear" w:color="auto" w:fill="FFFFFF"/>
      <w:spacing w:line="230" w:lineRule="exact"/>
      <w:jc w:val="both"/>
    </w:pPr>
    <w:rPr>
      <w:rFonts w:ascii="Tahoma" w:eastAsia="Tahoma" w:hAnsi="Tahoma" w:cs="Tahoma"/>
      <w:sz w:val="15"/>
      <w:szCs w:val="15"/>
    </w:rPr>
  </w:style>
  <w:style w:type="paragraph" w:customStyle="1" w:styleId="Cuerpodeltexto40">
    <w:name w:val="Cuerpo del texto (4)"/>
    <w:basedOn w:val="Normal"/>
    <w:link w:val="Cuerpodeltexto4"/>
    <w:pPr>
      <w:shd w:val="clear" w:color="auto" w:fill="FFFFFF"/>
      <w:spacing w:before="180" w:line="230" w:lineRule="exact"/>
      <w:ind w:hanging="360"/>
      <w:jc w:val="both"/>
    </w:pPr>
    <w:rPr>
      <w:rFonts w:ascii="Arial" w:eastAsia="Arial" w:hAnsi="Arial" w:cs="Arial"/>
      <w:b/>
      <w:bCs/>
      <w:sz w:val="19"/>
      <w:szCs w:val="19"/>
    </w:rPr>
  </w:style>
  <w:style w:type="paragraph" w:customStyle="1" w:styleId="Cuerpodeltexto70">
    <w:name w:val="Cuerpo del texto (7)"/>
    <w:basedOn w:val="Normal"/>
    <w:link w:val="Cuerpodeltexto7"/>
    <w:pPr>
      <w:shd w:val="clear" w:color="auto" w:fill="FFFFFF"/>
      <w:spacing w:line="0" w:lineRule="atLeast"/>
    </w:pPr>
    <w:rPr>
      <w:rFonts w:ascii="Arial" w:eastAsia="Arial" w:hAnsi="Arial" w:cs="Arial"/>
      <w:i/>
      <w:iCs/>
      <w:sz w:val="19"/>
      <w:szCs w:val="19"/>
    </w:rPr>
  </w:style>
  <w:style w:type="paragraph" w:customStyle="1" w:styleId="Cuerpodeltexto201">
    <w:name w:val="Cuerpo del texto (20)"/>
    <w:basedOn w:val="Normal"/>
    <w:link w:val="Cuerpodeltexto200"/>
    <w:pPr>
      <w:shd w:val="clear" w:color="auto" w:fill="FFFFFF"/>
      <w:spacing w:before="180" w:after="180" w:line="230" w:lineRule="exact"/>
    </w:pPr>
    <w:rPr>
      <w:rFonts w:ascii="Arial" w:eastAsia="Arial" w:hAnsi="Arial" w:cs="Arial"/>
      <w:b/>
      <w:bCs/>
      <w:i/>
      <w:iCs/>
      <w:sz w:val="19"/>
      <w:szCs w:val="19"/>
    </w:rPr>
  </w:style>
  <w:style w:type="paragraph" w:customStyle="1" w:styleId="Cuerpodeltexto360">
    <w:name w:val="Cuerpo del texto (36)"/>
    <w:basedOn w:val="Normal"/>
    <w:link w:val="Cuerpodeltexto36"/>
    <w:pPr>
      <w:shd w:val="clear" w:color="auto" w:fill="FFFFFF"/>
      <w:spacing w:before="240" w:line="82" w:lineRule="exact"/>
      <w:jc w:val="both"/>
    </w:pPr>
    <w:rPr>
      <w:rFonts w:ascii="Arial" w:eastAsia="Arial" w:hAnsi="Arial" w:cs="Arial"/>
      <w:sz w:val="8"/>
      <w:szCs w:val="8"/>
    </w:rPr>
  </w:style>
  <w:style w:type="paragraph" w:customStyle="1" w:styleId="Cuerpodeltexto320">
    <w:name w:val="Cuerpo del texto (32)"/>
    <w:basedOn w:val="Normal"/>
    <w:link w:val="Cuerpodeltexto32"/>
    <w:pPr>
      <w:shd w:val="clear" w:color="auto" w:fill="FFFFFF"/>
      <w:spacing w:before="180" w:line="106" w:lineRule="exact"/>
      <w:ind w:hanging="900"/>
    </w:pPr>
    <w:rPr>
      <w:rFonts w:ascii="Arial" w:eastAsia="Arial" w:hAnsi="Arial" w:cs="Arial"/>
      <w:sz w:val="8"/>
      <w:szCs w:val="8"/>
    </w:rPr>
  </w:style>
  <w:style w:type="paragraph" w:styleId="Sinespaciado">
    <w:name w:val="No Spacing"/>
    <w:uiPriority w:val="1"/>
    <w:qFormat/>
    <w:rsid w:val="00C8397A"/>
    <w:rPr>
      <w:color w:val="000000"/>
    </w:rPr>
  </w:style>
  <w:style w:type="paragraph" w:styleId="Encabezado">
    <w:name w:val="header"/>
    <w:basedOn w:val="Normal"/>
    <w:link w:val="EncabezadoCar"/>
    <w:uiPriority w:val="99"/>
    <w:unhideWhenUsed/>
    <w:rsid w:val="00C8397A"/>
    <w:pPr>
      <w:tabs>
        <w:tab w:val="center" w:pos="4419"/>
        <w:tab w:val="right" w:pos="8838"/>
      </w:tabs>
    </w:pPr>
  </w:style>
  <w:style w:type="character" w:customStyle="1" w:styleId="EncabezadoCar">
    <w:name w:val="Encabezado Car"/>
    <w:basedOn w:val="Fuentedeprrafopredeter"/>
    <w:link w:val="Encabezado"/>
    <w:uiPriority w:val="99"/>
    <w:rsid w:val="00C8397A"/>
    <w:rPr>
      <w:color w:val="000000"/>
    </w:rPr>
  </w:style>
  <w:style w:type="paragraph" w:styleId="Piedepgina">
    <w:name w:val="footer"/>
    <w:basedOn w:val="Normal"/>
    <w:link w:val="PiedepginaCar"/>
    <w:uiPriority w:val="99"/>
    <w:unhideWhenUsed/>
    <w:rsid w:val="00C8397A"/>
    <w:pPr>
      <w:tabs>
        <w:tab w:val="center" w:pos="4419"/>
        <w:tab w:val="right" w:pos="8838"/>
      </w:tabs>
    </w:pPr>
  </w:style>
  <w:style w:type="character" w:customStyle="1" w:styleId="PiedepginaCar">
    <w:name w:val="Pie de página Car"/>
    <w:basedOn w:val="Fuentedeprrafopredeter"/>
    <w:link w:val="Piedepgina"/>
    <w:uiPriority w:val="99"/>
    <w:rsid w:val="00C839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1422</Words>
  <Characters>7821</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2</cp:revision>
  <dcterms:created xsi:type="dcterms:W3CDTF">2020-12-10T19:56:00Z</dcterms:created>
  <dcterms:modified xsi:type="dcterms:W3CDTF">2020-12-10T19:56:00Z</dcterms:modified>
</cp:coreProperties>
</file>