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BA996" w14:textId="6C377901" w:rsidR="002900FD" w:rsidRPr="002900FD" w:rsidRDefault="002900FD" w:rsidP="002900FD">
      <w:pPr>
        <w:pStyle w:val="Sinespaciado"/>
        <w:jc w:val="both"/>
        <w:rPr>
          <w:rStyle w:val="Cuerpodeltexto1210ptoSinnegrita"/>
          <w:rFonts w:ascii="Verdana" w:hAnsi="Verdana"/>
          <w:sz w:val="24"/>
          <w:szCs w:val="24"/>
        </w:rPr>
      </w:pPr>
      <w:r w:rsidRPr="002900FD">
        <w:rPr>
          <w:rStyle w:val="Cuerpodeltexto1210ptoSinnegrita"/>
          <w:rFonts w:ascii="Verdana" w:hAnsi="Verdana"/>
          <w:sz w:val="24"/>
          <w:szCs w:val="24"/>
        </w:rPr>
        <w:t>CONCEPTO 1172 DEL 23 DE SEPTIEMBRE DE 2020</w:t>
      </w:r>
    </w:p>
    <w:p w14:paraId="272A1AAB" w14:textId="712A3107" w:rsidR="002900FD" w:rsidRPr="002900FD" w:rsidRDefault="002900FD" w:rsidP="002900FD">
      <w:pPr>
        <w:pStyle w:val="Sinespaciado"/>
        <w:jc w:val="both"/>
        <w:rPr>
          <w:rStyle w:val="Cuerpodeltexto1210ptoSinnegrita"/>
          <w:rFonts w:ascii="Verdana" w:hAnsi="Verdana"/>
          <w:sz w:val="24"/>
          <w:szCs w:val="24"/>
        </w:rPr>
      </w:pPr>
      <w:r w:rsidRPr="002900FD">
        <w:rPr>
          <w:rStyle w:val="Cuerpodeltexto1210ptoSinnegrita"/>
          <w:rFonts w:ascii="Verdana" w:hAnsi="Verdana"/>
          <w:sz w:val="24"/>
          <w:szCs w:val="24"/>
        </w:rPr>
        <w:t>DIRECCIÓN DE IMPUESTOS Y ADUANAS NACIONALES</w:t>
      </w:r>
    </w:p>
    <w:p w14:paraId="0304FF64" w14:textId="77777777" w:rsidR="002900FD" w:rsidRDefault="002900FD" w:rsidP="002900FD">
      <w:pPr>
        <w:pStyle w:val="Sinespaciado"/>
        <w:jc w:val="both"/>
        <w:rPr>
          <w:rStyle w:val="Cuerpodeltexto1210ptoSinnegrita"/>
          <w:rFonts w:ascii="Verdana" w:hAnsi="Verdana"/>
          <w:b w:val="0"/>
          <w:bCs w:val="0"/>
          <w:sz w:val="24"/>
          <w:szCs w:val="24"/>
        </w:rPr>
      </w:pPr>
    </w:p>
    <w:p w14:paraId="2941D830" w14:textId="21991533" w:rsidR="002900FD" w:rsidRDefault="002900FD" w:rsidP="002900FD">
      <w:pPr>
        <w:pStyle w:val="Sinespaciado"/>
        <w:jc w:val="both"/>
        <w:rPr>
          <w:rStyle w:val="Cuerpodeltexto1210ptoSinnegrita"/>
          <w:rFonts w:ascii="Verdana" w:hAnsi="Verdana"/>
          <w:b w:val="0"/>
          <w:bCs w:val="0"/>
          <w:sz w:val="24"/>
          <w:szCs w:val="24"/>
        </w:rPr>
      </w:pPr>
      <w:r>
        <w:rPr>
          <w:rStyle w:val="Cuerpodeltexto1210ptoSinnegrita"/>
          <w:rFonts w:ascii="Verdana" w:hAnsi="Verdana"/>
          <w:b w:val="0"/>
          <w:bCs w:val="0"/>
          <w:sz w:val="24"/>
          <w:szCs w:val="24"/>
        </w:rPr>
        <w:t>Bogotá, D.C.</w:t>
      </w:r>
    </w:p>
    <w:p w14:paraId="08CF0465" w14:textId="08E85962" w:rsidR="002900FD" w:rsidRDefault="002900FD" w:rsidP="002900FD">
      <w:pPr>
        <w:pStyle w:val="Sinespaciado"/>
        <w:jc w:val="both"/>
        <w:rPr>
          <w:rStyle w:val="Cuerpodeltexto1210ptoSinnegrita"/>
          <w:rFonts w:ascii="Verdana" w:hAnsi="Verdana"/>
          <w:b w:val="0"/>
          <w:bCs w:val="0"/>
          <w:sz w:val="24"/>
          <w:szCs w:val="24"/>
        </w:rPr>
      </w:pPr>
    </w:p>
    <w:p w14:paraId="54B9AB0A" w14:textId="703F3BC6" w:rsidR="002900FD" w:rsidRDefault="002900FD" w:rsidP="002900FD">
      <w:pPr>
        <w:pStyle w:val="Sinespaciado"/>
        <w:jc w:val="both"/>
        <w:rPr>
          <w:rStyle w:val="Cuerpodeltexto1210ptoSinnegrita"/>
          <w:rFonts w:ascii="Verdana" w:hAnsi="Verdana"/>
          <w:b w:val="0"/>
          <w:bCs w:val="0"/>
          <w:sz w:val="24"/>
          <w:szCs w:val="24"/>
        </w:rPr>
      </w:pPr>
      <w:r w:rsidRPr="002900FD">
        <w:rPr>
          <w:rStyle w:val="Cuerpodeltexto1210ptoSinnegrita"/>
          <w:rFonts w:ascii="Verdana" w:hAnsi="Verdana"/>
          <w:b w:val="0"/>
          <w:bCs w:val="0"/>
          <w:sz w:val="24"/>
          <w:szCs w:val="24"/>
        </w:rPr>
        <w:t>Ref: Radicado 100025245 del 27/03/2020</w:t>
      </w:r>
    </w:p>
    <w:p w14:paraId="12C9B80A" w14:textId="77777777" w:rsidR="002900FD" w:rsidRDefault="002900FD" w:rsidP="002900FD">
      <w:pPr>
        <w:pStyle w:val="Sinespaciado"/>
        <w:jc w:val="both"/>
        <w:rPr>
          <w:rStyle w:val="Cuerpodeltexto1210ptoSinnegrita"/>
          <w:rFonts w:ascii="Verdana" w:hAnsi="Verdana"/>
          <w:b w:val="0"/>
          <w:bCs w:val="0"/>
          <w:sz w:val="24"/>
          <w:szCs w:val="24"/>
        </w:rPr>
      </w:pPr>
    </w:p>
    <w:p w14:paraId="5F884799" w14:textId="24883684" w:rsidR="00343672" w:rsidRPr="002900FD" w:rsidRDefault="002900FD" w:rsidP="002900FD">
      <w:pPr>
        <w:pStyle w:val="Sinespaciado"/>
        <w:jc w:val="both"/>
        <w:rPr>
          <w:rFonts w:ascii="Verdana" w:hAnsi="Verdana"/>
        </w:rPr>
      </w:pPr>
      <w:r w:rsidRPr="002900FD">
        <w:rPr>
          <w:rStyle w:val="Cuerpodeltexto1210ptoSinnegrita"/>
          <w:rFonts w:ascii="Verdana" w:hAnsi="Verdana"/>
          <w:sz w:val="24"/>
          <w:szCs w:val="24"/>
        </w:rPr>
        <w:t>Fuentes formales</w:t>
      </w:r>
      <w:r>
        <w:rPr>
          <w:rStyle w:val="Cuerpodeltexto1210ptoSinnegrita"/>
          <w:rFonts w:ascii="Verdana" w:hAnsi="Verdana"/>
          <w:sz w:val="24"/>
          <w:szCs w:val="24"/>
        </w:rPr>
        <w:tab/>
      </w:r>
      <w:r w:rsidRPr="002900FD">
        <w:rPr>
          <w:rStyle w:val="Cuerpodeltexto1210ptoSinnegrita"/>
          <w:rFonts w:ascii="Verdana" w:hAnsi="Verdana"/>
          <w:b w:val="0"/>
          <w:bCs w:val="0"/>
          <w:sz w:val="24"/>
          <w:szCs w:val="24"/>
        </w:rPr>
        <w:t>Artículo 589 del Estatuto Tributario</w:t>
      </w:r>
    </w:p>
    <w:p w14:paraId="0A2F96B2" w14:textId="77777777" w:rsidR="00343672" w:rsidRPr="002900FD" w:rsidRDefault="002900FD" w:rsidP="002900FD">
      <w:pPr>
        <w:pStyle w:val="Sinespaciado"/>
        <w:ind w:left="2832"/>
        <w:jc w:val="both"/>
        <w:rPr>
          <w:rFonts w:ascii="Verdana" w:hAnsi="Verdana"/>
        </w:rPr>
      </w:pPr>
      <w:r w:rsidRPr="002900FD">
        <w:rPr>
          <w:rStyle w:val="Cuerpodeltexto1210ptoSinnegrita"/>
          <w:rFonts w:ascii="Verdana" w:hAnsi="Verdana"/>
          <w:b w:val="0"/>
          <w:bCs w:val="0"/>
          <w:sz w:val="24"/>
          <w:szCs w:val="24"/>
        </w:rPr>
        <w:t>Sentencia C-235 de 2019.</w:t>
      </w:r>
    </w:p>
    <w:p w14:paraId="511C0136" w14:textId="77777777" w:rsidR="002900FD" w:rsidRDefault="002900FD" w:rsidP="002900FD">
      <w:pPr>
        <w:pStyle w:val="Sinespaciado"/>
        <w:jc w:val="both"/>
        <w:rPr>
          <w:rStyle w:val="Cuerpodeltexto1210ptoSinnegrita"/>
          <w:rFonts w:ascii="Verdana" w:hAnsi="Verdana"/>
          <w:b w:val="0"/>
          <w:bCs w:val="0"/>
          <w:sz w:val="24"/>
          <w:szCs w:val="24"/>
        </w:rPr>
      </w:pPr>
    </w:p>
    <w:p w14:paraId="271D1CFB" w14:textId="3A632E84" w:rsidR="002900FD" w:rsidRDefault="002900FD" w:rsidP="002900FD">
      <w:pPr>
        <w:pStyle w:val="Sinespaciado"/>
        <w:jc w:val="both"/>
        <w:rPr>
          <w:rStyle w:val="Cuerpodeltexto1210ptoSinnegrita"/>
          <w:rFonts w:ascii="Verdana" w:hAnsi="Verdana"/>
          <w:b w:val="0"/>
          <w:bCs w:val="0"/>
          <w:sz w:val="24"/>
          <w:szCs w:val="24"/>
        </w:rPr>
      </w:pPr>
      <w:r>
        <w:rPr>
          <w:rStyle w:val="Cuerpodeltexto1210ptoSinnegrita"/>
          <w:rFonts w:ascii="Verdana" w:hAnsi="Verdana"/>
          <w:b w:val="0"/>
          <w:bCs w:val="0"/>
          <w:sz w:val="24"/>
          <w:szCs w:val="24"/>
        </w:rPr>
        <w:t>Cordial saludo,</w:t>
      </w:r>
    </w:p>
    <w:p w14:paraId="0F6927D1" w14:textId="77777777" w:rsidR="002900FD" w:rsidRDefault="002900FD" w:rsidP="002900FD">
      <w:pPr>
        <w:pStyle w:val="Sinespaciado"/>
        <w:jc w:val="both"/>
        <w:rPr>
          <w:rStyle w:val="Cuerpodeltexto1210ptoSinnegrita"/>
          <w:rFonts w:ascii="Verdana" w:hAnsi="Verdana"/>
          <w:b w:val="0"/>
          <w:bCs w:val="0"/>
          <w:sz w:val="24"/>
          <w:szCs w:val="24"/>
        </w:rPr>
      </w:pPr>
    </w:p>
    <w:p w14:paraId="2E815345" w14:textId="2FA44539" w:rsidR="00343672" w:rsidRPr="002900FD" w:rsidRDefault="002900FD" w:rsidP="002900FD">
      <w:pPr>
        <w:pStyle w:val="Sinespaciado"/>
        <w:jc w:val="both"/>
        <w:rPr>
          <w:rFonts w:ascii="Verdana" w:hAnsi="Verdana"/>
        </w:rPr>
      </w:pPr>
      <w:r w:rsidRPr="002900FD">
        <w:rPr>
          <w:rStyle w:val="Cuerpodeltexto1210ptoSinnegrita"/>
          <w:rFonts w:ascii="Verdana" w:hAnsi="Verdana"/>
          <w:b w:val="0"/>
          <w:bCs w:val="0"/>
          <w:sz w:val="24"/>
          <w:szCs w:val="24"/>
        </w:rPr>
        <w:t>De conformidad con el artículo 20 del Decreto 4048 de 2008, este Despacho está facultado para absolver las consultas escritas que se formulen sobre la interpretación y aplicación de las normas tributarias, aduaneras y cambiar</w:t>
      </w:r>
      <w:r>
        <w:rPr>
          <w:rStyle w:val="Cuerpodeltexto1210ptoSinnegrita"/>
          <w:rFonts w:ascii="Verdana" w:hAnsi="Verdana"/>
          <w:b w:val="0"/>
          <w:bCs w:val="0"/>
          <w:sz w:val="24"/>
          <w:szCs w:val="24"/>
        </w:rPr>
        <w:t>i</w:t>
      </w:r>
      <w:r w:rsidRPr="002900FD">
        <w:rPr>
          <w:rStyle w:val="Cuerpodeltexto1210ptoSinnegrita"/>
          <w:rFonts w:ascii="Verdana" w:hAnsi="Verdana"/>
          <w:b w:val="0"/>
          <w:bCs w:val="0"/>
          <w:sz w:val="24"/>
          <w:szCs w:val="24"/>
        </w:rPr>
        <w:t>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467F867E" w14:textId="77777777" w:rsidR="002900FD" w:rsidRDefault="002900FD" w:rsidP="002900FD">
      <w:pPr>
        <w:pStyle w:val="Sinespaciado"/>
        <w:jc w:val="both"/>
        <w:rPr>
          <w:rStyle w:val="Cuerpodeltexto1210ptoSinnegrita"/>
          <w:rFonts w:ascii="Verdana" w:hAnsi="Verdana"/>
          <w:b w:val="0"/>
          <w:bCs w:val="0"/>
          <w:sz w:val="24"/>
          <w:szCs w:val="24"/>
        </w:rPr>
      </w:pPr>
    </w:p>
    <w:p w14:paraId="326440E7" w14:textId="4C006716" w:rsidR="00343672" w:rsidRPr="002900FD" w:rsidRDefault="002900FD" w:rsidP="002900FD">
      <w:pPr>
        <w:pStyle w:val="Sinespaciado"/>
        <w:jc w:val="both"/>
        <w:rPr>
          <w:rFonts w:ascii="Verdana" w:hAnsi="Verdana"/>
        </w:rPr>
      </w:pPr>
      <w:r w:rsidRPr="002900FD">
        <w:rPr>
          <w:rStyle w:val="Cuerpodeltexto1210ptoSinnegrita"/>
          <w:rFonts w:ascii="Verdana" w:hAnsi="Verdana"/>
          <w:b w:val="0"/>
          <w:bCs w:val="0"/>
          <w:sz w:val="24"/>
          <w:szCs w:val="24"/>
        </w:rPr>
        <w:t>Mediante el radicado de la referencia, la peticionaria solicita, en virtud de la Sentencia C-235 de 2019, que se le indique cómo se solicita la devolución del pago de lo no debido en la declaración del impuesto sobre la renta y complementarios del año gravable 2017.</w:t>
      </w:r>
    </w:p>
    <w:p w14:paraId="23E07034" w14:textId="77777777" w:rsidR="002900FD" w:rsidRDefault="002900FD" w:rsidP="002900FD">
      <w:pPr>
        <w:pStyle w:val="Sinespaciado"/>
        <w:jc w:val="both"/>
        <w:rPr>
          <w:rStyle w:val="Cuerpodeltexto1210ptoSinnegrita"/>
          <w:rFonts w:ascii="Verdana" w:hAnsi="Verdana"/>
          <w:b w:val="0"/>
          <w:bCs w:val="0"/>
          <w:sz w:val="24"/>
          <w:szCs w:val="24"/>
        </w:rPr>
      </w:pPr>
    </w:p>
    <w:p w14:paraId="4B1AB8A8" w14:textId="25575EE6" w:rsidR="00343672" w:rsidRPr="002900FD" w:rsidRDefault="002900FD" w:rsidP="002900FD">
      <w:pPr>
        <w:pStyle w:val="Sinespaciado"/>
        <w:jc w:val="both"/>
        <w:rPr>
          <w:rFonts w:ascii="Verdana" w:hAnsi="Verdana"/>
        </w:rPr>
      </w:pPr>
      <w:r w:rsidRPr="002900FD">
        <w:rPr>
          <w:rStyle w:val="Cuerpodeltexto1210ptoSinnegrita"/>
          <w:rFonts w:ascii="Verdana" w:hAnsi="Verdana"/>
          <w:b w:val="0"/>
          <w:bCs w:val="0"/>
          <w:sz w:val="24"/>
          <w:szCs w:val="24"/>
        </w:rPr>
        <w:t>Sobre el particular, las consideraciones de este Despacho son las siguientes:</w:t>
      </w:r>
    </w:p>
    <w:p w14:paraId="6C2B26AB" w14:textId="77777777" w:rsidR="002900FD" w:rsidRDefault="002900FD" w:rsidP="002900FD">
      <w:pPr>
        <w:pStyle w:val="Sinespaciado"/>
        <w:jc w:val="both"/>
        <w:rPr>
          <w:rStyle w:val="Cuerpodeltexto1210ptoSinnegrita"/>
          <w:rFonts w:ascii="Verdana" w:hAnsi="Verdana"/>
          <w:b w:val="0"/>
          <w:bCs w:val="0"/>
          <w:sz w:val="24"/>
          <w:szCs w:val="24"/>
        </w:rPr>
      </w:pPr>
    </w:p>
    <w:p w14:paraId="5B2ADD98" w14:textId="743D3BC7" w:rsidR="00343672" w:rsidRPr="002900FD" w:rsidRDefault="002900FD" w:rsidP="002900FD">
      <w:pPr>
        <w:pStyle w:val="Sinespaciado"/>
        <w:jc w:val="both"/>
        <w:rPr>
          <w:rFonts w:ascii="Verdana" w:hAnsi="Verdana"/>
        </w:rPr>
      </w:pPr>
      <w:r w:rsidRPr="002900FD">
        <w:rPr>
          <w:rStyle w:val="Cuerpodeltexto1210ptoSinnegrita"/>
          <w:rFonts w:ascii="Verdana" w:hAnsi="Verdana"/>
          <w:b w:val="0"/>
          <w:bCs w:val="0"/>
          <w:sz w:val="24"/>
          <w:szCs w:val="24"/>
        </w:rPr>
        <w:t>El Concepto 100202208-1318 del 29 de noviembre de 2019 de la Dirección de Gestión Jurídica de la DIAN contiene la doctrina oficial sobre este asunto. En efecto, dicho concepto resuelve el siguiente interrogante:</w:t>
      </w:r>
    </w:p>
    <w:p w14:paraId="557187AD" w14:textId="77777777" w:rsidR="002900FD" w:rsidRDefault="002900FD" w:rsidP="002900FD">
      <w:pPr>
        <w:pStyle w:val="Sinespaciado"/>
        <w:jc w:val="both"/>
        <w:rPr>
          <w:rStyle w:val="Cuerpodeltexto4010ptoSincursiva"/>
          <w:rFonts w:ascii="Verdana" w:hAnsi="Verdana"/>
          <w:i w:val="0"/>
          <w:iCs w:val="0"/>
          <w:sz w:val="24"/>
          <w:szCs w:val="24"/>
        </w:rPr>
      </w:pPr>
    </w:p>
    <w:p w14:paraId="168404E3" w14:textId="6308584D" w:rsidR="00343672" w:rsidRPr="002900FD" w:rsidRDefault="002900FD" w:rsidP="002900FD">
      <w:pPr>
        <w:pStyle w:val="Sinespaciado"/>
        <w:ind w:left="708"/>
        <w:jc w:val="both"/>
        <w:rPr>
          <w:rFonts w:ascii="Verdana" w:hAnsi="Verdana"/>
        </w:rPr>
      </w:pPr>
      <w:r>
        <w:rPr>
          <w:rStyle w:val="Cuerpodeltexto4010ptoSincursiva"/>
          <w:rFonts w:ascii="Verdana" w:hAnsi="Verdana"/>
          <w:sz w:val="22"/>
          <w:szCs w:val="22"/>
        </w:rPr>
        <w:t>“I</w:t>
      </w:r>
      <w:r w:rsidRPr="002900FD">
        <w:rPr>
          <w:rStyle w:val="Cuerpodeltexto4010ptoSincursiva"/>
          <w:rFonts w:ascii="Verdana" w:hAnsi="Verdana"/>
          <w:sz w:val="22"/>
          <w:szCs w:val="22"/>
        </w:rPr>
        <w:t xml:space="preserve">. </w:t>
      </w:r>
      <w:r w:rsidRPr="002900FD">
        <w:rPr>
          <w:rStyle w:val="Cuerpodeltexto401"/>
          <w:rFonts w:ascii="Verdana" w:hAnsi="Verdana"/>
          <w:sz w:val="22"/>
          <w:szCs w:val="22"/>
        </w:rPr>
        <w:t>Con referencia a las declaraciones tributarias correspondientes a los años 2017</w:t>
      </w:r>
      <w:r w:rsidRPr="002900FD">
        <w:rPr>
          <w:rFonts w:ascii="Verdana" w:hAnsi="Verdana"/>
          <w:sz w:val="22"/>
          <w:szCs w:val="22"/>
        </w:rPr>
        <w:t xml:space="preserve"> </w:t>
      </w:r>
      <w:r w:rsidRPr="002900FD">
        <w:rPr>
          <w:rFonts w:ascii="Verdana" w:hAnsi="Verdana"/>
          <w:i/>
          <w:iCs/>
          <w:sz w:val="22"/>
          <w:szCs w:val="22"/>
        </w:rPr>
        <w:t>y 2018</w:t>
      </w:r>
      <w:r w:rsidRPr="002900FD">
        <w:rPr>
          <w:rFonts w:ascii="Verdana" w:hAnsi="Verdana"/>
          <w:sz w:val="22"/>
          <w:szCs w:val="22"/>
        </w:rPr>
        <w:t xml:space="preserve"> </w:t>
      </w:r>
      <w:r w:rsidRPr="002900FD">
        <w:rPr>
          <w:rStyle w:val="Cuerpodeltexto401"/>
          <w:rFonts w:ascii="Verdana" w:hAnsi="Verdana"/>
          <w:sz w:val="22"/>
          <w:szCs w:val="22"/>
        </w:rPr>
        <w:t>cómo sería la forma adecuada para que la entidad proceda a la devolución de los dineros pagados en exceso</w:t>
      </w:r>
      <w:r w:rsidRPr="002900FD">
        <w:rPr>
          <w:rStyle w:val="Cuerpodeltexto401"/>
          <w:rFonts w:ascii="Verdana" w:hAnsi="Verdana"/>
          <w:sz w:val="22"/>
          <w:szCs w:val="22"/>
          <w:u w:val="none"/>
        </w:rPr>
        <w:t>,</w:t>
      </w:r>
      <w:r w:rsidRPr="002900FD">
        <w:rPr>
          <w:rFonts w:ascii="Verdana" w:hAnsi="Verdana"/>
          <w:sz w:val="22"/>
          <w:szCs w:val="22"/>
        </w:rPr>
        <w:t xml:space="preserve"> </w:t>
      </w:r>
      <w:r w:rsidRPr="002900FD">
        <w:rPr>
          <w:rFonts w:ascii="Verdana" w:hAnsi="Verdana"/>
          <w:i/>
          <w:iCs/>
          <w:sz w:val="22"/>
          <w:szCs w:val="22"/>
        </w:rPr>
        <w:t>los que ante la modulación de la ley hecha por la H. Corte Constitucional en su sentencia,</w:t>
      </w:r>
      <w:r w:rsidRPr="002900FD">
        <w:rPr>
          <w:rFonts w:ascii="Verdana" w:hAnsi="Verdana"/>
          <w:sz w:val="22"/>
          <w:szCs w:val="22"/>
        </w:rPr>
        <w:t xml:space="preserve"> </w:t>
      </w:r>
      <w:r w:rsidRPr="002900FD">
        <w:rPr>
          <w:rStyle w:val="Cuerpodeltexto401"/>
          <w:rFonts w:ascii="Verdana" w:hAnsi="Verdana"/>
          <w:sz w:val="22"/>
          <w:szCs w:val="22"/>
        </w:rPr>
        <w:t>se convierten en pago de lo no debido</w:t>
      </w:r>
      <w:r w:rsidRPr="002900FD">
        <w:rPr>
          <w:rFonts w:ascii="Verdana" w:hAnsi="Verdana"/>
          <w:sz w:val="22"/>
          <w:szCs w:val="22"/>
        </w:rPr>
        <w:t xml:space="preserve">, </w:t>
      </w:r>
      <w:r w:rsidRPr="002900FD">
        <w:rPr>
          <w:rFonts w:ascii="Verdana" w:hAnsi="Verdana"/>
          <w:i/>
          <w:iCs/>
          <w:sz w:val="22"/>
          <w:szCs w:val="22"/>
        </w:rPr>
        <w:t>indicar por favor la forma correcta de aplicar esta sentencia sin que ello afecte el pago de los tributos territoriales u otros, según lo estipulado en el artículo 585 del Estatuto Tributario,</w:t>
      </w:r>
      <w:r w:rsidRPr="002900FD">
        <w:rPr>
          <w:rFonts w:ascii="Verdana" w:hAnsi="Verdana"/>
          <w:sz w:val="22"/>
          <w:szCs w:val="22"/>
        </w:rPr>
        <w:t xml:space="preserve"> </w:t>
      </w:r>
      <w:r w:rsidRPr="002900FD">
        <w:rPr>
          <w:rStyle w:val="Cuerpodeltexto401"/>
          <w:rFonts w:ascii="Verdana" w:hAnsi="Verdana"/>
          <w:sz w:val="22"/>
          <w:szCs w:val="22"/>
        </w:rPr>
        <w:t>especialmente en lo atinente</w:t>
      </w:r>
      <w:r w:rsidRPr="002900FD">
        <w:rPr>
          <w:rStyle w:val="Cuerpodeltexto4010ptoSincursiva0"/>
          <w:rFonts w:ascii="Verdana" w:hAnsi="Verdana"/>
          <w:sz w:val="22"/>
          <w:szCs w:val="22"/>
        </w:rPr>
        <w:t xml:space="preserve"> a </w:t>
      </w:r>
      <w:r w:rsidRPr="002900FD">
        <w:rPr>
          <w:rStyle w:val="Cuerpodeltexto401"/>
          <w:rFonts w:ascii="Verdana" w:hAnsi="Verdana"/>
          <w:sz w:val="22"/>
          <w:szCs w:val="22"/>
        </w:rPr>
        <w:t>las declaraciones de 2017 que a la fecha va tienen más de un año de haber sido presentadas</w:t>
      </w:r>
      <w:r w:rsidRPr="002900FD">
        <w:rPr>
          <w:rFonts w:ascii="Verdana" w:hAnsi="Verdana"/>
          <w:sz w:val="22"/>
          <w:szCs w:val="22"/>
        </w:rPr>
        <w:t>.”</w:t>
      </w:r>
    </w:p>
    <w:p w14:paraId="29832F95" w14:textId="77777777" w:rsidR="002900FD" w:rsidRDefault="002900FD" w:rsidP="002900FD">
      <w:pPr>
        <w:pStyle w:val="Sinespaciado"/>
        <w:jc w:val="both"/>
        <w:rPr>
          <w:rStyle w:val="Cuerpodeltexto1210ptoSinnegrita"/>
          <w:rFonts w:ascii="Verdana" w:hAnsi="Verdana"/>
          <w:b w:val="0"/>
          <w:bCs w:val="0"/>
          <w:sz w:val="24"/>
          <w:szCs w:val="24"/>
        </w:rPr>
      </w:pPr>
    </w:p>
    <w:p w14:paraId="61BC24D2" w14:textId="52307EF4" w:rsidR="00343672" w:rsidRPr="002900FD" w:rsidRDefault="002900FD" w:rsidP="002900FD">
      <w:pPr>
        <w:pStyle w:val="Sinespaciado"/>
        <w:jc w:val="both"/>
        <w:rPr>
          <w:rFonts w:ascii="Verdana" w:hAnsi="Verdana"/>
        </w:rPr>
      </w:pPr>
      <w:r w:rsidRPr="002900FD">
        <w:rPr>
          <w:rStyle w:val="Cuerpodeltexto1210ptoSinnegrita"/>
          <w:rFonts w:ascii="Verdana" w:hAnsi="Verdana"/>
          <w:b w:val="0"/>
          <w:bCs w:val="0"/>
          <w:sz w:val="24"/>
          <w:szCs w:val="24"/>
        </w:rPr>
        <w:t xml:space="preserve">Respecto a la anterior inquietud, el Concepto 100202208-1318 del 29 de </w:t>
      </w:r>
      <w:r w:rsidRPr="002900FD">
        <w:rPr>
          <w:rStyle w:val="Cuerpodeltexto1210ptoSinnegrita"/>
          <w:rFonts w:ascii="Verdana" w:hAnsi="Verdana"/>
          <w:b w:val="0"/>
          <w:bCs w:val="0"/>
          <w:sz w:val="24"/>
          <w:szCs w:val="24"/>
        </w:rPr>
        <w:lastRenderedPageBreak/>
        <w:t>noviembre de 2019 concluyó:</w:t>
      </w:r>
    </w:p>
    <w:p w14:paraId="301875C3" w14:textId="77777777" w:rsidR="002900FD" w:rsidRDefault="002900FD" w:rsidP="002900FD">
      <w:pPr>
        <w:pStyle w:val="Sinespaciado"/>
        <w:jc w:val="both"/>
        <w:rPr>
          <w:rFonts w:ascii="Verdana" w:hAnsi="Verdana"/>
        </w:rPr>
      </w:pPr>
    </w:p>
    <w:p w14:paraId="6C77DCEB" w14:textId="77777777" w:rsidR="002900FD" w:rsidRDefault="002900FD" w:rsidP="002900FD">
      <w:pPr>
        <w:pStyle w:val="Sinespaciado"/>
        <w:ind w:left="708"/>
        <w:jc w:val="both"/>
        <w:rPr>
          <w:rFonts w:ascii="Verdana" w:hAnsi="Verdana"/>
          <w:i/>
          <w:iCs/>
          <w:sz w:val="22"/>
          <w:szCs w:val="22"/>
        </w:rPr>
      </w:pPr>
      <w:r w:rsidRPr="002900FD">
        <w:rPr>
          <w:rFonts w:ascii="Verdana" w:hAnsi="Verdana"/>
          <w:i/>
          <w:iCs/>
          <w:sz w:val="22"/>
          <w:szCs w:val="22"/>
        </w:rPr>
        <w:t xml:space="preserve">“1.3. En esta medida, </w:t>
      </w:r>
      <w:r w:rsidRPr="002900FD">
        <w:rPr>
          <w:rStyle w:val="Cuerpodeltexto401"/>
          <w:rFonts w:ascii="Verdana" w:hAnsi="Verdana"/>
          <w:sz w:val="22"/>
          <w:szCs w:val="22"/>
        </w:rPr>
        <w:t xml:space="preserve">es preciso señalar que las declaraciones del impuesto sobre la renta </w:t>
      </w:r>
      <w:r>
        <w:rPr>
          <w:rStyle w:val="Cuerpodeltexto401"/>
          <w:rFonts w:ascii="Verdana" w:hAnsi="Verdana"/>
          <w:sz w:val="22"/>
          <w:szCs w:val="22"/>
        </w:rPr>
        <w:t>y</w:t>
      </w:r>
      <w:r w:rsidRPr="002900FD">
        <w:rPr>
          <w:rStyle w:val="Cuerpodeltexto401"/>
          <w:rFonts w:ascii="Verdana" w:hAnsi="Verdana"/>
          <w:sz w:val="22"/>
          <w:szCs w:val="22"/>
        </w:rPr>
        <w:t xml:space="preserve"> complementarios de los periodos 2017</w:t>
      </w:r>
      <w:r w:rsidRPr="002900FD">
        <w:rPr>
          <w:rFonts w:ascii="Verdana" w:hAnsi="Verdana"/>
          <w:i/>
          <w:iCs/>
          <w:sz w:val="22"/>
          <w:szCs w:val="22"/>
        </w:rPr>
        <w:t xml:space="preserve"> y 2018 </w:t>
      </w:r>
      <w:r w:rsidRPr="002900FD">
        <w:rPr>
          <w:rStyle w:val="Cuerpodeltexto401"/>
          <w:rFonts w:ascii="Verdana" w:hAnsi="Verdana"/>
          <w:sz w:val="22"/>
          <w:szCs w:val="22"/>
        </w:rPr>
        <w:t>podrán verse afectadas por la decisión adoptada por la Corte Constitucional en la Sentencia C-235 de 2019</w:t>
      </w:r>
      <w:r w:rsidRPr="002900FD">
        <w:rPr>
          <w:rStyle w:val="Cuerpodeltexto401"/>
          <w:rFonts w:ascii="Verdana" w:hAnsi="Verdana"/>
          <w:sz w:val="22"/>
          <w:szCs w:val="22"/>
          <w:u w:val="none"/>
        </w:rPr>
        <w:t>,</w:t>
      </w:r>
      <w:r w:rsidRPr="002900FD">
        <w:rPr>
          <w:rFonts w:ascii="Verdana" w:hAnsi="Verdana"/>
          <w:i/>
          <w:iCs/>
          <w:sz w:val="22"/>
          <w:szCs w:val="22"/>
        </w:rPr>
        <w:t xml:space="preserve"> ya que respecto a las mismas era</w:t>
      </w:r>
      <w:r>
        <w:rPr>
          <w:rFonts w:ascii="Verdana" w:hAnsi="Verdana"/>
          <w:i/>
          <w:iCs/>
          <w:sz w:val="22"/>
          <w:szCs w:val="22"/>
        </w:rPr>
        <w:t xml:space="preserve"> </w:t>
      </w:r>
      <w:r w:rsidRPr="002900FD">
        <w:rPr>
          <w:rFonts w:ascii="Verdana" w:hAnsi="Verdana"/>
          <w:i/>
          <w:iCs/>
          <w:sz w:val="22"/>
          <w:szCs w:val="22"/>
        </w:rPr>
        <w:t>aplicable el beneficio tributario correspondiente para aquellos contribuyentes que consolidaron una situación jurídica.</w:t>
      </w:r>
    </w:p>
    <w:p w14:paraId="6CC64DD6" w14:textId="77777777" w:rsidR="002900FD" w:rsidRDefault="002900FD" w:rsidP="002900FD">
      <w:pPr>
        <w:pStyle w:val="Sinespaciado"/>
        <w:ind w:left="708"/>
        <w:jc w:val="both"/>
        <w:rPr>
          <w:rFonts w:ascii="Verdana" w:hAnsi="Verdana"/>
          <w:i/>
          <w:iCs/>
          <w:sz w:val="22"/>
          <w:szCs w:val="22"/>
        </w:rPr>
      </w:pPr>
    </w:p>
    <w:p w14:paraId="0B7F9C0C" w14:textId="4CF3DBFA" w:rsidR="00343672" w:rsidRPr="002900FD" w:rsidRDefault="002900FD" w:rsidP="002900FD">
      <w:pPr>
        <w:pStyle w:val="Sinespaciado"/>
        <w:ind w:left="708"/>
        <w:jc w:val="both"/>
        <w:rPr>
          <w:rFonts w:ascii="Verdana" w:hAnsi="Verdana"/>
          <w:sz w:val="22"/>
          <w:szCs w:val="22"/>
        </w:rPr>
      </w:pPr>
      <w:r w:rsidRPr="002900FD">
        <w:rPr>
          <w:rFonts w:ascii="Verdana" w:hAnsi="Verdana"/>
          <w:i/>
          <w:iCs/>
          <w:sz w:val="22"/>
          <w:szCs w:val="22"/>
        </w:rPr>
        <w:t xml:space="preserve">1.4. </w:t>
      </w:r>
      <w:r w:rsidRPr="002900FD">
        <w:rPr>
          <w:rStyle w:val="Cuerpodeltexto21"/>
          <w:rFonts w:ascii="Verdana" w:hAnsi="Verdana"/>
          <w:sz w:val="22"/>
          <w:szCs w:val="22"/>
        </w:rPr>
        <w:t>Respecto a las devoluciones por el pago de lo no debido a las cuales haya lugar, el concepto citado aclara que los contribuyentes deberán seguir el procedimiento establecido en el artículo 589 del Estatuto Tributario</w:t>
      </w:r>
      <w:r w:rsidRPr="002900FD">
        <w:rPr>
          <w:rFonts w:ascii="Verdana" w:hAnsi="Verdana"/>
          <w:sz w:val="22"/>
          <w:szCs w:val="22"/>
        </w:rPr>
        <w:t xml:space="preserve"> </w:t>
      </w:r>
      <w:r w:rsidRPr="002900FD">
        <w:rPr>
          <w:rFonts w:ascii="Verdana" w:hAnsi="Verdana"/>
          <w:i/>
          <w:iCs/>
          <w:sz w:val="22"/>
          <w:szCs w:val="22"/>
        </w:rPr>
        <w:t>(en adelante "E.T.</w:t>
      </w:r>
      <w:r>
        <w:rPr>
          <w:rFonts w:ascii="Verdana" w:hAnsi="Verdana"/>
          <w:i/>
          <w:iCs/>
          <w:sz w:val="22"/>
          <w:szCs w:val="22"/>
        </w:rPr>
        <w:t>”)</w:t>
      </w:r>
      <w:r w:rsidRPr="002900FD">
        <w:rPr>
          <w:rFonts w:ascii="Verdana" w:hAnsi="Verdana"/>
          <w:i/>
          <w:iCs/>
          <w:sz w:val="22"/>
          <w:szCs w:val="22"/>
        </w:rPr>
        <w:t>, y demás normas que lo modifiquen adicionen, sustituyan, reglamenten o complementen.</w:t>
      </w:r>
      <w:r w:rsidRPr="002900FD">
        <w:rPr>
          <w:rFonts w:ascii="Verdana" w:hAnsi="Verdana"/>
          <w:sz w:val="22"/>
          <w:szCs w:val="22"/>
        </w:rPr>
        <w:t xml:space="preserve"> </w:t>
      </w:r>
      <w:r w:rsidRPr="002900FD">
        <w:rPr>
          <w:rStyle w:val="Cuerpodeltexto21"/>
          <w:rFonts w:ascii="Verdana" w:hAnsi="Verdana"/>
          <w:sz w:val="22"/>
          <w:szCs w:val="22"/>
        </w:rPr>
        <w:t>Adicionalmente, es necesario precisar que lo anterior estará supeditado al pago de parafiscales a que haya lugar</w:t>
      </w:r>
      <w:r w:rsidRPr="002900FD">
        <w:rPr>
          <w:rFonts w:ascii="Verdana" w:hAnsi="Verdana"/>
          <w:sz w:val="22"/>
          <w:szCs w:val="22"/>
        </w:rPr>
        <w:t>.”</w:t>
      </w:r>
    </w:p>
    <w:p w14:paraId="4DA6E5BD" w14:textId="77777777" w:rsidR="002900FD" w:rsidRDefault="002900FD" w:rsidP="002900FD">
      <w:pPr>
        <w:pStyle w:val="Sinespaciado"/>
        <w:jc w:val="both"/>
        <w:rPr>
          <w:rFonts w:ascii="Verdana" w:hAnsi="Verdana"/>
        </w:rPr>
      </w:pPr>
    </w:p>
    <w:p w14:paraId="39923966" w14:textId="424AE102" w:rsidR="00343672" w:rsidRPr="002900FD" w:rsidRDefault="002900FD" w:rsidP="002900FD">
      <w:pPr>
        <w:pStyle w:val="Sinespaciado"/>
        <w:jc w:val="both"/>
        <w:rPr>
          <w:rFonts w:ascii="Verdana" w:hAnsi="Verdana"/>
        </w:rPr>
      </w:pPr>
      <w:r w:rsidRPr="002900FD">
        <w:rPr>
          <w:rFonts w:ascii="Verdana" w:hAnsi="Verdana"/>
        </w:rPr>
        <w:t>Así las cosas, y con base en las consideraciones del Concepto 100202208-1318 del 29 de noviembre de 2019, se concluye que, respecto a las devoluciones del pago de lo no debido con ocasión de los efectos de la Sentencia C-235 de 2019, se deberá seguir el procedimiento establecido en el artículo 589 del Estatuto Tributario.</w:t>
      </w:r>
    </w:p>
    <w:p w14:paraId="2008458E" w14:textId="77777777" w:rsidR="002900FD" w:rsidRDefault="002900FD" w:rsidP="002900FD">
      <w:pPr>
        <w:pStyle w:val="Sinespaciado"/>
        <w:jc w:val="both"/>
        <w:rPr>
          <w:rFonts w:ascii="Verdana" w:hAnsi="Verdana"/>
        </w:rPr>
      </w:pPr>
    </w:p>
    <w:p w14:paraId="39B0CB02" w14:textId="16C85F9A" w:rsidR="00343672" w:rsidRPr="002900FD" w:rsidRDefault="002900FD" w:rsidP="002900FD">
      <w:pPr>
        <w:pStyle w:val="Sinespaciado"/>
        <w:jc w:val="both"/>
        <w:rPr>
          <w:rFonts w:ascii="Verdana" w:hAnsi="Verdana"/>
        </w:rPr>
      </w:pPr>
      <w:r w:rsidRPr="002900FD">
        <w:rPr>
          <w:rFonts w:ascii="Verdana" w:hAnsi="Verdana"/>
        </w:rPr>
        <w:t>De igual manera, se debe resaltar que lo anterior está supeditado al pago de los parafiscales a que haya lugar, según el numeral 1.4 y el punto 2 del Concepto 100202208-1318 del 29 de noviembre de 2019.</w:t>
      </w:r>
    </w:p>
    <w:p w14:paraId="3DFBD4C7" w14:textId="77777777" w:rsidR="002900FD" w:rsidRDefault="002900FD" w:rsidP="002900FD">
      <w:pPr>
        <w:pStyle w:val="Sinespaciado"/>
        <w:jc w:val="both"/>
        <w:rPr>
          <w:rFonts w:ascii="Verdana" w:hAnsi="Verdana"/>
        </w:rPr>
      </w:pPr>
    </w:p>
    <w:p w14:paraId="4E68D41B" w14:textId="69B94EED" w:rsidR="00343672" w:rsidRPr="002900FD" w:rsidRDefault="002900FD" w:rsidP="002900FD">
      <w:pPr>
        <w:pStyle w:val="Sinespaciado"/>
        <w:jc w:val="both"/>
        <w:rPr>
          <w:rFonts w:ascii="Verdana" w:hAnsi="Verdana"/>
        </w:rPr>
      </w:pPr>
      <w:r w:rsidRPr="002900FD">
        <w:rPr>
          <w:rFonts w:ascii="Verdana" w:hAnsi="Verdana"/>
        </w:rPr>
        <w:t xml:space="preserve">En los anteriores términos se resuelve su solicitud y finalmente le manifestamos que la Dirección de Impuestos y Aduanas Nacionales-DIAN-, con el fin de facilitar a los contribuyentes, usuarios y público en general el acceso directo a sus pronunciamientos doctrinarios, ha publicado en su página de internet </w:t>
      </w:r>
      <w:r w:rsidRPr="002900FD">
        <w:rPr>
          <w:rStyle w:val="Cuerpodeltexto51"/>
          <w:rFonts w:ascii="Verdana" w:eastAsia="Microsoft Sans Serif" w:hAnsi="Verdana" w:cs="Microsoft Sans Serif"/>
          <w:sz w:val="24"/>
          <w:szCs w:val="24"/>
          <w:lang w:val="es-ES" w:eastAsia="es-ES" w:bidi="es-ES"/>
        </w:rPr>
        <w:t>www.dian.gov.co</w:t>
      </w:r>
      <w:r w:rsidRPr="002900FD">
        <w:rPr>
          <w:rFonts w:ascii="Verdana" w:hAnsi="Verdana"/>
          <w:lang w:val="en-US" w:eastAsia="en-US" w:bidi="en-US"/>
        </w:rPr>
        <w:t xml:space="preserve">. </w:t>
      </w:r>
      <w:r w:rsidRPr="002900FD">
        <w:rPr>
          <w:rFonts w:ascii="Verdana" w:hAnsi="Verdana"/>
        </w:rPr>
        <w:t>la base de conceptos en materia tributaria, aduanera y cambiar</w:t>
      </w:r>
      <w:r>
        <w:rPr>
          <w:rFonts w:ascii="Verdana" w:hAnsi="Verdana"/>
        </w:rPr>
        <w:t>ia</w:t>
      </w:r>
      <w:r w:rsidRPr="002900FD">
        <w:rPr>
          <w:rFonts w:ascii="Verdana" w:hAnsi="Verdana"/>
        </w:rPr>
        <w:t xml:space="preserve"> expedidos desde el año 2001, la cual se puede ingresar por el icono de “Normatividad” -</w:t>
      </w:r>
      <w:r>
        <w:rPr>
          <w:rFonts w:ascii="Verdana" w:hAnsi="Verdana"/>
        </w:rPr>
        <w:t xml:space="preserve"> </w:t>
      </w:r>
      <w:r w:rsidRPr="002900FD">
        <w:rPr>
          <w:rFonts w:ascii="Verdana" w:hAnsi="Verdana"/>
        </w:rPr>
        <w:t>“técnica”-, dando click en el link “Doctrina Dirección de Gestión Jurídica”.</w:t>
      </w:r>
    </w:p>
    <w:p w14:paraId="601D5C8F" w14:textId="77777777" w:rsidR="002900FD" w:rsidRDefault="002900FD" w:rsidP="002900FD">
      <w:pPr>
        <w:pStyle w:val="Sinespaciado"/>
        <w:jc w:val="both"/>
        <w:rPr>
          <w:rFonts w:ascii="Verdana" w:hAnsi="Verdana"/>
        </w:rPr>
      </w:pPr>
    </w:p>
    <w:p w14:paraId="16521D4F" w14:textId="77777777" w:rsidR="002900FD" w:rsidRDefault="002900FD" w:rsidP="002900FD">
      <w:pPr>
        <w:pStyle w:val="Sinespaciado"/>
        <w:jc w:val="both"/>
        <w:rPr>
          <w:rFonts w:ascii="Verdana" w:hAnsi="Verdana"/>
        </w:rPr>
      </w:pPr>
    </w:p>
    <w:p w14:paraId="269DFB7C" w14:textId="59185A6E" w:rsidR="00343672" w:rsidRPr="002900FD" w:rsidRDefault="002900FD" w:rsidP="002900FD">
      <w:pPr>
        <w:pStyle w:val="Sinespaciado"/>
        <w:jc w:val="both"/>
        <w:rPr>
          <w:rFonts w:ascii="Verdana" w:hAnsi="Verdana"/>
        </w:rPr>
      </w:pPr>
      <w:r w:rsidRPr="002900FD">
        <w:rPr>
          <w:rFonts w:ascii="Verdana" w:hAnsi="Verdana"/>
        </w:rPr>
        <w:t>Atentamente,</w:t>
      </w:r>
    </w:p>
    <w:p w14:paraId="1AD11B8E" w14:textId="77777777" w:rsidR="002900FD" w:rsidRDefault="002900FD" w:rsidP="002900FD">
      <w:pPr>
        <w:pStyle w:val="Sinespaciado"/>
        <w:jc w:val="both"/>
        <w:rPr>
          <w:rFonts w:ascii="Verdana" w:hAnsi="Verdana"/>
        </w:rPr>
      </w:pPr>
      <w:bookmarkStart w:id="0" w:name="bookmark0"/>
    </w:p>
    <w:p w14:paraId="5FE2BC73" w14:textId="77777777" w:rsidR="002900FD" w:rsidRDefault="002900FD" w:rsidP="002900FD">
      <w:pPr>
        <w:pStyle w:val="Sinespaciado"/>
        <w:jc w:val="both"/>
        <w:rPr>
          <w:rFonts w:ascii="Verdana" w:hAnsi="Verdana"/>
          <w:b/>
          <w:bCs/>
        </w:rPr>
      </w:pPr>
    </w:p>
    <w:p w14:paraId="60E19AF6" w14:textId="77777777" w:rsidR="002900FD" w:rsidRDefault="002900FD" w:rsidP="002900FD">
      <w:pPr>
        <w:pStyle w:val="Sinespaciado"/>
        <w:jc w:val="both"/>
        <w:rPr>
          <w:rFonts w:ascii="Verdana" w:hAnsi="Verdana"/>
          <w:b/>
          <w:bCs/>
        </w:rPr>
      </w:pPr>
    </w:p>
    <w:p w14:paraId="15C57833" w14:textId="186474CD" w:rsidR="00343672" w:rsidRPr="002900FD" w:rsidRDefault="002900FD" w:rsidP="002900FD">
      <w:pPr>
        <w:pStyle w:val="Sinespaciado"/>
        <w:jc w:val="both"/>
        <w:rPr>
          <w:rFonts w:ascii="Verdana" w:hAnsi="Verdana"/>
          <w:b/>
          <w:bCs/>
        </w:rPr>
      </w:pPr>
      <w:r w:rsidRPr="002900FD">
        <w:rPr>
          <w:rFonts w:ascii="Verdana" w:hAnsi="Verdana"/>
          <w:b/>
          <w:bCs/>
        </w:rPr>
        <w:t>PABLO EMILIO</w:t>
      </w:r>
      <w:r>
        <w:rPr>
          <w:rFonts w:ascii="Verdana" w:hAnsi="Verdana"/>
          <w:b/>
          <w:bCs/>
        </w:rPr>
        <w:t xml:space="preserve"> ME</w:t>
      </w:r>
      <w:r w:rsidRPr="002900FD">
        <w:rPr>
          <w:rFonts w:ascii="Verdana" w:hAnsi="Verdana"/>
          <w:b/>
          <w:bCs/>
        </w:rPr>
        <w:t>NDOZA VE</w:t>
      </w:r>
      <w:r>
        <w:rPr>
          <w:rFonts w:ascii="Verdana" w:hAnsi="Verdana"/>
          <w:b/>
          <w:bCs/>
        </w:rPr>
        <w:t>LI</w:t>
      </w:r>
      <w:r w:rsidRPr="002900FD">
        <w:rPr>
          <w:rFonts w:ascii="Verdana" w:hAnsi="Verdana"/>
          <w:b/>
          <w:bCs/>
        </w:rPr>
        <w:t>LLA</w:t>
      </w:r>
      <w:bookmarkEnd w:id="0"/>
    </w:p>
    <w:p w14:paraId="3DF5EE9E" w14:textId="77777777" w:rsidR="002900FD" w:rsidRDefault="002900FD" w:rsidP="002900FD">
      <w:pPr>
        <w:pStyle w:val="Sinespaciado"/>
        <w:jc w:val="both"/>
        <w:rPr>
          <w:rFonts w:ascii="Verdana" w:hAnsi="Verdana"/>
        </w:rPr>
      </w:pPr>
      <w:r w:rsidRPr="002900FD">
        <w:rPr>
          <w:rFonts w:ascii="Verdana" w:hAnsi="Verdana"/>
        </w:rPr>
        <w:t>Subdirector de Gestión No</w:t>
      </w:r>
      <w:r>
        <w:rPr>
          <w:rFonts w:ascii="Verdana" w:hAnsi="Verdana"/>
        </w:rPr>
        <w:t xml:space="preserve">rmativa y </w:t>
      </w:r>
      <w:r w:rsidRPr="002900FD">
        <w:rPr>
          <w:rFonts w:ascii="Verdana" w:hAnsi="Verdana"/>
        </w:rPr>
        <w:t>Doctrina</w:t>
      </w:r>
    </w:p>
    <w:p w14:paraId="66BF0DDC" w14:textId="77777777" w:rsidR="002900FD" w:rsidRDefault="002900FD" w:rsidP="002900FD">
      <w:pPr>
        <w:pStyle w:val="Sinespaciado"/>
        <w:jc w:val="both"/>
        <w:rPr>
          <w:rFonts w:ascii="Verdana" w:hAnsi="Verdana"/>
        </w:rPr>
      </w:pPr>
      <w:r w:rsidRPr="002900FD">
        <w:rPr>
          <w:rFonts w:ascii="Verdana" w:hAnsi="Verdana"/>
        </w:rPr>
        <w:t>Dirección de Gestión Ju</w:t>
      </w:r>
      <w:r>
        <w:rPr>
          <w:rFonts w:ascii="Verdana" w:hAnsi="Verdana"/>
        </w:rPr>
        <w:t>rídica</w:t>
      </w:r>
    </w:p>
    <w:p w14:paraId="53A10030" w14:textId="499B2B87" w:rsidR="00343672" w:rsidRPr="002900FD" w:rsidRDefault="002900FD" w:rsidP="002900FD">
      <w:pPr>
        <w:pStyle w:val="Sinespaciado"/>
        <w:jc w:val="both"/>
        <w:rPr>
          <w:rFonts w:ascii="Verdana" w:hAnsi="Verdana"/>
        </w:rPr>
      </w:pPr>
      <w:r w:rsidRPr="002900FD">
        <w:rPr>
          <w:rFonts w:ascii="Verdana" w:hAnsi="Verdana"/>
        </w:rPr>
        <w:lastRenderedPageBreak/>
        <w:t>UAE-DIAN</w:t>
      </w:r>
    </w:p>
    <w:p w14:paraId="068D03D9" w14:textId="77777777" w:rsidR="002900FD" w:rsidRDefault="002900FD" w:rsidP="002900FD">
      <w:pPr>
        <w:pStyle w:val="Sinespaciado"/>
        <w:jc w:val="both"/>
        <w:rPr>
          <w:rFonts w:ascii="Verdana" w:hAnsi="Verdana"/>
        </w:rPr>
      </w:pPr>
      <w:r w:rsidRPr="002900FD">
        <w:rPr>
          <w:rFonts w:ascii="Verdana" w:hAnsi="Verdana"/>
        </w:rPr>
        <w:t>Car. 8 N° 6C-38 Piso 4, Edificio San Agustín</w:t>
      </w:r>
    </w:p>
    <w:p w14:paraId="62910C19" w14:textId="505C78A4" w:rsidR="00343672" w:rsidRPr="002900FD" w:rsidRDefault="002900FD" w:rsidP="002900FD">
      <w:pPr>
        <w:pStyle w:val="Sinespaciado"/>
        <w:jc w:val="both"/>
        <w:rPr>
          <w:rFonts w:ascii="Verdana" w:hAnsi="Verdana"/>
        </w:rPr>
      </w:pPr>
      <w:r w:rsidRPr="002900FD">
        <w:rPr>
          <w:rFonts w:ascii="Verdana" w:hAnsi="Verdana"/>
        </w:rPr>
        <w:t>Bogotá D.C.</w:t>
      </w:r>
    </w:p>
    <w:p w14:paraId="65F0C798" w14:textId="77777777" w:rsidR="002900FD" w:rsidRDefault="002900FD" w:rsidP="002900FD">
      <w:pPr>
        <w:pStyle w:val="Sinespaciado"/>
        <w:jc w:val="both"/>
        <w:rPr>
          <w:rFonts w:ascii="Verdana" w:hAnsi="Verdana"/>
          <w:sz w:val="20"/>
          <w:szCs w:val="20"/>
        </w:rPr>
      </w:pPr>
    </w:p>
    <w:p w14:paraId="59095F6A" w14:textId="4A02BBF0" w:rsidR="00343672" w:rsidRPr="002900FD" w:rsidRDefault="002900FD" w:rsidP="002900FD">
      <w:pPr>
        <w:pStyle w:val="Sinespaciado"/>
        <w:jc w:val="both"/>
        <w:rPr>
          <w:rFonts w:ascii="Verdana" w:hAnsi="Verdana"/>
          <w:sz w:val="20"/>
          <w:szCs w:val="20"/>
        </w:rPr>
      </w:pPr>
      <w:r w:rsidRPr="002900FD">
        <w:rPr>
          <w:rFonts w:ascii="Verdana" w:hAnsi="Verdana"/>
          <w:sz w:val="20"/>
          <w:szCs w:val="20"/>
        </w:rPr>
        <w:t>Anexo: Concepto 100202208-1318 del 29 de noviembre de 2019 de la Dirección de Gestión Jurídica de la DIAN</w:t>
      </w:r>
    </w:p>
    <w:sectPr w:rsidR="00343672" w:rsidRPr="002900FD" w:rsidSect="002900FD">
      <w:pgSz w:w="12240" w:h="15840" w:code="1"/>
      <w:pgMar w:top="1701" w:right="1418" w:bottom="1701" w:left="1418" w:header="709" w:footer="12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08735" w14:textId="77777777" w:rsidR="00BB456A" w:rsidRDefault="00BB456A">
      <w:r>
        <w:separator/>
      </w:r>
    </w:p>
  </w:endnote>
  <w:endnote w:type="continuationSeparator" w:id="0">
    <w:p w14:paraId="6451816C" w14:textId="77777777" w:rsidR="00BB456A" w:rsidRDefault="00BB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00885" w14:textId="77777777" w:rsidR="00BB456A" w:rsidRDefault="00BB456A"/>
  </w:footnote>
  <w:footnote w:type="continuationSeparator" w:id="0">
    <w:p w14:paraId="7D15C236" w14:textId="77777777" w:rsidR="00BB456A" w:rsidRDefault="00BB456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72"/>
    <w:rsid w:val="002900FD"/>
    <w:rsid w:val="00343672"/>
    <w:rsid w:val="005F3BC1"/>
    <w:rsid w:val="00BB456A"/>
    <w:rsid w:val="00DF66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B5355"/>
  <w15:docId w15:val="{917FE93C-C9B9-4519-9F7D-85B89165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Cuerpodeltexto12">
    <w:name w:val="Cuerpo del texto (12)_"/>
    <w:basedOn w:val="Fuentedeprrafopredeter"/>
    <w:link w:val="Cuerpodeltexto120"/>
    <w:rPr>
      <w:rFonts w:ascii="Arial" w:eastAsia="Arial" w:hAnsi="Arial" w:cs="Arial"/>
      <w:b/>
      <w:bCs/>
      <w:i w:val="0"/>
      <w:iCs w:val="0"/>
      <w:smallCaps w:val="0"/>
      <w:strike w:val="0"/>
      <w:sz w:val="19"/>
      <w:szCs w:val="19"/>
      <w:u w:val="none"/>
    </w:rPr>
  </w:style>
  <w:style w:type="character" w:customStyle="1" w:styleId="Cuerpodeltexto1210ptoSinnegrita">
    <w:name w:val="Cuerpo del texto (12) + 10 pto;Sin negrita"/>
    <w:basedOn w:val="Cuerpodeltexto12"/>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character" w:customStyle="1" w:styleId="Encabezamientoopiedepgina">
    <w:name w:val="Encabezamiento o pie de página_"/>
    <w:basedOn w:val="Fuentedeprrafopredeter"/>
    <w:link w:val="Encabezamientoopiedepgina0"/>
    <w:rPr>
      <w:rFonts w:ascii="Tahoma" w:eastAsia="Tahoma" w:hAnsi="Tahoma" w:cs="Tahoma"/>
      <w:b w:val="0"/>
      <w:bCs w:val="0"/>
      <w:i w:val="0"/>
      <w:iCs w:val="0"/>
      <w:smallCaps w:val="0"/>
      <w:strike w:val="0"/>
      <w:sz w:val="16"/>
      <w:szCs w:val="16"/>
      <w:u w:val="none"/>
    </w:rPr>
  </w:style>
  <w:style w:type="character" w:customStyle="1" w:styleId="EncabezamientoopiedepginaArial10pto">
    <w:name w:val="Encabezamiento o pie de página + Arial;10 pto"/>
    <w:basedOn w:val="Encabezamientoopiedepgina"/>
    <w:rPr>
      <w:rFonts w:ascii="Arial" w:eastAsia="Arial" w:hAnsi="Arial" w:cs="Arial"/>
      <w:b w:val="0"/>
      <w:bCs w:val="0"/>
      <w:i w:val="0"/>
      <w:iCs w:val="0"/>
      <w:smallCaps w:val="0"/>
      <w:strike w:val="0"/>
      <w:color w:val="000000"/>
      <w:spacing w:val="0"/>
      <w:w w:val="100"/>
      <w:position w:val="0"/>
      <w:sz w:val="20"/>
      <w:szCs w:val="20"/>
      <w:u w:val="none"/>
      <w:lang w:val="es-ES" w:eastAsia="es-ES" w:bidi="es-ES"/>
    </w:rPr>
  </w:style>
  <w:style w:type="character" w:customStyle="1" w:styleId="Cuerpodeltexto1223ptoSinnegritaEscala150">
    <w:name w:val="Cuerpo del texto (12) + 23 pto;Sin negrita;Escala 150%"/>
    <w:basedOn w:val="Cuerpodeltexto12"/>
    <w:rPr>
      <w:rFonts w:ascii="Arial" w:eastAsia="Arial" w:hAnsi="Arial" w:cs="Arial"/>
      <w:b/>
      <w:bCs/>
      <w:i w:val="0"/>
      <w:iCs w:val="0"/>
      <w:smallCaps w:val="0"/>
      <w:strike w:val="0"/>
      <w:color w:val="000000"/>
      <w:spacing w:val="0"/>
      <w:w w:val="150"/>
      <w:position w:val="0"/>
      <w:sz w:val="46"/>
      <w:szCs w:val="46"/>
      <w:u w:val="none"/>
      <w:lang w:val="es-ES" w:eastAsia="es-ES" w:bidi="es-ES"/>
    </w:rPr>
  </w:style>
  <w:style w:type="character" w:customStyle="1" w:styleId="Cuerpodeltexto46">
    <w:name w:val="Cuerpo del texto (46)_"/>
    <w:basedOn w:val="Fuentedeprrafopredeter"/>
    <w:link w:val="Cuerpodeltexto460"/>
    <w:rPr>
      <w:rFonts w:ascii="Franklin Gothic Heavy" w:eastAsia="Franklin Gothic Heavy" w:hAnsi="Franklin Gothic Heavy" w:cs="Franklin Gothic Heavy"/>
      <w:b w:val="0"/>
      <w:bCs w:val="0"/>
      <w:i w:val="0"/>
      <w:iCs w:val="0"/>
      <w:smallCaps w:val="0"/>
      <w:strike w:val="0"/>
      <w:spacing w:val="20"/>
      <w:sz w:val="10"/>
      <w:szCs w:val="10"/>
      <w:u w:val="none"/>
    </w:rPr>
  </w:style>
  <w:style w:type="character" w:customStyle="1" w:styleId="Cuerpodeltexto40">
    <w:name w:val="Cuerpo del texto (40)_"/>
    <w:basedOn w:val="Fuentedeprrafopredeter"/>
    <w:link w:val="Cuerpodeltexto400"/>
    <w:rPr>
      <w:rFonts w:ascii="Arial" w:eastAsia="Arial" w:hAnsi="Arial" w:cs="Arial"/>
      <w:b w:val="0"/>
      <w:bCs w:val="0"/>
      <w:i/>
      <w:iCs/>
      <w:smallCaps w:val="0"/>
      <w:strike w:val="0"/>
      <w:sz w:val="19"/>
      <w:szCs w:val="19"/>
      <w:u w:val="none"/>
    </w:rPr>
  </w:style>
  <w:style w:type="character" w:customStyle="1" w:styleId="Cuerpodeltexto4010ptoSincursiva">
    <w:name w:val="Cuerpo del texto (40) + 10 pto;Sin cursiva"/>
    <w:basedOn w:val="Cuerpodeltexto40"/>
    <w:rPr>
      <w:rFonts w:ascii="Arial" w:eastAsia="Arial" w:hAnsi="Arial" w:cs="Arial"/>
      <w:b w:val="0"/>
      <w:bCs w:val="0"/>
      <w:i/>
      <w:iCs/>
      <w:smallCaps w:val="0"/>
      <w:strike w:val="0"/>
      <w:color w:val="000000"/>
      <w:spacing w:val="0"/>
      <w:w w:val="100"/>
      <w:position w:val="0"/>
      <w:sz w:val="20"/>
      <w:szCs w:val="20"/>
      <w:u w:val="none"/>
      <w:lang w:val="es-ES" w:eastAsia="es-ES" w:bidi="es-ES"/>
    </w:rPr>
  </w:style>
  <w:style w:type="character" w:customStyle="1" w:styleId="Cuerpodeltexto401">
    <w:name w:val="Cuerpo del texto (40)"/>
    <w:basedOn w:val="Cuerpodeltexto40"/>
    <w:rPr>
      <w:rFonts w:ascii="Arial" w:eastAsia="Arial" w:hAnsi="Arial" w:cs="Arial"/>
      <w:b w:val="0"/>
      <w:bCs w:val="0"/>
      <w:i/>
      <w:iCs/>
      <w:smallCaps w:val="0"/>
      <w:strike w:val="0"/>
      <w:color w:val="000000"/>
      <w:spacing w:val="0"/>
      <w:w w:val="100"/>
      <w:position w:val="0"/>
      <w:sz w:val="19"/>
      <w:szCs w:val="19"/>
      <w:u w:val="single"/>
      <w:lang w:val="es-ES" w:eastAsia="es-ES" w:bidi="es-ES"/>
    </w:rPr>
  </w:style>
  <w:style w:type="character" w:customStyle="1" w:styleId="Cuerpodeltexto4010ptoSincursiva0">
    <w:name w:val="Cuerpo del texto (40) + 10 pto;Sin cursiva"/>
    <w:basedOn w:val="Cuerpodeltexto40"/>
    <w:rPr>
      <w:rFonts w:ascii="Arial" w:eastAsia="Arial" w:hAnsi="Arial" w:cs="Arial"/>
      <w:b w:val="0"/>
      <w:bCs w:val="0"/>
      <w:i/>
      <w:iCs/>
      <w:smallCaps w:val="0"/>
      <w:strike w:val="0"/>
      <w:color w:val="000000"/>
      <w:spacing w:val="0"/>
      <w:w w:val="100"/>
      <w:position w:val="0"/>
      <w:sz w:val="20"/>
      <w:szCs w:val="20"/>
      <w:u w:val="single"/>
      <w:lang w:val="es-ES" w:eastAsia="es-ES" w:bidi="es-ES"/>
    </w:rPr>
  </w:style>
  <w:style w:type="character" w:customStyle="1" w:styleId="Cuerpodeltexto2">
    <w:name w:val="Cuerpo del texto (2)_"/>
    <w:basedOn w:val="Fuentedeprrafopredeter"/>
    <w:link w:val="Cuerpodeltexto20"/>
    <w:rPr>
      <w:rFonts w:ascii="Arial" w:eastAsia="Arial" w:hAnsi="Arial" w:cs="Arial"/>
      <w:b w:val="0"/>
      <w:bCs w:val="0"/>
      <w:i/>
      <w:iCs/>
      <w:smallCaps w:val="0"/>
      <w:strike w:val="0"/>
      <w:sz w:val="20"/>
      <w:szCs w:val="20"/>
      <w:u w:val="none"/>
    </w:rPr>
  </w:style>
  <w:style w:type="character" w:customStyle="1" w:styleId="Cuerpodeltexto21">
    <w:name w:val="Cuerpo del texto (2)"/>
    <w:basedOn w:val="Cuerpodeltexto2"/>
    <w:rPr>
      <w:rFonts w:ascii="Arial" w:eastAsia="Arial" w:hAnsi="Arial" w:cs="Arial"/>
      <w:b w:val="0"/>
      <w:bCs w:val="0"/>
      <w:i/>
      <w:iCs/>
      <w:smallCaps w:val="0"/>
      <w:strike w:val="0"/>
      <w:color w:val="000000"/>
      <w:spacing w:val="0"/>
      <w:w w:val="100"/>
      <w:position w:val="0"/>
      <w:sz w:val="20"/>
      <w:szCs w:val="20"/>
      <w:u w:val="single"/>
      <w:lang w:val="es-ES" w:eastAsia="es-ES" w:bidi="es-ES"/>
    </w:rPr>
  </w:style>
  <w:style w:type="character" w:customStyle="1" w:styleId="Cuerpodeltexto5">
    <w:name w:val="Cuerpo del texto (5)_"/>
    <w:basedOn w:val="Fuentedeprrafopredeter"/>
    <w:link w:val="Cuerpodeltexto50"/>
    <w:rPr>
      <w:rFonts w:ascii="Arial" w:eastAsia="Arial" w:hAnsi="Arial" w:cs="Arial"/>
      <w:b w:val="0"/>
      <w:bCs w:val="0"/>
      <w:i w:val="0"/>
      <w:iCs w:val="0"/>
      <w:smallCaps w:val="0"/>
      <w:strike w:val="0"/>
      <w:sz w:val="19"/>
      <w:szCs w:val="19"/>
      <w:u w:val="none"/>
    </w:rPr>
  </w:style>
  <w:style w:type="character" w:customStyle="1" w:styleId="Cuerpodeltexto51">
    <w:name w:val="Cuerpo del texto (5)"/>
    <w:basedOn w:val="Cuerpodeltexto5"/>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character" w:customStyle="1" w:styleId="Ttulo14">
    <w:name w:val="Título #1 (4)_"/>
    <w:basedOn w:val="Fuentedeprrafopredeter"/>
    <w:link w:val="Ttulo140"/>
    <w:rPr>
      <w:rFonts w:ascii="Franklin Gothic Heavy" w:eastAsia="Franklin Gothic Heavy" w:hAnsi="Franklin Gothic Heavy" w:cs="Franklin Gothic Heavy"/>
      <w:b w:val="0"/>
      <w:bCs w:val="0"/>
      <w:i w:val="0"/>
      <w:iCs w:val="0"/>
      <w:smallCaps w:val="0"/>
      <w:strike w:val="0"/>
      <w:sz w:val="21"/>
      <w:szCs w:val="21"/>
      <w:u w:val="none"/>
    </w:rPr>
  </w:style>
  <w:style w:type="character" w:customStyle="1" w:styleId="Cuerpodeltexto5NegritaCursiva">
    <w:name w:val="Cuerpo del texto (5) + Negrita;Cursiva"/>
    <w:basedOn w:val="Cuerpodeltexto5"/>
    <w:rPr>
      <w:rFonts w:ascii="Arial" w:eastAsia="Arial" w:hAnsi="Arial" w:cs="Arial"/>
      <w:b/>
      <w:bCs/>
      <w:i/>
      <w:iCs/>
      <w:smallCaps w:val="0"/>
      <w:strike w:val="0"/>
      <w:color w:val="000000"/>
      <w:spacing w:val="0"/>
      <w:w w:val="100"/>
      <w:position w:val="0"/>
      <w:sz w:val="19"/>
      <w:szCs w:val="19"/>
      <w:u w:val="none"/>
      <w:lang w:val="es-ES" w:eastAsia="es-ES" w:bidi="es-ES"/>
    </w:rPr>
  </w:style>
  <w:style w:type="character" w:customStyle="1" w:styleId="Cuerpodeltexto14">
    <w:name w:val="Cuerpo del texto (14)_"/>
    <w:basedOn w:val="Fuentedeprrafopredeter"/>
    <w:link w:val="Cuerpodeltexto140"/>
    <w:rPr>
      <w:rFonts w:ascii="Arial" w:eastAsia="Arial" w:hAnsi="Arial" w:cs="Arial"/>
      <w:b w:val="0"/>
      <w:bCs w:val="0"/>
      <w:i w:val="0"/>
      <w:iCs w:val="0"/>
      <w:smallCaps w:val="0"/>
      <w:strike w:val="0"/>
      <w:sz w:val="15"/>
      <w:szCs w:val="15"/>
      <w:u w:val="none"/>
    </w:rPr>
  </w:style>
  <w:style w:type="paragraph" w:customStyle="1" w:styleId="Cuerpodeltexto120">
    <w:name w:val="Cuerpo del texto (12)"/>
    <w:basedOn w:val="Normal"/>
    <w:link w:val="Cuerpodeltexto12"/>
    <w:pPr>
      <w:shd w:val="clear" w:color="auto" w:fill="FFFFFF"/>
      <w:spacing w:before="180" w:after="180" w:line="223" w:lineRule="exact"/>
      <w:ind w:hanging="400"/>
      <w:jc w:val="both"/>
    </w:pPr>
    <w:rPr>
      <w:rFonts w:ascii="Arial" w:eastAsia="Arial" w:hAnsi="Arial" w:cs="Arial"/>
      <w:b/>
      <w:bCs/>
      <w:sz w:val="19"/>
      <w:szCs w:val="19"/>
    </w:rPr>
  </w:style>
  <w:style w:type="paragraph" w:customStyle="1" w:styleId="Encabezamientoopiedepgina0">
    <w:name w:val="Encabezamiento o pie de página"/>
    <w:basedOn w:val="Normal"/>
    <w:link w:val="Encabezamientoopiedepgina"/>
    <w:pPr>
      <w:shd w:val="clear" w:color="auto" w:fill="FFFFFF"/>
      <w:spacing w:line="234" w:lineRule="exact"/>
      <w:jc w:val="both"/>
    </w:pPr>
    <w:rPr>
      <w:rFonts w:ascii="Tahoma" w:eastAsia="Tahoma" w:hAnsi="Tahoma" w:cs="Tahoma"/>
      <w:sz w:val="16"/>
      <w:szCs w:val="16"/>
    </w:rPr>
  </w:style>
  <w:style w:type="paragraph" w:customStyle="1" w:styleId="Cuerpodeltexto460">
    <w:name w:val="Cuerpo del texto (46)"/>
    <w:basedOn w:val="Normal"/>
    <w:link w:val="Cuerpodeltexto46"/>
    <w:pPr>
      <w:shd w:val="clear" w:color="auto" w:fill="FFFFFF"/>
      <w:spacing w:before="60" w:after="60" w:line="0" w:lineRule="atLeast"/>
    </w:pPr>
    <w:rPr>
      <w:rFonts w:ascii="Franklin Gothic Heavy" w:eastAsia="Franklin Gothic Heavy" w:hAnsi="Franklin Gothic Heavy" w:cs="Franklin Gothic Heavy"/>
      <w:spacing w:val="20"/>
      <w:sz w:val="10"/>
      <w:szCs w:val="10"/>
    </w:rPr>
  </w:style>
  <w:style w:type="paragraph" w:customStyle="1" w:styleId="Cuerpodeltexto400">
    <w:name w:val="Cuerpo del texto (40)"/>
    <w:basedOn w:val="Normal"/>
    <w:link w:val="Cuerpodeltexto40"/>
    <w:pPr>
      <w:shd w:val="clear" w:color="auto" w:fill="FFFFFF"/>
      <w:spacing w:before="180" w:line="230" w:lineRule="exact"/>
      <w:jc w:val="both"/>
    </w:pPr>
    <w:rPr>
      <w:rFonts w:ascii="Arial" w:eastAsia="Arial" w:hAnsi="Arial" w:cs="Arial"/>
      <w:i/>
      <w:iCs/>
      <w:sz w:val="19"/>
      <w:szCs w:val="19"/>
    </w:rPr>
  </w:style>
  <w:style w:type="paragraph" w:customStyle="1" w:styleId="Cuerpodeltexto20">
    <w:name w:val="Cuerpo del texto (2)"/>
    <w:basedOn w:val="Normal"/>
    <w:link w:val="Cuerpodeltexto2"/>
    <w:pPr>
      <w:shd w:val="clear" w:color="auto" w:fill="FFFFFF"/>
      <w:spacing w:before="180" w:after="480" w:line="230" w:lineRule="exact"/>
      <w:jc w:val="both"/>
    </w:pPr>
    <w:rPr>
      <w:rFonts w:ascii="Arial" w:eastAsia="Arial" w:hAnsi="Arial" w:cs="Arial"/>
      <w:i/>
      <w:iCs/>
      <w:sz w:val="20"/>
      <w:szCs w:val="20"/>
    </w:rPr>
  </w:style>
  <w:style w:type="paragraph" w:customStyle="1" w:styleId="Cuerpodeltexto50">
    <w:name w:val="Cuerpo del texto (5)"/>
    <w:basedOn w:val="Normal"/>
    <w:link w:val="Cuerpodeltexto5"/>
    <w:pPr>
      <w:shd w:val="clear" w:color="auto" w:fill="FFFFFF"/>
      <w:spacing w:after="420" w:line="0" w:lineRule="atLeast"/>
      <w:ind w:hanging="160"/>
      <w:jc w:val="both"/>
    </w:pPr>
    <w:rPr>
      <w:rFonts w:ascii="Arial" w:eastAsia="Arial" w:hAnsi="Arial" w:cs="Arial"/>
      <w:sz w:val="19"/>
      <w:szCs w:val="19"/>
    </w:rPr>
  </w:style>
  <w:style w:type="paragraph" w:customStyle="1" w:styleId="Ttulo140">
    <w:name w:val="Título #1 (4)"/>
    <w:basedOn w:val="Normal"/>
    <w:link w:val="Ttulo14"/>
    <w:pPr>
      <w:shd w:val="clear" w:color="auto" w:fill="FFFFFF"/>
      <w:spacing w:before="900" w:line="227" w:lineRule="exact"/>
      <w:jc w:val="both"/>
      <w:outlineLvl w:val="0"/>
    </w:pPr>
    <w:rPr>
      <w:rFonts w:ascii="Franklin Gothic Heavy" w:eastAsia="Franklin Gothic Heavy" w:hAnsi="Franklin Gothic Heavy" w:cs="Franklin Gothic Heavy"/>
      <w:sz w:val="21"/>
      <w:szCs w:val="21"/>
    </w:rPr>
  </w:style>
  <w:style w:type="paragraph" w:customStyle="1" w:styleId="Cuerpodeltexto140">
    <w:name w:val="Cuerpo del texto (14)"/>
    <w:basedOn w:val="Normal"/>
    <w:link w:val="Cuerpodeltexto14"/>
    <w:pPr>
      <w:shd w:val="clear" w:color="auto" w:fill="FFFFFF"/>
      <w:spacing w:after="300" w:line="173" w:lineRule="exact"/>
    </w:pPr>
    <w:rPr>
      <w:rFonts w:ascii="Arial" w:eastAsia="Arial" w:hAnsi="Arial" w:cs="Arial"/>
      <w:sz w:val="15"/>
      <w:szCs w:val="15"/>
    </w:rPr>
  </w:style>
  <w:style w:type="paragraph" w:styleId="Sinespaciado">
    <w:name w:val="No Spacing"/>
    <w:uiPriority w:val="1"/>
    <w:qFormat/>
    <w:rsid w:val="002900FD"/>
    <w:rPr>
      <w:color w:val="000000"/>
    </w:rPr>
  </w:style>
  <w:style w:type="paragraph" w:styleId="Encabezado">
    <w:name w:val="header"/>
    <w:basedOn w:val="Normal"/>
    <w:link w:val="EncabezadoCar"/>
    <w:uiPriority w:val="99"/>
    <w:unhideWhenUsed/>
    <w:rsid w:val="002900FD"/>
    <w:pPr>
      <w:tabs>
        <w:tab w:val="center" w:pos="4419"/>
        <w:tab w:val="right" w:pos="8838"/>
      </w:tabs>
    </w:pPr>
  </w:style>
  <w:style w:type="character" w:customStyle="1" w:styleId="EncabezadoCar">
    <w:name w:val="Encabezado Car"/>
    <w:basedOn w:val="Fuentedeprrafopredeter"/>
    <w:link w:val="Encabezado"/>
    <w:uiPriority w:val="99"/>
    <w:rsid w:val="002900FD"/>
    <w:rPr>
      <w:color w:val="000000"/>
    </w:rPr>
  </w:style>
  <w:style w:type="paragraph" w:styleId="Piedepgina">
    <w:name w:val="footer"/>
    <w:basedOn w:val="Normal"/>
    <w:link w:val="PiedepginaCar"/>
    <w:uiPriority w:val="99"/>
    <w:unhideWhenUsed/>
    <w:rsid w:val="002900FD"/>
    <w:pPr>
      <w:tabs>
        <w:tab w:val="center" w:pos="4419"/>
        <w:tab w:val="right" w:pos="8838"/>
      </w:tabs>
    </w:pPr>
  </w:style>
  <w:style w:type="character" w:customStyle="1" w:styleId="PiedepginaCar">
    <w:name w:val="Pie de página Car"/>
    <w:basedOn w:val="Fuentedeprrafopredeter"/>
    <w:link w:val="Piedepgina"/>
    <w:uiPriority w:val="99"/>
    <w:rsid w:val="002900FD"/>
    <w:rPr>
      <w:color w:val="000000"/>
    </w:rPr>
  </w:style>
  <w:style w:type="character" w:styleId="Mencinsinresolver">
    <w:name w:val="Unresolved Mention"/>
    <w:basedOn w:val="Fuentedeprrafopredeter"/>
    <w:uiPriority w:val="99"/>
    <w:semiHidden/>
    <w:unhideWhenUsed/>
    <w:rsid w:val="00290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665</Words>
  <Characters>3661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CNETCO</dc:creator>
  <cp:lastModifiedBy>CNETCO</cp:lastModifiedBy>
  <cp:revision>2</cp:revision>
  <dcterms:created xsi:type="dcterms:W3CDTF">2020-10-28T00:46:00Z</dcterms:created>
  <dcterms:modified xsi:type="dcterms:W3CDTF">2020-10-28T00:46:00Z</dcterms:modified>
</cp:coreProperties>
</file>