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121" w:rsidRPr="00EE7121" w:rsidRDefault="00EE7121" w:rsidP="00EE7121">
      <w:pPr>
        <w:spacing w:line="240" w:lineRule="auto"/>
        <w:jc w:val="center"/>
        <w:rPr>
          <w:rFonts w:ascii="Arial" w:eastAsia="Times New Roman" w:hAnsi="Arial" w:cs="Arial"/>
          <w:color w:val="000000"/>
          <w:sz w:val="18"/>
          <w:szCs w:val="18"/>
          <w:lang w:eastAsia="es-ES"/>
        </w:rPr>
      </w:pPr>
      <w:r w:rsidRPr="00EE7121">
        <w:rPr>
          <w:rFonts w:ascii="Segoe UI" w:eastAsia="Times New Roman" w:hAnsi="Segoe UI" w:cs="Segoe UI"/>
          <w:b/>
          <w:bCs/>
          <w:color w:val="0000FF"/>
          <w:sz w:val="28"/>
          <w:szCs w:val="28"/>
          <w:lang w:val="es-CO" w:eastAsia="es-ES"/>
        </w:rPr>
        <w:t xml:space="preserve">Concepto </w:t>
      </w:r>
      <w:proofErr w:type="spellStart"/>
      <w:r w:rsidRPr="00EE7121">
        <w:rPr>
          <w:rFonts w:ascii="Segoe UI" w:eastAsia="Times New Roman" w:hAnsi="Segoe UI" w:cs="Segoe UI"/>
          <w:b/>
          <w:bCs/>
          <w:color w:val="0000FF"/>
          <w:sz w:val="28"/>
          <w:szCs w:val="28"/>
          <w:lang w:val="es-CO" w:eastAsia="es-ES"/>
        </w:rPr>
        <w:t>Nº</w:t>
      </w:r>
      <w:proofErr w:type="spellEnd"/>
      <w:r w:rsidRPr="00EE7121">
        <w:rPr>
          <w:rFonts w:ascii="Segoe UI" w:eastAsia="Times New Roman" w:hAnsi="Segoe UI" w:cs="Segoe UI"/>
          <w:b/>
          <w:bCs/>
          <w:color w:val="0000FF"/>
          <w:sz w:val="28"/>
          <w:szCs w:val="28"/>
          <w:lang w:val="es-CO" w:eastAsia="es-ES"/>
        </w:rPr>
        <w:t xml:space="preserve"> 1087</w:t>
      </w:r>
    </w:p>
    <w:p w:rsidR="00EE7121" w:rsidRPr="00EE7121" w:rsidRDefault="00EE7121" w:rsidP="00EE7121">
      <w:pPr>
        <w:spacing w:line="240" w:lineRule="auto"/>
        <w:jc w:val="center"/>
        <w:rPr>
          <w:rFonts w:ascii="Arial" w:eastAsia="Times New Roman" w:hAnsi="Arial" w:cs="Arial"/>
          <w:color w:val="000000"/>
          <w:sz w:val="18"/>
          <w:szCs w:val="18"/>
          <w:lang w:eastAsia="es-ES"/>
        </w:rPr>
      </w:pPr>
      <w:r w:rsidRPr="00EE7121">
        <w:rPr>
          <w:rFonts w:ascii="Segoe UI" w:eastAsia="Times New Roman" w:hAnsi="Segoe UI" w:cs="Segoe UI"/>
          <w:b/>
          <w:bCs/>
          <w:color w:val="0000FF"/>
          <w:sz w:val="28"/>
          <w:szCs w:val="28"/>
          <w:lang w:val="es-CO" w:eastAsia="es-ES"/>
        </w:rPr>
        <w:t>26-12-2019</w:t>
      </w:r>
    </w:p>
    <w:p w:rsidR="00EE7121" w:rsidRPr="00EE7121" w:rsidRDefault="00EE7121" w:rsidP="00EE7121">
      <w:pPr>
        <w:spacing w:line="240" w:lineRule="auto"/>
        <w:jc w:val="center"/>
        <w:rPr>
          <w:rFonts w:ascii="Arial" w:eastAsia="Times New Roman" w:hAnsi="Arial" w:cs="Arial"/>
          <w:color w:val="000000"/>
          <w:sz w:val="18"/>
          <w:szCs w:val="18"/>
          <w:lang w:eastAsia="es-ES"/>
        </w:rPr>
      </w:pPr>
      <w:r w:rsidRPr="00EE7121">
        <w:rPr>
          <w:rFonts w:ascii="Segoe UI" w:eastAsia="Times New Roman" w:hAnsi="Segoe UI" w:cs="Segoe UI"/>
          <w:b/>
          <w:bCs/>
          <w:color w:val="0000FF"/>
          <w:sz w:val="28"/>
          <w:szCs w:val="28"/>
          <w:lang w:val="es-CO" w:eastAsia="es-ES"/>
        </w:rPr>
        <w:t>Consejo Técnico de la Contaduría Pública</w:t>
      </w:r>
    </w:p>
    <w:p w:rsidR="00EE7121" w:rsidRPr="00EE7121" w:rsidRDefault="00EE7121" w:rsidP="00EE7121">
      <w:pPr>
        <w:spacing w:line="240" w:lineRule="auto"/>
        <w:rPr>
          <w:rFonts w:ascii="Arial" w:eastAsia="Times New Roman" w:hAnsi="Arial" w:cs="Arial"/>
          <w:color w:val="000000"/>
          <w:sz w:val="18"/>
          <w:szCs w:val="18"/>
          <w:lang w:eastAsia="es-ES"/>
        </w:rPr>
      </w:pPr>
      <w:r w:rsidRPr="00EE7121">
        <w:rPr>
          <w:rFonts w:ascii="Arial" w:eastAsia="Times New Roman" w:hAnsi="Arial" w:cs="Arial"/>
          <w:color w:val="000000"/>
          <w:sz w:val="18"/>
          <w:szCs w:val="18"/>
          <w:lang w:eastAsia="es-ES"/>
        </w:rPr>
        <w:t> </w:t>
      </w:r>
    </w:p>
    <w:p w:rsidR="00EE7121" w:rsidRPr="00EE7121" w:rsidRDefault="00EE7121" w:rsidP="00EE7121">
      <w:pPr>
        <w:spacing w:line="240" w:lineRule="auto"/>
        <w:rPr>
          <w:rFonts w:ascii="Arial" w:eastAsia="Times New Roman" w:hAnsi="Arial" w:cs="Arial"/>
          <w:color w:val="000000"/>
          <w:sz w:val="18"/>
          <w:szCs w:val="18"/>
          <w:lang w:eastAsia="es-ES"/>
        </w:rPr>
      </w:pPr>
      <w:r w:rsidRPr="00EE7121">
        <w:rPr>
          <w:rFonts w:ascii="Arial" w:eastAsia="Times New Roman" w:hAnsi="Arial" w:cs="Arial"/>
          <w:color w:val="000000"/>
          <w:sz w:val="18"/>
          <w:szCs w:val="18"/>
          <w:lang w:eastAsia="es-ES"/>
        </w:rPr>
        <w:t> </w:t>
      </w:r>
    </w:p>
    <w:p w:rsidR="00EE7121" w:rsidRPr="00EE7121" w:rsidRDefault="00EE7121" w:rsidP="00EE7121">
      <w:pPr>
        <w:spacing w:line="240" w:lineRule="auto"/>
        <w:rPr>
          <w:rFonts w:ascii="Arial" w:eastAsia="Times New Roman" w:hAnsi="Arial" w:cs="Arial"/>
          <w:color w:val="000000"/>
          <w:sz w:val="18"/>
          <w:szCs w:val="18"/>
          <w:lang w:eastAsia="es-ES"/>
        </w:rPr>
      </w:pPr>
      <w:r w:rsidRPr="00EE7121">
        <w:rPr>
          <w:rFonts w:ascii="Segoe UI" w:eastAsia="Times New Roman" w:hAnsi="Segoe UI" w:cs="Segoe UI"/>
          <w:color w:val="000000"/>
          <w:sz w:val="18"/>
          <w:szCs w:val="18"/>
          <w:lang w:val="es-CO" w:eastAsia="es-ES"/>
        </w:rPr>
        <w:t>Bogotá, D.C.</w:t>
      </w:r>
    </w:p>
    <w:p w:rsidR="00EE7121" w:rsidRPr="00EE7121" w:rsidRDefault="00EE7121" w:rsidP="00EE7121">
      <w:pPr>
        <w:spacing w:line="240" w:lineRule="auto"/>
        <w:ind w:right="-568"/>
        <w:rPr>
          <w:rFonts w:ascii="Arial" w:eastAsia="Times New Roman" w:hAnsi="Arial" w:cs="Arial"/>
          <w:color w:val="000000"/>
          <w:sz w:val="18"/>
          <w:szCs w:val="18"/>
          <w:lang w:eastAsia="es-ES"/>
        </w:rPr>
      </w:pPr>
      <w:r w:rsidRPr="00EE7121">
        <w:rPr>
          <w:rFonts w:ascii="Arial" w:eastAsia="Times New Roman" w:hAnsi="Arial" w:cs="Arial"/>
          <w:color w:val="000000"/>
          <w:sz w:val="18"/>
          <w:szCs w:val="18"/>
          <w:lang w:eastAsia="es-ES"/>
        </w:rPr>
        <w:t> </w:t>
      </w:r>
    </w:p>
    <w:p w:rsidR="00EE7121" w:rsidRPr="00EE7121" w:rsidRDefault="00EE7121" w:rsidP="00EE7121">
      <w:pPr>
        <w:spacing w:line="240" w:lineRule="auto"/>
        <w:ind w:right="-568"/>
        <w:rPr>
          <w:rFonts w:ascii="Arial" w:eastAsia="Times New Roman" w:hAnsi="Arial" w:cs="Arial"/>
          <w:color w:val="000000"/>
          <w:sz w:val="18"/>
          <w:szCs w:val="18"/>
          <w:lang w:eastAsia="es-ES"/>
        </w:rPr>
      </w:pPr>
      <w:r w:rsidRPr="00EE7121">
        <w:rPr>
          <w:rFonts w:ascii="Segoe UI" w:eastAsia="Times New Roman" w:hAnsi="Segoe UI" w:cs="Segoe UI"/>
          <w:b/>
          <w:bCs/>
          <w:color w:val="000000"/>
          <w:sz w:val="18"/>
          <w:szCs w:val="18"/>
          <w:lang w:val="es-CO" w:eastAsia="es-ES"/>
        </w:rPr>
        <w:t>Asunto:</w:t>
      </w:r>
      <w:r w:rsidRPr="00EE7121">
        <w:rPr>
          <w:rFonts w:ascii="Segoe UI" w:eastAsia="Times New Roman" w:hAnsi="Segoe UI" w:cs="Segoe UI"/>
          <w:color w:val="000000"/>
          <w:sz w:val="18"/>
          <w:szCs w:val="18"/>
          <w:lang w:val="es-CO" w:eastAsia="es-ES"/>
        </w:rPr>
        <w:t> Consulta 1-2019-031763</w:t>
      </w:r>
    </w:p>
    <w:p w:rsidR="00EE7121" w:rsidRPr="00EE7121" w:rsidRDefault="00EE7121" w:rsidP="00EE7121">
      <w:pPr>
        <w:spacing w:line="240" w:lineRule="auto"/>
        <w:ind w:right="-568"/>
        <w:rPr>
          <w:rFonts w:ascii="Arial" w:eastAsia="Times New Roman" w:hAnsi="Arial" w:cs="Arial"/>
          <w:color w:val="000000"/>
          <w:sz w:val="18"/>
          <w:szCs w:val="18"/>
          <w:lang w:eastAsia="es-ES"/>
        </w:rPr>
      </w:pPr>
      <w:r w:rsidRPr="00EE7121">
        <w:rPr>
          <w:rFonts w:ascii="Arial" w:eastAsia="Times New Roman" w:hAnsi="Arial" w:cs="Arial"/>
          <w:color w:val="000000"/>
          <w:sz w:val="18"/>
          <w:szCs w:val="18"/>
          <w:lang w:eastAsia="es-ES"/>
        </w:rPr>
        <w:t> </w:t>
      </w:r>
    </w:p>
    <w:tbl>
      <w:tblPr>
        <w:tblW w:w="0" w:type="auto"/>
        <w:tblCellMar>
          <w:left w:w="0" w:type="dxa"/>
          <w:right w:w="0" w:type="dxa"/>
        </w:tblCellMar>
        <w:tblLook w:val="04A0" w:firstRow="1" w:lastRow="0" w:firstColumn="1" w:lastColumn="0" w:noHBand="0" w:noVBand="1"/>
      </w:tblPr>
      <w:tblGrid>
        <w:gridCol w:w="2300"/>
        <w:gridCol w:w="222"/>
        <w:gridCol w:w="222"/>
        <w:gridCol w:w="3853"/>
      </w:tblGrid>
      <w:tr w:rsidR="00EE7121" w:rsidRPr="00EE7121" w:rsidTr="00EE7121">
        <w:tc>
          <w:tcPr>
            <w:tcW w:w="0" w:type="auto"/>
            <w:tcBorders>
              <w:top w:val="single" w:sz="8" w:space="0" w:color="auto"/>
              <w:left w:val="single" w:sz="8" w:space="0" w:color="auto"/>
              <w:bottom w:val="nil"/>
              <w:right w:val="nil"/>
            </w:tcBorders>
            <w:shd w:val="clear" w:color="auto" w:fill="BFBFBF"/>
            <w:tcMar>
              <w:top w:w="0" w:type="dxa"/>
              <w:left w:w="108" w:type="dxa"/>
              <w:bottom w:w="0" w:type="dxa"/>
              <w:right w:w="108" w:type="dxa"/>
            </w:tcMar>
            <w:hideMark/>
          </w:tcPr>
          <w:p w:rsidR="00EE7121" w:rsidRPr="00EE7121" w:rsidRDefault="00EE7121" w:rsidP="00EE7121">
            <w:pPr>
              <w:spacing w:line="240" w:lineRule="auto"/>
              <w:rPr>
                <w:rFonts w:ascii="Arial" w:eastAsia="Times New Roman" w:hAnsi="Arial" w:cs="Arial"/>
                <w:szCs w:val="24"/>
                <w:lang w:eastAsia="es-ES"/>
              </w:rPr>
            </w:pPr>
            <w:r w:rsidRPr="00EE7121">
              <w:rPr>
                <w:rFonts w:ascii="Segoe UI" w:eastAsia="Times New Roman" w:hAnsi="Segoe UI" w:cs="Segoe UI"/>
                <w:b/>
                <w:bCs/>
                <w:sz w:val="20"/>
                <w:szCs w:val="20"/>
                <w:lang w:val="es-CO" w:eastAsia="es-ES"/>
              </w:rPr>
              <w:t>REFERENCIA:</w:t>
            </w:r>
          </w:p>
        </w:tc>
        <w:tc>
          <w:tcPr>
            <w:tcW w:w="0" w:type="auto"/>
            <w:tcBorders>
              <w:top w:val="single" w:sz="8" w:space="0" w:color="auto"/>
              <w:left w:val="nil"/>
              <w:bottom w:val="nil"/>
              <w:right w:val="nil"/>
            </w:tcBorders>
            <w:shd w:val="clear" w:color="auto" w:fill="BFBFBF"/>
            <w:tcMar>
              <w:top w:w="0" w:type="dxa"/>
              <w:left w:w="108" w:type="dxa"/>
              <w:bottom w:w="0" w:type="dxa"/>
              <w:right w:w="108" w:type="dxa"/>
            </w:tcMar>
            <w:hideMark/>
          </w:tcPr>
          <w:p w:rsidR="00EE7121" w:rsidRPr="00EE7121" w:rsidRDefault="00EE7121" w:rsidP="00EE7121">
            <w:pPr>
              <w:spacing w:line="240" w:lineRule="auto"/>
              <w:jc w:val="left"/>
              <w:rPr>
                <w:rFonts w:ascii="Arial" w:eastAsia="Times New Roman" w:hAnsi="Arial" w:cs="Arial"/>
                <w:szCs w:val="24"/>
                <w:lang w:eastAsia="es-ES"/>
              </w:rPr>
            </w:pPr>
          </w:p>
        </w:tc>
        <w:tc>
          <w:tcPr>
            <w:tcW w:w="0" w:type="auto"/>
            <w:tcBorders>
              <w:top w:val="single" w:sz="8" w:space="0" w:color="auto"/>
              <w:left w:val="nil"/>
              <w:bottom w:val="nil"/>
              <w:right w:val="nil"/>
            </w:tcBorders>
            <w:shd w:val="clear" w:color="auto" w:fill="BFBFBF"/>
            <w:tcMar>
              <w:top w:w="0" w:type="dxa"/>
              <w:left w:w="108" w:type="dxa"/>
              <w:bottom w:w="0" w:type="dxa"/>
              <w:right w:w="108" w:type="dxa"/>
            </w:tcMar>
            <w:hideMark/>
          </w:tcPr>
          <w:p w:rsidR="00EE7121" w:rsidRPr="00EE7121" w:rsidRDefault="00EE7121" w:rsidP="00EE7121">
            <w:pPr>
              <w:spacing w:line="240" w:lineRule="auto"/>
              <w:jc w:val="left"/>
              <w:rPr>
                <w:rFonts w:eastAsia="Times New Roman" w:cs="Times New Roman"/>
                <w:sz w:val="20"/>
                <w:szCs w:val="20"/>
                <w:lang w:eastAsia="es-ES"/>
              </w:rPr>
            </w:pPr>
          </w:p>
        </w:tc>
        <w:tc>
          <w:tcPr>
            <w:tcW w:w="0" w:type="auto"/>
            <w:tcBorders>
              <w:top w:val="single" w:sz="8" w:space="0" w:color="auto"/>
              <w:left w:val="nil"/>
              <w:bottom w:val="nil"/>
              <w:right w:val="single" w:sz="8" w:space="0" w:color="auto"/>
            </w:tcBorders>
            <w:shd w:val="clear" w:color="auto" w:fill="BFBFBF"/>
            <w:tcMar>
              <w:top w:w="0" w:type="dxa"/>
              <w:left w:w="108" w:type="dxa"/>
              <w:bottom w:w="0" w:type="dxa"/>
              <w:right w:w="108" w:type="dxa"/>
            </w:tcMar>
            <w:hideMark/>
          </w:tcPr>
          <w:p w:rsidR="00EE7121" w:rsidRPr="00EE7121" w:rsidRDefault="00EE7121" w:rsidP="00EE7121">
            <w:pPr>
              <w:spacing w:line="240" w:lineRule="auto"/>
              <w:jc w:val="left"/>
              <w:rPr>
                <w:rFonts w:eastAsia="Times New Roman" w:cs="Times New Roman"/>
                <w:sz w:val="20"/>
                <w:szCs w:val="20"/>
                <w:lang w:eastAsia="es-ES"/>
              </w:rPr>
            </w:pPr>
          </w:p>
        </w:tc>
      </w:tr>
      <w:tr w:rsidR="00EE7121" w:rsidRPr="00EE7121" w:rsidTr="00EE7121">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rsidR="00EE7121" w:rsidRPr="00EE7121" w:rsidRDefault="00EE7121" w:rsidP="00EE7121">
            <w:pPr>
              <w:spacing w:line="240" w:lineRule="auto"/>
              <w:rPr>
                <w:rFonts w:ascii="Arial" w:eastAsia="Times New Roman" w:hAnsi="Arial" w:cs="Arial"/>
                <w:szCs w:val="24"/>
                <w:lang w:eastAsia="es-ES"/>
              </w:rPr>
            </w:pPr>
            <w:r w:rsidRPr="00EE7121">
              <w:rPr>
                <w:rFonts w:ascii="Segoe UI" w:eastAsia="Times New Roman" w:hAnsi="Segoe UI" w:cs="Segoe UI"/>
                <w:sz w:val="20"/>
                <w:szCs w:val="20"/>
                <w:lang w:val="es-CO" w:eastAsia="es-ES"/>
              </w:rPr>
              <w:t>Fecha de Radicado:</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rsidR="00EE7121" w:rsidRPr="00EE7121" w:rsidRDefault="00EE7121" w:rsidP="00EE7121">
            <w:pPr>
              <w:spacing w:line="240" w:lineRule="auto"/>
              <w:jc w:val="left"/>
              <w:rPr>
                <w:rFonts w:ascii="Arial" w:eastAsia="Times New Roman" w:hAnsi="Arial" w:cs="Arial"/>
                <w:szCs w:val="24"/>
                <w:lang w:eastAsia="es-ES"/>
              </w:rPr>
            </w:pP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rsidR="00EE7121" w:rsidRPr="00EE7121" w:rsidRDefault="00EE7121" w:rsidP="00EE7121">
            <w:pPr>
              <w:spacing w:line="240" w:lineRule="auto"/>
              <w:jc w:val="left"/>
              <w:rPr>
                <w:rFonts w:eastAsia="Times New Roman" w:cs="Times New Roman"/>
                <w:sz w:val="20"/>
                <w:szCs w:val="20"/>
                <w:lang w:eastAsia="es-ES"/>
              </w:rPr>
            </w:pP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rsidR="00EE7121" w:rsidRPr="00EE7121" w:rsidRDefault="00EE7121" w:rsidP="00EE7121">
            <w:pPr>
              <w:spacing w:line="240" w:lineRule="auto"/>
              <w:rPr>
                <w:rFonts w:ascii="Arial" w:eastAsia="Times New Roman" w:hAnsi="Arial" w:cs="Arial"/>
                <w:szCs w:val="24"/>
                <w:lang w:eastAsia="es-ES"/>
              </w:rPr>
            </w:pPr>
            <w:r w:rsidRPr="00EE7121">
              <w:rPr>
                <w:rFonts w:ascii="Segoe UI" w:eastAsia="Times New Roman" w:hAnsi="Segoe UI" w:cs="Segoe UI"/>
                <w:sz w:val="20"/>
                <w:szCs w:val="20"/>
                <w:lang w:val="es-CO" w:eastAsia="es-ES"/>
              </w:rPr>
              <w:t>06 de noviembre de 2019</w:t>
            </w:r>
          </w:p>
        </w:tc>
      </w:tr>
      <w:tr w:rsidR="00EE7121" w:rsidRPr="00EE7121" w:rsidTr="00EE7121">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rsidR="00EE7121" w:rsidRPr="00EE7121" w:rsidRDefault="00EE7121" w:rsidP="00EE7121">
            <w:pPr>
              <w:spacing w:line="240" w:lineRule="auto"/>
              <w:rPr>
                <w:rFonts w:ascii="Arial" w:eastAsia="Times New Roman" w:hAnsi="Arial" w:cs="Arial"/>
                <w:szCs w:val="24"/>
                <w:lang w:eastAsia="es-ES"/>
              </w:rPr>
            </w:pPr>
            <w:r w:rsidRPr="00EE7121">
              <w:rPr>
                <w:rFonts w:ascii="Segoe UI" w:eastAsia="Times New Roman" w:hAnsi="Segoe UI" w:cs="Segoe UI"/>
                <w:sz w:val="20"/>
                <w:szCs w:val="20"/>
                <w:lang w:val="es-CO" w:eastAsia="es-ES"/>
              </w:rPr>
              <w:t>Entidad de Origen:</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rsidR="00EE7121" w:rsidRPr="00EE7121" w:rsidRDefault="00EE7121" w:rsidP="00EE7121">
            <w:pPr>
              <w:spacing w:line="240" w:lineRule="auto"/>
              <w:jc w:val="left"/>
              <w:rPr>
                <w:rFonts w:ascii="Arial" w:eastAsia="Times New Roman" w:hAnsi="Arial" w:cs="Arial"/>
                <w:szCs w:val="24"/>
                <w:lang w:eastAsia="es-ES"/>
              </w:rPr>
            </w:pP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rsidR="00EE7121" w:rsidRPr="00EE7121" w:rsidRDefault="00EE7121" w:rsidP="00EE7121">
            <w:pPr>
              <w:spacing w:line="240" w:lineRule="auto"/>
              <w:jc w:val="left"/>
              <w:rPr>
                <w:rFonts w:eastAsia="Times New Roman" w:cs="Times New Roman"/>
                <w:sz w:val="20"/>
                <w:szCs w:val="20"/>
                <w:lang w:eastAsia="es-ES"/>
              </w:rPr>
            </w:pP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rsidR="00EE7121" w:rsidRPr="00EE7121" w:rsidRDefault="00EE7121" w:rsidP="00EE7121">
            <w:pPr>
              <w:spacing w:line="240" w:lineRule="auto"/>
              <w:rPr>
                <w:rFonts w:ascii="Arial" w:eastAsia="Times New Roman" w:hAnsi="Arial" w:cs="Arial"/>
                <w:szCs w:val="24"/>
                <w:lang w:eastAsia="es-ES"/>
              </w:rPr>
            </w:pPr>
            <w:r w:rsidRPr="00EE7121">
              <w:rPr>
                <w:rFonts w:ascii="Segoe UI" w:eastAsia="Times New Roman" w:hAnsi="Segoe UI" w:cs="Segoe UI"/>
                <w:sz w:val="20"/>
                <w:szCs w:val="20"/>
                <w:lang w:val="es-CO" w:eastAsia="es-ES"/>
              </w:rPr>
              <w:t>Consejo Técnico de la Contaduría Pública</w:t>
            </w:r>
          </w:p>
        </w:tc>
      </w:tr>
      <w:tr w:rsidR="00EE7121" w:rsidRPr="00EE7121" w:rsidTr="00EE7121">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rsidR="00EE7121" w:rsidRPr="00EE7121" w:rsidRDefault="00EE7121" w:rsidP="00EE7121">
            <w:pPr>
              <w:spacing w:line="240" w:lineRule="auto"/>
              <w:rPr>
                <w:rFonts w:ascii="Arial" w:eastAsia="Times New Roman" w:hAnsi="Arial" w:cs="Arial"/>
                <w:szCs w:val="24"/>
                <w:lang w:eastAsia="es-ES"/>
              </w:rPr>
            </w:pPr>
            <w:proofErr w:type="spellStart"/>
            <w:r w:rsidRPr="00EE7121">
              <w:rPr>
                <w:rFonts w:ascii="Segoe UI" w:eastAsia="Times New Roman" w:hAnsi="Segoe UI" w:cs="Segoe UI"/>
                <w:sz w:val="20"/>
                <w:szCs w:val="20"/>
                <w:lang w:val="es-CO" w:eastAsia="es-ES"/>
              </w:rPr>
              <w:t>Nº</w:t>
            </w:r>
            <w:proofErr w:type="spellEnd"/>
            <w:r w:rsidRPr="00EE7121">
              <w:rPr>
                <w:rFonts w:ascii="Segoe UI" w:eastAsia="Times New Roman" w:hAnsi="Segoe UI" w:cs="Segoe UI"/>
                <w:sz w:val="20"/>
                <w:szCs w:val="20"/>
                <w:lang w:val="es-CO" w:eastAsia="es-ES"/>
              </w:rPr>
              <w:t xml:space="preserve"> de Radicación CTCP:</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rsidR="00EE7121" w:rsidRPr="00EE7121" w:rsidRDefault="00EE7121" w:rsidP="00EE7121">
            <w:pPr>
              <w:spacing w:line="240" w:lineRule="auto"/>
              <w:jc w:val="left"/>
              <w:rPr>
                <w:rFonts w:ascii="Arial" w:eastAsia="Times New Roman" w:hAnsi="Arial" w:cs="Arial"/>
                <w:szCs w:val="24"/>
                <w:lang w:eastAsia="es-ES"/>
              </w:rPr>
            </w:pP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rsidR="00EE7121" w:rsidRPr="00EE7121" w:rsidRDefault="00EE7121" w:rsidP="00EE7121">
            <w:pPr>
              <w:spacing w:line="240" w:lineRule="auto"/>
              <w:jc w:val="left"/>
              <w:rPr>
                <w:rFonts w:eastAsia="Times New Roman" w:cs="Times New Roman"/>
                <w:sz w:val="20"/>
                <w:szCs w:val="20"/>
                <w:lang w:eastAsia="es-ES"/>
              </w:rPr>
            </w:pP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rsidR="00EE7121" w:rsidRPr="00EE7121" w:rsidRDefault="00EE7121" w:rsidP="00EE7121">
            <w:pPr>
              <w:spacing w:line="240" w:lineRule="auto"/>
              <w:rPr>
                <w:rFonts w:ascii="Arial" w:eastAsia="Times New Roman" w:hAnsi="Arial" w:cs="Arial"/>
                <w:szCs w:val="24"/>
                <w:lang w:eastAsia="es-ES"/>
              </w:rPr>
            </w:pPr>
            <w:r w:rsidRPr="00EE7121">
              <w:rPr>
                <w:rFonts w:ascii="Segoe UI" w:eastAsia="Times New Roman" w:hAnsi="Segoe UI" w:cs="Segoe UI"/>
                <w:sz w:val="20"/>
                <w:szCs w:val="20"/>
                <w:lang w:val="es-CO" w:eastAsia="es-ES"/>
              </w:rPr>
              <w:t>2019-1087 – CONSULTA</w:t>
            </w:r>
          </w:p>
        </w:tc>
      </w:tr>
      <w:tr w:rsidR="00EE7121" w:rsidRPr="00EE7121" w:rsidTr="00EE7121">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rsidR="00EE7121" w:rsidRPr="00EE7121" w:rsidRDefault="00EE7121" w:rsidP="00EE7121">
            <w:pPr>
              <w:spacing w:line="240" w:lineRule="auto"/>
              <w:rPr>
                <w:rFonts w:ascii="Arial" w:eastAsia="Times New Roman" w:hAnsi="Arial" w:cs="Arial"/>
                <w:szCs w:val="24"/>
                <w:lang w:eastAsia="es-ES"/>
              </w:rPr>
            </w:pPr>
            <w:r w:rsidRPr="00EE7121">
              <w:rPr>
                <w:rFonts w:ascii="Segoe UI" w:eastAsia="Times New Roman" w:hAnsi="Segoe UI" w:cs="Segoe UI"/>
                <w:sz w:val="20"/>
                <w:szCs w:val="20"/>
                <w:lang w:val="es-CO" w:eastAsia="es-ES"/>
              </w:rPr>
              <w:t>Código referencia:</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rsidR="00EE7121" w:rsidRPr="00EE7121" w:rsidRDefault="00EE7121" w:rsidP="00EE7121">
            <w:pPr>
              <w:spacing w:line="240" w:lineRule="auto"/>
              <w:jc w:val="left"/>
              <w:rPr>
                <w:rFonts w:ascii="Arial" w:eastAsia="Times New Roman" w:hAnsi="Arial" w:cs="Arial"/>
                <w:szCs w:val="24"/>
                <w:lang w:eastAsia="es-ES"/>
              </w:rPr>
            </w:pP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rsidR="00EE7121" w:rsidRPr="00EE7121" w:rsidRDefault="00EE7121" w:rsidP="00EE7121">
            <w:pPr>
              <w:spacing w:line="240" w:lineRule="auto"/>
              <w:jc w:val="left"/>
              <w:rPr>
                <w:rFonts w:eastAsia="Times New Roman" w:cs="Times New Roman"/>
                <w:sz w:val="20"/>
                <w:szCs w:val="20"/>
                <w:lang w:eastAsia="es-ES"/>
              </w:rPr>
            </w:pP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rsidR="00EE7121" w:rsidRPr="00EE7121" w:rsidRDefault="00EE7121" w:rsidP="00EE7121">
            <w:pPr>
              <w:spacing w:line="240" w:lineRule="auto"/>
              <w:rPr>
                <w:rFonts w:ascii="Arial" w:eastAsia="Times New Roman" w:hAnsi="Arial" w:cs="Arial"/>
                <w:szCs w:val="24"/>
                <w:lang w:eastAsia="es-ES"/>
              </w:rPr>
            </w:pPr>
            <w:r w:rsidRPr="00EE7121">
              <w:rPr>
                <w:rFonts w:ascii="Segoe UI" w:eastAsia="Times New Roman" w:hAnsi="Segoe UI" w:cs="Segoe UI"/>
                <w:sz w:val="20"/>
                <w:szCs w:val="20"/>
                <w:lang w:val="es-CO" w:eastAsia="es-ES"/>
              </w:rPr>
              <w:t>O-2-105</w:t>
            </w:r>
          </w:p>
        </w:tc>
      </w:tr>
      <w:tr w:rsidR="00EE7121" w:rsidRPr="00EE7121" w:rsidTr="00EE7121">
        <w:tc>
          <w:tcPr>
            <w:tcW w:w="0" w:type="auto"/>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EE7121" w:rsidRPr="00EE7121" w:rsidRDefault="00EE7121" w:rsidP="00EE7121">
            <w:pPr>
              <w:spacing w:line="240" w:lineRule="auto"/>
              <w:rPr>
                <w:rFonts w:ascii="Arial" w:eastAsia="Times New Roman" w:hAnsi="Arial" w:cs="Arial"/>
                <w:szCs w:val="24"/>
                <w:lang w:eastAsia="es-ES"/>
              </w:rPr>
            </w:pPr>
            <w:r w:rsidRPr="00EE7121">
              <w:rPr>
                <w:rFonts w:ascii="Segoe UI" w:eastAsia="Times New Roman" w:hAnsi="Segoe UI" w:cs="Segoe UI"/>
                <w:sz w:val="20"/>
                <w:szCs w:val="20"/>
                <w:lang w:val="es-CO" w:eastAsia="es-ES"/>
              </w:rPr>
              <w:t>Tema:</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hideMark/>
          </w:tcPr>
          <w:p w:rsidR="00EE7121" w:rsidRPr="00EE7121" w:rsidRDefault="00EE7121" w:rsidP="00EE7121">
            <w:pPr>
              <w:spacing w:line="240" w:lineRule="auto"/>
              <w:jc w:val="left"/>
              <w:rPr>
                <w:rFonts w:ascii="Arial" w:eastAsia="Times New Roman" w:hAnsi="Arial" w:cs="Arial"/>
                <w:szCs w:val="24"/>
                <w:lang w:eastAsia="es-ES"/>
              </w:rPr>
            </w:pPr>
          </w:p>
        </w:tc>
        <w:tc>
          <w:tcPr>
            <w:tcW w:w="0" w:type="auto"/>
            <w:tcBorders>
              <w:top w:val="nil"/>
              <w:left w:val="nil"/>
              <w:bottom w:val="single" w:sz="8" w:space="0" w:color="auto"/>
              <w:right w:val="nil"/>
            </w:tcBorders>
            <w:shd w:val="clear" w:color="auto" w:fill="auto"/>
            <w:tcMar>
              <w:top w:w="0" w:type="dxa"/>
              <w:left w:w="108" w:type="dxa"/>
              <w:bottom w:w="0" w:type="dxa"/>
              <w:right w:w="108" w:type="dxa"/>
            </w:tcMar>
            <w:hideMark/>
          </w:tcPr>
          <w:p w:rsidR="00EE7121" w:rsidRPr="00EE7121" w:rsidRDefault="00EE7121" w:rsidP="00EE7121">
            <w:pPr>
              <w:spacing w:line="240" w:lineRule="auto"/>
              <w:jc w:val="left"/>
              <w:rPr>
                <w:rFonts w:eastAsia="Times New Roman" w:cs="Times New Roman"/>
                <w:sz w:val="20"/>
                <w:szCs w:val="20"/>
                <w:lang w:eastAsia="es-ES"/>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E7121" w:rsidRPr="00EE7121" w:rsidRDefault="00EE7121" w:rsidP="00EE7121">
            <w:pPr>
              <w:spacing w:line="240" w:lineRule="auto"/>
              <w:rPr>
                <w:rFonts w:ascii="Arial" w:eastAsia="Times New Roman" w:hAnsi="Arial" w:cs="Arial"/>
                <w:szCs w:val="24"/>
                <w:lang w:eastAsia="es-ES"/>
              </w:rPr>
            </w:pPr>
            <w:r w:rsidRPr="00EE7121">
              <w:rPr>
                <w:rFonts w:ascii="Segoe UI" w:eastAsia="Times New Roman" w:hAnsi="Segoe UI" w:cs="Segoe UI"/>
                <w:sz w:val="20"/>
                <w:szCs w:val="20"/>
                <w:lang w:val="es-CO" w:eastAsia="es-ES"/>
              </w:rPr>
              <w:t>CIENCIA CONTABLE</w:t>
            </w:r>
          </w:p>
        </w:tc>
      </w:tr>
    </w:tbl>
    <w:p w:rsidR="00EE7121" w:rsidRPr="00EE7121" w:rsidRDefault="00EE7121" w:rsidP="00EE7121">
      <w:pPr>
        <w:spacing w:line="240" w:lineRule="auto"/>
        <w:rPr>
          <w:rFonts w:ascii="Arial" w:eastAsia="Times New Roman" w:hAnsi="Arial" w:cs="Arial"/>
          <w:color w:val="000000"/>
          <w:sz w:val="18"/>
          <w:szCs w:val="18"/>
          <w:lang w:eastAsia="es-ES"/>
        </w:rPr>
      </w:pPr>
      <w:r w:rsidRPr="00EE7121">
        <w:rPr>
          <w:rFonts w:ascii="Arial" w:eastAsia="Times New Roman" w:hAnsi="Arial" w:cs="Arial"/>
          <w:color w:val="000000"/>
          <w:sz w:val="18"/>
          <w:szCs w:val="18"/>
          <w:lang w:eastAsia="es-ES"/>
        </w:rPr>
        <w:t> </w:t>
      </w:r>
    </w:p>
    <w:p w:rsidR="00EE7121" w:rsidRPr="00EE7121" w:rsidRDefault="00EE7121" w:rsidP="00EE7121">
      <w:pPr>
        <w:spacing w:line="240" w:lineRule="auto"/>
        <w:rPr>
          <w:rFonts w:ascii="Arial" w:eastAsia="Times New Roman" w:hAnsi="Arial" w:cs="Arial"/>
          <w:color w:val="000000"/>
          <w:sz w:val="18"/>
          <w:szCs w:val="18"/>
          <w:lang w:eastAsia="es-ES"/>
        </w:rPr>
      </w:pPr>
      <w:r w:rsidRPr="00EE7121">
        <w:rPr>
          <w:rFonts w:ascii="Arial" w:eastAsia="Times New Roman" w:hAnsi="Arial" w:cs="Arial"/>
          <w:color w:val="000000"/>
          <w:sz w:val="18"/>
          <w:szCs w:val="18"/>
          <w:lang w:eastAsia="es-ES"/>
        </w:rPr>
        <w:t> </w:t>
      </w:r>
    </w:p>
    <w:p w:rsidR="00EE7121" w:rsidRPr="00EE7121" w:rsidRDefault="00EE7121" w:rsidP="00EE7121">
      <w:pPr>
        <w:spacing w:line="240" w:lineRule="auto"/>
        <w:rPr>
          <w:rFonts w:ascii="Arial" w:eastAsia="Times New Roman" w:hAnsi="Arial" w:cs="Arial"/>
          <w:color w:val="000000"/>
          <w:sz w:val="18"/>
          <w:szCs w:val="18"/>
          <w:lang w:eastAsia="es-ES"/>
        </w:rPr>
      </w:pPr>
      <w:r w:rsidRPr="00EE7121">
        <w:rPr>
          <w:rFonts w:ascii="Segoe UI" w:eastAsia="Times New Roman" w:hAnsi="Segoe UI" w:cs="Segoe UI"/>
          <w:color w:val="000000"/>
          <w:sz w:val="18"/>
          <w:szCs w:val="18"/>
          <w:lang w:val="es-CO" w:eastAsia="es-ES"/>
        </w:rPr>
        <w:t>El Consejo Técnico de la Contaduría Pública (CTCP) en su carácter de Organismo de Normalización Técnica de Normas de Contabilidad, de Información Financiera y de Aseguramiento de la Información, de acuerdo con lo dispuesto en el Decreto Único 2420 de 2015, modificado por los Decretos 2496 de 2015, 2101, 2131, 2132 de 2016, 2170 de 2017 y 2483 de 2018, en los cuales se faculta al CTCP para resolver las inquietudes que se formulen en desarrollo de la adecuada aplicación de los marcos técnicos normativos de las normas de información financiera y de aseguramiento de la información, y el numeral 3° del Artículo 33 de la Ley 43 de 1990, que señala como una de sus funciones el de servir de órgano asesor y consultor del Estado y de los particulares en todos los aspectos técnicos relacionados con el desarrollo y el ejercicio de la profesión, procede a dar respuesta a una consulta en los siguientes términos.</w:t>
      </w:r>
    </w:p>
    <w:p w:rsidR="00EE7121" w:rsidRPr="00EE7121" w:rsidRDefault="00EE7121" w:rsidP="00EE7121">
      <w:pPr>
        <w:spacing w:line="240" w:lineRule="auto"/>
        <w:rPr>
          <w:rFonts w:ascii="Arial" w:eastAsia="Times New Roman" w:hAnsi="Arial" w:cs="Arial"/>
          <w:color w:val="000000"/>
          <w:sz w:val="18"/>
          <w:szCs w:val="18"/>
          <w:lang w:eastAsia="es-ES"/>
        </w:rPr>
      </w:pPr>
      <w:r w:rsidRPr="00EE7121">
        <w:rPr>
          <w:rFonts w:ascii="Arial" w:eastAsia="Times New Roman" w:hAnsi="Arial" w:cs="Arial"/>
          <w:color w:val="000000"/>
          <w:sz w:val="18"/>
          <w:szCs w:val="18"/>
          <w:lang w:eastAsia="es-ES"/>
        </w:rPr>
        <w:t> </w:t>
      </w:r>
    </w:p>
    <w:tbl>
      <w:tblPr>
        <w:tblW w:w="0" w:type="auto"/>
        <w:tblCellMar>
          <w:left w:w="0" w:type="dxa"/>
          <w:right w:w="0" w:type="dxa"/>
        </w:tblCellMar>
        <w:tblLook w:val="04A0" w:firstRow="1" w:lastRow="0" w:firstColumn="1" w:lastColumn="0" w:noHBand="0" w:noVBand="1"/>
      </w:tblPr>
      <w:tblGrid>
        <w:gridCol w:w="9336"/>
      </w:tblGrid>
      <w:tr w:rsidR="00EE7121" w:rsidRPr="00EE7121" w:rsidTr="00EE7121">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E7121" w:rsidRPr="00EE7121" w:rsidRDefault="00EE7121" w:rsidP="00EE7121">
            <w:pPr>
              <w:spacing w:line="240" w:lineRule="auto"/>
              <w:rPr>
                <w:rFonts w:ascii="Arial" w:eastAsia="Times New Roman" w:hAnsi="Arial" w:cs="Arial"/>
                <w:szCs w:val="24"/>
                <w:lang w:eastAsia="es-ES"/>
              </w:rPr>
            </w:pPr>
            <w:r w:rsidRPr="00EE7121">
              <w:rPr>
                <w:rFonts w:ascii="Segoe UI" w:eastAsia="Times New Roman" w:hAnsi="Segoe UI" w:cs="Segoe UI"/>
                <w:b/>
                <w:bCs/>
                <w:sz w:val="20"/>
                <w:szCs w:val="20"/>
                <w:lang w:val="es-CO" w:eastAsia="es-ES"/>
              </w:rPr>
              <w:t>RESUMEN</w:t>
            </w:r>
          </w:p>
          <w:p w:rsidR="00EE7121" w:rsidRPr="00EE7121" w:rsidRDefault="00EE7121" w:rsidP="00EE7121">
            <w:pPr>
              <w:spacing w:line="240" w:lineRule="auto"/>
              <w:rPr>
                <w:rFonts w:ascii="Arial" w:eastAsia="Times New Roman" w:hAnsi="Arial" w:cs="Arial"/>
                <w:szCs w:val="24"/>
                <w:lang w:eastAsia="es-ES"/>
              </w:rPr>
            </w:pPr>
            <w:r w:rsidRPr="00EE7121">
              <w:rPr>
                <w:rFonts w:ascii="Segoe UI" w:eastAsia="Times New Roman" w:hAnsi="Segoe UI" w:cs="Segoe UI"/>
                <w:i/>
                <w:iCs/>
                <w:sz w:val="20"/>
                <w:szCs w:val="20"/>
                <w:lang w:val="es-CO" w:eastAsia="es-ES"/>
              </w:rPr>
              <w:t>“….Para los efectos de esta ley se entienden por actividades relacionadas con la ciencia contable en general todas aquellas que implican organización, revisión y control de contabilidades, certificaciones y dictámenes sobre estados financieros, certificaciones que se expidan con fundamentos en los libros de contabilidad, revisoría fiscal prestación de servicios de auditoría, así como todas aquellas actividades conexas con la naturaleza de la función profesional del Contador Público, tales como: la asesoría tributaria, la asesoría gerencial, en aspectos contables y similares.”</w:t>
            </w:r>
          </w:p>
        </w:tc>
      </w:tr>
    </w:tbl>
    <w:p w:rsidR="00EE7121" w:rsidRPr="00EE7121" w:rsidRDefault="00EE7121" w:rsidP="00EE7121">
      <w:pPr>
        <w:spacing w:line="240" w:lineRule="auto"/>
        <w:rPr>
          <w:rFonts w:ascii="Arial" w:eastAsia="Times New Roman" w:hAnsi="Arial" w:cs="Arial"/>
          <w:color w:val="000000"/>
          <w:sz w:val="18"/>
          <w:szCs w:val="18"/>
          <w:lang w:eastAsia="es-ES"/>
        </w:rPr>
      </w:pPr>
      <w:r w:rsidRPr="00EE7121">
        <w:rPr>
          <w:rFonts w:ascii="Arial" w:eastAsia="Times New Roman" w:hAnsi="Arial" w:cs="Arial"/>
          <w:color w:val="000000"/>
          <w:sz w:val="18"/>
          <w:szCs w:val="18"/>
          <w:lang w:eastAsia="es-ES"/>
        </w:rPr>
        <w:t> </w:t>
      </w:r>
    </w:p>
    <w:p w:rsidR="00EE7121" w:rsidRPr="00EE7121" w:rsidRDefault="00EE7121" w:rsidP="00EE7121">
      <w:pPr>
        <w:spacing w:line="240" w:lineRule="auto"/>
        <w:rPr>
          <w:rFonts w:ascii="Arial" w:eastAsia="Times New Roman" w:hAnsi="Arial" w:cs="Arial"/>
          <w:color w:val="000000"/>
          <w:sz w:val="18"/>
          <w:szCs w:val="18"/>
          <w:lang w:eastAsia="es-ES"/>
        </w:rPr>
      </w:pPr>
      <w:r w:rsidRPr="00EE7121">
        <w:rPr>
          <w:rFonts w:ascii="Arial" w:eastAsia="Times New Roman" w:hAnsi="Arial" w:cs="Arial"/>
          <w:color w:val="000000"/>
          <w:sz w:val="18"/>
          <w:szCs w:val="18"/>
          <w:lang w:eastAsia="es-ES"/>
        </w:rPr>
        <w:t> </w:t>
      </w:r>
    </w:p>
    <w:p w:rsidR="00EE7121" w:rsidRPr="00EE7121" w:rsidRDefault="00EE7121" w:rsidP="00EE7121">
      <w:pPr>
        <w:spacing w:line="240" w:lineRule="auto"/>
        <w:rPr>
          <w:rFonts w:ascii="Arial" w:eastAsia="Times New Roman" w:hAnsi="Arial" w:cs="Arial"/>
          <w:color w:val="000000"/>
          <w:sz w:val="18"/>
          <w:szCs w:val="18"/>
          <w:lang w:eastAsia="es-ES"/>
        </w:rPr>
      </w:pPr>
      <w:r w:rsidRPr="00EE7121">
        <w:rPr>
          <w:rFonts w:ascii="Segoe UI" w:eastAsia="Times New Roman" w:hAnsi="Segoe UI" w:cs="Segoe UI"/>
          <w:b/>
          <w:bCs/>
          <w:color w:val="000000"/>
          <w:sz w:val="18"/>
          <w:szCs w:val="18"/>
          <w:lang w:val="es-CO" w:eastAsia="es-ES"/>
        </w:rPr>
        <w:t>CONSULTA (TEXTUAL)</w:t>
      </w:r>
    </w:p>
    <w:p w:rsidR="00EE7121" w:rsidRPr="00EE7121" w:rsidRDefault="00EE7121" w:rsidP="00EE7121">
      <w:pPr>
        <w:spacing w:line="240" w:lineRule="auto"/>
        <w:ind w:left="284"/>
        <w:rPr>
          <w:rFonts w:ascii="Arial" w:eastAsia="Times New Roman" w:hAnsi="Arial" w:cs="Arial"/>
          <w:color w:val="000000"/>
          <w:sz w:val="18"/>
          <w:szCs w:val="18"/>
          <w:lang w:eastAsia="es-ES"/>
        </w:rPr>
      </w:pPr>
      <w:r w:rsidRPr="00EE7121">
        <w:rPr>
          <w:rFonts w:ascii="Arial" w:eastAsia="Times New Roman" w:hAnsi="Arial" w:cs="Arial"/>
          <w:color w:val="000000"/>
          <w:sz w:val="18"/>
          <w:szCs w:val="18"/>
          <w:lang w:eastAsia="es-ES"/>
        </w:rPr>
        <w:t> </w:t>
      </w:r>
    </w:p>
    <w:p w:rsidR="00EE7121" w:rsidRPr="00EE7121" w:rsidRDefault="00EE7121" w:rsidP="00EE7121">
      <w:pPr>
        <w:spacing w:line="240" w:lineRule="auto"/>
        <w:ind w:left="284"/>
        <w:rPr>
          <w:rFonts w:ascii="Arial" w:eastAsia="Times New Roman" w:hAnsi="Arial" w:cs="Arial"/>
          <w:color w:val="000000"/>
          <w:sz w:val="18"/>
          <w:szCs w:val="18"/>
          <w:lang w:eastAsia="es-ES"/>
        </w:rPr>
      </w:pPr>
      <w:r w:rsidRPr="00EE7121">
        <w:rPr>
          <w:rFonts w:ascii="Segoe UI" w:eastAsia="Times New Roman" w:hAnsi="Segoe UI" w:cs="Segoe UI"/>
          <w:i/>
          <w:iCs/>
          <w:color w:val="000000"/>
          <w:sz w:val="18"/>
          <w:szCs w:val="18"/>
          <w:lang w:val="es-CO" w:eastAsia="es-ES"/>
        </w:rPr>
        <w:t>“(…)</w:t>
      </w:r>
    </w:p>
    <w:p w:rsidR="00EE7121" w:rsidRPr="00EE7121" w:rsidRDefault="00EE7121" w:rsidP="00EE7121">
      <w:pPr>
        <w:spacing w:line="240" w:lineRule="auto"/>
        <w:ind w:left="284"/>
        <w:rPr>
          <w:rFonts w:ascii="Arial" w:eastAsia="Times New Roman" w:hAnsi="Arial" w:cs="Arial"/>
          <w:color w:val="000000"/>
          <w:sz w:val="18"/>
          <w:szCs w:val="18"/>
          <w:lang w:eastAsia="es-ES"/>
        </w:rPr>
      </w:pPr>
      <w:r w:rsidRPr="00EE7121">
        <w:rPr>
          <w:rFonts w:ascii="Segoe UI" w:eastAsia="Times New Roman" w:hAnsi="Segoe UI" w:cs="Segoe UI"/>
          <w:i/>
          <w:iCs/>
          <w:color w:val="000000"/>
          <w:sz w:val="18"/>
          <w:szCs w:val="18"/>
          <w:lang w:val="es-CO" w:eastAsia="es-ES"/>
        </w:rPr>
        <w:t>1. Que se entiende por ciencia contable?</w:t>
      </w:r>
    </w:p>
    <w:p w:rsidR="00EE7121" w:rsidRPr="00EE7121" w:rsidRDefault="00EE7121" w:rsidP="00EE7121">
      <w:pPr>
        <w:spacing w:line="240" w:lineRule="auto"/>
        <w:ind w:left="284"/>
        <w:rPr>
          <w:rFonts w:ascii="Arial" w:eastAsia="Times New Roman" w:hAnsi="Arial" w:cs="Arial"/>
          <w:color w:val="000000"/>
          <w:sz w:val="18"/>
          <w:szCs w:val="18"/>
          <w:lang w:eastAsia="es-ES"/>
        </w:rPr>
      </w:pPr>
      <w:r w:rsidRPr="00EE7121">
        <w:rPr>
          <w:rFonts w:ascii="Segoe UI" w:eastAsia="Times New Roman" w:hAnsi="Segoe UI" w:cs="Segoe UI"/>
          <w:i/>
          <w:iCs/>
          <w:color w:val="000000"/>
          <w:sz w:val="18"/>
          <w:szCs w:val="18"/>
          <w:lang w:val="es-CO" w:eastAsia="es-ES"/>
        </w:rPr>
        <w:t xml:space="preserve">2. </w:t>
      </w:r>
      <w:proofErr w:type="gramStart"/>
      <w:r w:rsidRPr="00EE7121">
        <w:rPr>
          <w:rFonts w:ascii="Segoe UI" w:eastAsia="Times New Roman" w:hAnsi="Segoe UI" w:cs="Segoe UI"/>
          <w:i/>
          <w:iCs/>
          <w:color w:val="000000"/>
          <w:sz w:val="18"/>
          <w:szCs w:val="18"/>
          <w:lang w:val="es-CO" w:eastAsia="es-ES"/>
        </w:rPr>
        <w:t>Si yo establezco flujos contables para un cliente de acuerdo a COLGAAP y NIIF, pero un contador público posteriormente aprueba los estados financieros con su firma, caería bajo “ciencia contable” o es únicamente en caso de que yo como representante legal firme los estados financieros?</w:t>
      </w:r>
      <w:proofErr w:type="gramEnd"/>
    </w:p>
    <w:p w:rsidR="00EE7121" w:rsidRPr="00EE7121" w:rsidRDefault="00EE7121" w:rsidP="00EE7121">
      <w:pPr>
        <w:spacing w:line="240" w:lineRule="auto"/>
        <w:ind w:left="284"/>
        <w:rPr>
          <w:rFonts w:ascii="Arial" w:eastAsia="Times New Roman" w:hAnsi="Arial" w:cs="Arial"/>
          <w:color w:val="000000"/>
          <w:sz w:val="18"/>
          <w:szCs w:val="18"/>
          <w:lang w:eastAsia="es-ES"/>
        </w:rPr>
      </w:pPr>
      <w:r w:rsidRPr="00EE7121">
        <w:rPr>
          <w:rFonts w:ascii="Segoe UI" w:eastAsia="Times New Roman" w:hAnsi="Segoe UI" w:cs="Segoe UI"/>
          <w:i/>
          <w:iCs/>
          <w:color w:val="000000"/>
          <w:sz w:val="18"/>
          <w:szCs w:val="18"/>
          <w:lang w:val="es-CO" w:eastAsia="es-ES"/>
        </w:rPr>
        <w:t>(…)”</w:t>
      </w:r>
    </w:p>
    <w:p w:rsidR="00EE7121" w:rsidRPr="00EE7121" w:rsidRDefault="00EE7121" w:rsidP="00EE7121">
      <w:pPr>
        <w:spacing w:line="240" w:lineRule="auto"/>
        <w:rPr>
          <w:rFonts w:ascii="Arial" w:eastAsia="Times New Roman" w:hAnsi="Arial" w:cs="Arial"/>
          <w:color w:val="000000"/>
          <w:sz w:val="18"/>
          <w:szCs w:val="18"/>
          <w:lang w:eastAsia="es-ES"/>
        </w:rPr>
      </w:pPr>
      <w:r w:rsidRPr="00EE7121">
        <w:rPr>
          <w:rFonts w:ascii="Arial" w:eastAsia="Times New Roman" w:hAnsi="Arial" w:cs="Arial"/>
          <w:color w:val="000000"/>
          <w:sz w:val="18"/>
          <w:szCs w:val="18"/>
          <w:lang w:eastAsia="es-ES"/>
        </w:rPr>
        <w:t> </w:t>
      </w:r>
    </w:p>
    <w:p w:rsidR="00EE7121" w:rsidRPr="00EE7121" w:rsidRDefault="00EE7121" w:rsidP="00EE7121">
      <w:pPr>
        <w:spacing w:line="240" w:lineRule="auto"/>
        <w:rPr>
          <w:rFonts w:ascii="Arial" w:eastAsia="Times New Roman" w:hAnsi="Arial" w:cs="Arial"/>
          <w:color w:val="000000"/>
          <w:sz w:val="18"/>
          <w:szCs w:val="18"/>
          <w:lang w:eastAsia="es-ES"/>
        </w:rPr>
      </w:pPr>
      <w:r w:rsidRPr="00EE7121">
        <w:rPr>
          <w:rFonts w:ascii="Segoe UI" w:eastAsia="Times New Roman" w:hAnsi="Segoe UI" w:cs="Segoe UI"/>
          <w:b/>
          <w:bCs/>
          <w:color w:val="000000"/>
          <w:sz w:val="18"/>
          <w:szCs w:val="18"/>
          <w:lang w:val="es-CO" w:eastAsia="es-ES"/>
        </w:rPr>
        <w:t>CONSIDERACIONES Y RESPUESTA</w:t>
      </w:r>
    </w:p>
    <w:p w:rsidR="00EE7121" w:rsidRPr="00EE7121" w:rsidRDefault="00EE7121" w:rsidP="00EE7121">
      <w:pPr>
        <w:spacing w:line="240" w:lineRule="auto"/>
        <w:rPr>
          <w:rFonts w:ascii="Arial" w:eastAsia="Times New Roman" w:hAnsi="Arial" w:cs="Arial"/>
          <w:color w:val="000000"/>
          <w:sz w:val="18"/>
          <w:szCs w:val="18"/>
          <w:lang w:eastAsia="es-ES"/>
        </w:rPr>
      </w:pPr>
      <w:r w:rsidRPr="00EE7121">
        <w:rPr>
          <w:rFonts w:ascii="Arial" w:eastAsia="Times New Roman" w:hAnsi="Arial" w:cs="Arial"/>
          <w:color w:val="000000"/>
          <w:sz w:val="18"/>
          <w:szCs w:val="18"/>
          <w:lang w:eastAsia="es-ES"/>
        </w:rPr>
        <w:t> </w:t>
      </w:r>
    </w:p>
    <w:p w:rsidR="00EE7121" w:rsidRPr="00EE7121" w:rsidRDefault="00EE7121" w:rsidP="00EE7121">
      <w:pPr>
        <w:spacing w:line="240" w:lineRule="auto"/>
        <w:rPr>
          <w:rFonts w:ascii="Arial" w:eastAsia="Times New Roman" w:hAnsi="Arial" w:cs="Arial"/>
          <w:color w:val="000000"/>
          <w:sz w:val="18"/>
          <w:szCs w:val="18"/>
          <w:lang w:eastAsia="es-ES"/>
        </w:rPr>
      </w:pPr>
      <w:r w:rsidRPr="00EE7121">
        <w:rPr>
          <w:rFonts w:ascii="Segoe UI" w:eastAsia="Times New Roman" w:hAnsi="Segoe UI" w:cs="Segoe UI"/>
          <w:color w:val="000000"/>
          <w:sz w:val="18"/>
          <w:szCs w:val="18"/>
          <w:lang w:val="es-CO" w:eastAsia="es-ES"/>
        </w:rPr>
        <w:t>Dentro del carácter ya indicado, las respuestas del CTCP son de naturaleza general y abstracta, dado que su misión no consiste en resolver problemas específicos que correspondan a un caso particular. Además de lo anterior, el alcance de los conceptos emitidos por este Consejo se circunscribe exclusivamente a aspectos relacionados con la aplicación de las normas de contabilidad, información financiera y aseguramiento de la información.</w:t>
      </w:r>
    </w:p>
    <w:p w:rsidR="00EE7121" w:rsidRPr="00EE7121" w:rsidRDefault="00EE7121" w:rsidP="00EE7121">
      <w:pPr>
        <w:spacing w:line="240" w:lineRule="auto"/>
        <w:rPr>
          <w:rFonts w:ascii="Arial" w:eastAsia="Times New Roman" w:hAnsi="Arial" w:cs="Arial"/>
          <w:color w:val="000000"/>
          <w:sz w:val="18"/>
          <w:szCs w:val="18"/>
          <w:lang w:eastAsia="es-ES"/>
        </w:rPr>
      </w:pPr>
      <w:r w:rsidRPr="00EE7121">
        <w:rPr>
          <w:rFonts w:ascii="Arial" w:eastAsia="Times New Roman" w:hAnsi="Arial" w:cs="Arial"/>
          <w:color w:val="000000"/>
          <w:sz w:val="18"/>
          <w:szCs w:val="18"/>
          <w:lang w:eastAsia="es-ES"/>
        </w:rPr>
        <w:t> </w:t>
      </w:r>
    </w:p>
    <w:p w:rsidR="00EE7121" w:rsidRPr="00EE7121" w:rsidRDefault="00EE7121" w:rsidP="00EE7121">
      <w:pPr>
        <w:spacing w:line="240" w:lineRule="auto"/>
        <w:rPr>
          <w:rFonts w:ascii="Arial" w:eastAsia="Times New Roman" w:hAnsi="Arial" w:cs="Arial"/>
          <w:color w:val="000000"/>
          <w:sz w:val="18"/>
          <w:szCs w:val="18"/>
          <w:lang w:eastAsia="es-ES"/>
        </w:rPr>
      </w:pPr>
      <w:r w:rsidRPr="00EE7121">
        <w:rPr>
          <w:rFonts w:ascii="Segoe UI" w:eastAsia="Times New Roman" w:hAnsi="Segoe UI" w:cs="Segoe UI"/>
          <w:color w:val="000000"/>
          <w:sz w:val="18"/>
          <w:szCs w:val="18"/>
          <w:lang w:val="es-CO" w:eastAsia="es-ES"/>
        </w:rPr>
        <w:t>En primer término, debemos aclarar que habiéndose emitido los decretos que ponen en vigencia los estándares de información financiera en Colombia, el tratamiento contable debe efectuarse teniendo en cuenta el marco técnico normativo que le corresponda a la entidad. Como no se indica en la consulta el grupo al que pertenece el consultante, este concepto se elabora teniendo como referente el Marco Técnico Normativo correspondiente al Grupo 2, contenido en el Decreto Único 2420 de 2015 y sus modificaciones, es decir, la NIIF para PYMES.</w:t>
      </w:r>
    </w:p>
    <w:p w:rsidR="00EE7121" w:rsidRPr="00EE7121" w:rsidRDefault="00EE7121" w:rsidP="00EE7121">
      <w:pPr>
        <w:spacing w:line="240" w:lineRule="auto"/>
        <w:rPr>
          <w:rFonts w:ascii="Arial" w:eastAsia="Times New Roman" w:hAnsi="Arial" w:cs="Arial"/>
          <w:color w:val="000000"/>
          <w:sz w:val="18"/>
          <w:szCs w:val="18"/>
          <w:lang w:eastAsia="es-ES"/>
        </w:rPr>
      </w:pPr>
      <w:r w:rsidRPr="00EE7121">
        <w:rPr>
          <w:rFonts w:ascii="Arial" w:eastAsia="Times New Roman" w:hAnsi="Arial" w:cs="Arial"/>
          <w:color w:val="000000"/>
          <w:sz w:val="18"/>
          <w:szCs w:val="18"/>
          <w:lang w:eastAsia="es-ES"/>
        </w:rPr>
        <w:t> </w:t>
      </w:r>
    </w:p>
    <w:p w:rsidR="00EE7121" w:rsidRPr="00EE7121" w:rsidRDefault="00EE7121" w:rsidP="00EE7121">
      <w:pPr>
        <w:spacing w:line="240" w:lineRule="auto"/>
        <w:rPr>
          <w:rFonts w:ascii="Arial" w:eastAsia="Times New Roman" w:hAnsi="Arial" w:cs="Arial"/>
          <w:color w:val="000000"/>
          <w:sz w:val="18"/>
          <w:szCs w:val="18"/>
          <w:lang w:eastAsia="es-ES"/>
        </w:rPr>
      </w:pPr>
      <w:r w:rsidRPr="00EE7121">
        <w:rPr>
          <w:rFonts w:ascii="Segoe UI" w:eastAsia="Times New Roman" w:hAnsi="Segoe UI" w:cs="Segoe UI"/>
          <w:color w:val="000000"/>
          <w:sz w:val="18"/>
          <w:szCs w:val="18"/>
          <w:lang w:val="es-CO" w:eastAsia="es-ES"/>
        </w:rPr>
        <w:t xml:space="preserve">Acerca de la primera pregunta, este Consejo dio respuesta a </w:t>
      </w:r>
      <w:proofErr w:type="spellStart"/>
      <w:r w:rsidRPr="00EE7121">
        <w:rPr>
          <w:rFonts w:ascii="Segoe UI" w:eastAsia="Times New Roman" w:hAnsi="Segoe UI" w:cs="Segoe UI"/>
          <w:color w:val="000000"/>
          <w:sz w:val="18"/>
          <w:szCs w:val="18"/>
          <w:lang w:val="es-CO" w:eastAsia="es-ES"/>
        </w:rPr>
        <w:t>na</w:t>
      </w:r>
      <w:proofErr w:type="spellEnd"/>
      <w:r w:rsidRPr="00EE7121">
        <w:rPr>
          <w:rFonts w:ascii="Segoe UI" w:eastAsia="Times New Roman" w:hAnsi="Segoe UI" w:cs="Segoe UI"/>
          <w:color w:val="000000"/>
          <w:sz w:val="18"/>
          <w:szCs w:val="18"/>
          <w:lang w:val="es-CO" w:eastAsia="es-ES"/>
        </w:rPr>
        <w:t xml:space="preserve"> pregunta similar en la consulta 2019-0268 con fecha de radicación 14-03-2019. Para efectos de consulta, puede acceder al siguiente enlace: </w:t>
      </w:r>
      <w:hyperlink r:id="rId4" w:history="1">
        <w:r w:rsidRPr="00EE7121">
          <w:rPr>
            <w:rFonts w:ascii="Segoe UI" w:eastAsia="Times New Roman" w:hAnsi="Segoe UI" w:cs="Segoe UI"/>
            <w:color w:val="0089E1"/>
            <w:sz w:val="18"/>
            <w:szCs w:val="18"/>
            <w:u w:val="single"/>
            <w:lang w:val="es-CO" w:eastAsia="es-ES"/>
          </w:rPr>
          <w:t>http://www.ctcp.gov.co/conceptos/2019</w:t>
        </w:r>
      </w:hyperlink>
      <w:r w:rsidRPr="00EE7121">
        <w:rPr>
          <w:rFonts w:ascii="Segoe UI" w:eastAsia="Times New Roman" w:hAnsi="Segoe UI" w:cs="Segoe UI"/>
          <w:color w:val="0000FF"/>
          <w:sz w:val="18"/>
          <w:szCs w:val="18"/>
          <w:lang w:val="es-CO" w:eastAsia="es-ES"/>
        </w:rPr>
        <w:t> </w:t>
      </w:r>
      <w:r w:rsidRPr="00EE7121">
        <w:rPr>
          <w:rFonts w:ascii="Segoe UI" w:eastAsia="Times New Roman" w:hAnsi="Segoe UI" w:cs="Segoe UI"/>
          <w:color w:val="000000"/>
          <w:sz w:val="18"/>
          <w:szCs w:val="18"/>
          <w:lang w:val="es-CO" w:eastAsia="es-ES"/>
        </w:rPr>
        <w:t>(Última revisión del enlace: 30-11-2019).</w:t>
      </w:r>
    </w:p>
    <w:p w:rsidR="00EE7121" w:rsidRPr="00EE7121" w:rsidRDefault="00EE7121" w:rsidP="00EE7121">
      <w:pPr>
        <w:spacing w:line="240" w:lineRule="auto"/>
        <w:rPr>
          <w:rFonts w:ascii="Arial" w:eastAsia="Times New Roman" w:hAnsi="Arial" w:cs="Arial"/>
          <w:color w:val="000000"/>
          <w:sz w:val="18"/>
          <w:szCs w:val="18"/>
          <w:lang w:eastAsia="es-ES"/>
        </w:rPr>
      </w:pPr>
      <w:r w:rsidRPr="00EE7121">
        <w:rPr>
          <w:rFonts w:ascii="Arial" w:eastAsia="Times New Roman" w:hAnsi="Arial" w:cs="Arial"/>
          <w:color w:val="000000"/>
          <w:sz w:val="18"/>
          <w:szCs w:val="18"/>
          <w:lang w:eastAsia="es-ES"/>
        </w:rPr>
        <w:t> </w:t>
      </w:r>
    </w:p>
    <w:p w:rsidR="00EE7121" w:rsidRPr="00EE7121" w:rsidRDefault="00EE7121" w:rsidP="00EE7121">
      <w:pPr>
        <w:spacing w:line="240" w:lineRule="auto"/>
        <w:rPr>
          <w:rFonts w:ascii="Arial" w:eastAsia="Times New Roman" w:hAnsi="Arial" w:cs="Arial"/>
          <w:color w:val="000000"/>
          <w:sz w:val="18"/>
          <w:szCs w:val="18"/>
          <w:lang w:eastAsia="es-ES"/>
        </w:rPr>
      </w:pPr>
      <w:r w:rsidRPr="00EE7121">
        <w:rPr>
          <w:rFonts w:ascii="Segoe UI" w:eastAsia="Times New Roman" w:hAnsi="Segoe UI" w:cs="Segoe UI"/>
          <w:color w:val="000000"/>
          <w:sz w:val="18"/>
          <w:szCs w:val="18"/>
          <w:lang w:val="es-CO" w:eastAsia="es-ES"/>
        </w:rPr>
        <w:t>En cuanto a la segunda pregunta, citaremos el artículo 2° de la Ley 43 de 1990, el cual enuncia:</w:t>
      </w:r>
    </w:p>
    <w:p w:rsidR="00EE7121" w:rsidRPr="00EE7121" w:rsidRDefault="00EE7121" w:rsidP="00EE7121">
      <w:pPr>
        <w:spacing w:line="240" w:lineRule="auto"/>
        <w:ind w:left="284"/>
        <w:rPr>
          <w:rFonts w:ascii="Arial" w:eastAsia="Times New Roman" w:hAnsi="Arial" w:cs="Arial"/>
          <w:color w:val="000000"/>
          <w:sz w:val="18"/>
          <w:szCs w:val="18"/>
          <w:lang w:eastAsia="es-ES"/>
        </w:rPr>
      </w:pPr>
      <w:r w:rsidRPr="00EE7121">
        <w:rPr>
          <w:rFonts w:ascii="Arial" w:eastAsia="Times New Roman" w:hAnsi="Arial" w:cs="Arial"/>
          <w:color w:val="000000"/>
          <w:sz w:val="18"/>
          <w:szCs w:val="18"/>
          <w:lang w:eastAsia="es-ES"/>
        </w:rPr>
        <w:t> </w:t>
      </w:r>
    </w:p>
    <w:p w:rsidR="00EE7121" w:rsidRPr="00EE7121" w:rsidRDefault="00EE7121" w:rsidP="00EE7121">
      <w:pPr>
        <w:spacing w:line="240" w:lineRule="auto"/>
        <w:ind w:left="284"/>
        <w:rPr>
          <w:rFonts w:ascii="Arial" w:eastAsia="Times New Roman" w:hAnsi="Arial" w:cs="Arial"/>
          <w:color w:val="000000"/>
          <w:sz w:val="18"/>
          <w:szCs w:val="18"/>
          <w:lang w:eastAsia="es-ES"/>
        </w:rPr>
      </w:pPr>
      <w:r w:rsidRPr="00EE7121">
        <w:rPr>
          <w:rFonts w:ascii="Segoe UI" w:eastAsia="Times New Roman" w:hAnsi="Segoe UI" w:cs="Segoe UI"/>
          <w:b/>
          <w:bCs/>
          <w:i/>
          <w:iCs/>
          <w:color w:val="000000"/>
          <w:sz w:val="18"/>
          <w:szCs w:val="18"/>
          <w:lang w:val="es-CO" w:eastAsia="es-ES"/>
        </w:rPr>
        <w:t>“Artículo 2o. De las actividades relacionadas con la ciencia contable en general.</w:t>
      </w:r>
      <w:r w:rsidRPr="00EE7121">
        <w:rPr>
          <w:rFonts w:ascii="Segoe UI" w:eastAsia="Times New Roman" w:hAnsi="Segoe UI" w:cs="Segoe UI"/>
          <w:i/>
          <w:iCs/>
          <w:color w:val="000000"/>
          <w:sz w:val="18"/>
          <w:szCs w:val="18"/>
          <w:lang w:val="es-CO" w:eastAsia="es-ES"/>
        </w:rPr>
        <w:t xml:space="preserve"> Para los efectos de esta ley se entienden por actividades relacionadas con la ciencia contable en general todas aquellas que implican organización, revisión y control de contabilidades, certificaciones y dictámenes sobre estados financieros, certificaciones que se expidan con fundamentos en los libros de contabilidad, revisoría fiscal prestación de servicios de auditoría, así como </w:t>
      </w:r>
      <w:r w:rsidRPr="00EE7121">
        <w:rPr>
          <w:rFonts w:ascii="Segoe UI" w:eastAsia="Times New Roman" w:hAnsi="Segoe UI" w:cs="Segoe UI"/>
          <w:i/>
          <w:iCs/>
          <w:color w:val="000000"/>
          <w:sz w:val="18"/>
          <w:szCs w:val="18"/>
          <w:lang w:val="es-CO" w:eastAsia="es-ES"/>
        </w:rPr>
        <w:lastRenderedPageBreak/>
        <w:t>todas aquellas actividades conexas con la naturaleza de la función profesional del Contador Público, tales como: la asesoría tributaria, la asesoría gerencial, en aspectos contables y similares.</w:t>
      </w:r>
    </w:p>
    <w:p w:rsidR="00EE7121" w:rsidRPr="00EE7121" w:rsidRDefault="00EE7121" w:rsidP="00EE7121">
      <w:pPr>
        <w:spacing w:line="240" w:lineRule="auto"/>
        <w:ind w:left="284"/>
        <w:rPr>
          <w:rFonts w:ascii="Arial" w:eastAsia="Times New Roman" w:hAnsi="Arial" w:cs="Arial"/>
          <w:color w:val="000000"/>
          <w:sz w:val="18"/>
          <w:szCs w:val="18"/>
          <w:lang w:eastAsia="es-ES"/>
        </w:rPr>
      </w:pPr>
      <w:r w:rsidRPr="00EE7121">
        <w:rPr>
          <w:rFonts w:ascii="Arial" w:eastAsia="Times New Roman" w:hAnsi="Arial" w:cs="Arial"/>
          <w:color w:val="000000"/>
          <w:sz w:val="18"/>
          <w:szCs w:val="18"/>
          <w:lang w:eastAsia="es-ES"/>
        </w:rPr>
        <w:t> </w:t>
      </w:r>
    </w:p>
    <w:p w:rsidR="00EE7121" w:rsidRPr="00EE7121" w:rsidRDefault="00EE7121" w:rsidP="00EE7121">
      <w:pPr>
        <w:spacing w:line="240" w:lineRule="auto"/>
        <w:ind w:left="284"/>
        <w:rPr>
          <w:rFonts w:ascii="Arial" w:eastAsia="Times New Roman" w:hAnsi="Arial" w:cs="Arial"/>
          <w:color w:val="000000"/>
          <w:sz w:val="18"/>
          <w:szCs w:val="18"/>
          <w:lang w:eastAsia="es-ES"/>
        </w:rPr>
      </w:pPr>
      <w:r w:rsidRPr="00EE7121">
        <w:rPr>
          <w:rFonts w:ascii="Segoe UI" w:eastAsia="Times New Roman" w:hAnsi="Segoe UI" w:cs="Segoe UI"/>
          <w:b/>
          <w:bCs/>
          <w:i/>
          <w:iCs/>
          <w:color w:val="000000"/>
          <w:sz w:val="18"/>
          <w:szCs w:val="18"/>
          <w:lang w:val="es-CO" w:eastAsia="es-ES"/>
        </w:rPr>
        <w:t>Parágrafo 1o.</w:t>
      </w:r>
      <w:r w:rsidRPr="00EE7121">
        <w:rPr>
          <w:rFonts w:ascii="Segoe UI" w:eastAsia="Times New Roman" w:hAnsi="Segoe UI" w:cs="Segoe UI"/>
          <w:i/>
          <w:iCs/>
          <w:color w:val="000000"/>
          <w:sz w:val="18"/>
          <w:szCs w:val="18"/>
          <w:lang w:val="es-CO" w:eastAsia="es-ES"/>
        </w:rPr>
        <w:t> Los Contadores Públicos y las sociedades de Contadores Públicos quedan facultadas para contratar la prestación de servicios de las actividades relacionadas con la ciencia contable en general y tales servicios serán prestados por Contadores Públicos o bajo su responsabilidad.</w:t>
      </w:r>
    </w:p>
    <w:p w:rsidR="00EE7121" w:rsidRPr="00EE7121" w:rsidRDefault="00EE7121" w:rsidP="00EE7121">
      <w:pPr>
        <w:spacing w:line="240" w:lineRule="auto"/>
        <w:ind w:left="284"/>
        <w:rPr>
          <w:rFonts w:ascii="Arial" w:eastAsia="Times New Roman" w:hAnsi="Arial" w:cs="Arial"/>
          <w:color w:val="000000"/>
          <w:sz w:val="18"/>
          <w:szCs w:val="18"/>
          <w:lang w:eastAsia="es-ES"/>
        </w:rPr>
      </w:pPr>
      <w:r w:rsidRPr="00EE7121">
        <w:rPr>
          <w:rFonts w:ascii="Arial" w:eastAsia="Times New Roman" w:hAnsi="Arial" w:cs="Arial"/>
          <w:color w:val="000000"/>
          <w:sz w:val="18"/>
          <w:szCs w:val="18"/>
          <w:lang w:eastAsia="es-ES"/>
        </w:rPr>
        <w:t> </w:t>
      </w:r>
    </w:p>
    <w:p w:rsidR="00EE7121" w:rsidRPr="00EE7121" w:rsidRDefault="00EE7121" w:rsidP="00EE7121">
      <w:pPr>
        <w:spacing w:line="240" w:lineRule="auto"/>
        <w:ind w:left="284"/>
        <w:rPr>
          <w:rFonts w:ascii="Arial" w:eastAsia="Times New Roman" w:hAnsi="Arial" w:cs="Arial"/>
          <w:color w:val="000000"/>
          <w:sz w:val="18"/>
          <w:szCs w:val="18"/>
          <w:lang w:eastAsia="es-ES"/>
        </w:rPr>
      </w:pPr>
      <w:r w:rsidRPr="00EE7121">
        <w:rPr>
          <w:rFonts w:ascii="Segoe UI" w:eastAsia="Times New Roman" w:hAnsi="Segoe UI" w:cs="Segoe UI"/>
          <w:b/>
          <w:bCs/>
          <w:i/>
          <w:iCs/>
          <w:color w:val="000000"/>
          <w:sz w:val="18"/>
          <w:szCs w:val="18"/>
          <w:lang w:val="es-CO" w:eastAsia="es-ES"/>
        </w:rPr>
        <w:t>Parágrafo 2o</w:t>
      </w:r>
      <w:r w:rsidRPr="00EE7121">
        <w:rPr>
          <w:rFonts w:ascii="Segoe UI" w:eastAsia="Times New Roman" w:hAnsi="Segoe UI" w:cs="Segoe UI"/>
          <w:i/>
          <w:iCs/>
          <w:color w:val="000000"/>
          <w:sz w:val="18"/>
          <w:szCs w:val="18"/>
          <w:lang w:val="es-CO" w:eastAsia="es-ES"/>
        </w:rPr>
        <w:t xml:space="preserve">. Los Contadores Públicos y las sociedades de Contadores Públicos no podrán, por </w:t>
      </w:r>
      <w:proofErr w:type="spellStart"/>
      <w:r w:rsidRPr="00EE7121">
        <w:rPr>
          <w:rFonts w:ascii="Segoe UI" w:eastAsia="Times New Roman" w:hAnsi="Segoe UI" w:cs="Segoe UI"/>
          <w:i/>
          <w:iCs/>
          <w:color w:val="000000"/>
          <w:sz w:val="18"/>
          <w:szCs w:val="18"/>
          <w:lang w:val="es-CO" w:eastAsia="es-ES"/>
        </w:rPr>
        <w:t>si</w:t>
      </w:r>
      <w:proofErr w:type="spellEnd"/>
      <w:r w:rsidRPr="00EE7121">
        <w:rPr>
          <w:rFonts w:ascii="Segoe UI" w:eastAsia="Times New Roman" w:hAnsi="Segoe UI" w:cs="Segoe UI"/>
          <w:i/>
          <w:iCs/>
          <w:color w:val="000000"/>
          <w:sz w:val="18"/>
          <w:szCs w:val="18"/>
          <w:lang w:val="es-CO" w:eastAsia="es-ES"/>
        </w:rPr>
        <w:t xml:space="preserve"> mismas o por intermedio de sus empleados, servir de intermediarias en la selección y contratación de personal que se dedique a las actividades relacionadas con la ciencia contable en general en las empresas que utilizan sus servicios de revisoría fiscal o de auditoría externa.”</w:t>
      </w:r>
    </w:p>
    <w:p w:rsidR="00EE7121" w:rsidRPr="00EE7121" w:rsidRDefault="00EE7121" w:rsidP="00EE7121">
      <w:pPr>
        <w:spacing w:line="240" w:lineRule="auto"/>
        <w:rPr>
          <w:rFonts w:ascii="Arial" w:eastAsia="Times New Roman" w:hAnsi="Arial" w:cs="Arial"/>
          <w:color w:val="000000"/>
          <w:sz w:val="18"/>
          <w:szCs w:val="18"/>
          <w:lang w:eastAsia="es-ES"/>
        </w:rPr>
      </w:pPr>
      <w:r w:rsidRPr="00EE7121">
        <w:rPr>
          <w:rFonts w:ascii="Arial" w:eastAsia="Times New Roman" w:hAnsi="Arial" w:cs="Arial"/>
          <w:color w:val="000000"/>
          <w:sz w:val="18"/>
          <w:szCs w:val="18"/>
          <w:lang w:eastAsia="es-ES"/>
        </w:rPr>
        <w:t> </w:t>
      </w:r>
    </w:p>
    <w:p w:rsidR="00EE7121" w:rsidRPr="00EE7121" w:rsidRDefault="00EE7121" w:rsidP="00EE7121">
      <w:pPr>
        <w:spacing w:line="240" w:lineRule="auto"/>
        <w:rPr>
          <w:rFonts w:ascii="Arial" w:eastAsia="Times New Roman" w:hAnsi="Arial" w:cs="Arial"/>
          <w:color w:val="000000"/>
          <w:sz w:val="18"/>
          <w:szCs w:val="18"/>
          <w:lang w:eastAsia="es-ES"/>
        </w:rPr>
      </w:pPr>
      <w:r w:rsidRPr="00EE7121">
        <w:rPr>
          <w:rFonts w:ascii="Segoe UI" w:eastAsia="Times New Roman" w:hAnsi="Segoe UI" w:cs="Segoe UI"/>
          <w:color w:val="000000"/>
          <w:sz w:val="18"/>
          <w:szCs w:val="18"/>
          <w:lang w:val="es-CO" w:eastAsia="es-ES"/>
        </w:rPr>
        <w:t>De la lectura del artículo se observa una separación entre “las actividades relacionadas con la ciencia contable en general” y “las actividades conexas con la naturaleza de la profesión del Contador Público”, de la siguiente manera:</w:t>
      </w:r>
    </w:p>
    <w:p w:rsidR="00EE7121" w:rsidRPr="00EE7121" w:rsidRDefault="00EE7121" w:rsidP="00EE7121">
      <w:pPr>
        <w:spacing w:line="240" w:lineRule="auto"/>
        <w:rPr>
          <w:rFonts w:ascii="Arial" w:eastAsia="Times New Roman" w:hAnsi="Arial" w:cs="Arial"/>
          <w:color w:val="000000"/>
          <w:sz w:val="18"/>
          <w:szCs w:val="18"/>
          <w:lang w:eastAsia="es-ES"/>
        </w:rPr>
      </w:pPr>
      <w:r w:rsidRPr="00EE7121">
        <w:rPr>
          <w:rFonts w:ascii="Arial" w:eastAsia="Times New Roman" w:hAnsi="Arial" w:cs="Arial"/>
          <w:color w:val="000000"/>
          <w:sz w:val="18"/>
          <w:szCs w:val="18"/>
          <w:lang w:eastAsia="es-ES"/>
        </w:rPr>
        <w:t> </w:t>
      </w:r>
    </w:p>
    <w:p w:rsidR="00EE7121" w:rsidRPr="00EE7121" w:rsidRDefault="00EE7121" w:rsidP="00EE7121">
      <w:pPr>
        <w:spacing w:line="240" w:lineRule="auto"/>
        <w:rPr>
          <w:rFonts w:ascii="Arial" w:eastAsia="Times New Roman" w:hAnsi="Arial" w:cs="Arial"/>
          <w:color w:val="000000"/>
          <w:sz w:val="18"/>
          <w:szCs w:val="18"/>
          <w:lang w:eastAsia="es-ES"/>
        </w:rPr>
      </w:pPr>
      <w:r w:rsidRPr="00EE7121">
        <w:rPr>
          <w:rFonts w:ascii="Segoe UI" w:eastAsia="Times New Roman" w:hAnsi="Segoe UI" w:cs="Segoe UI"/>
          <w:b/>
          <w:bCs/>
          <w:color w:val="000000"/>
          <w:sz w:val="18"/>
          <w:szCs w:val="18"/>
          <w:u w:val="single"/>
          <w:lang w:val="es-CO" w:eastAsia="es-ES"/>
        </w:rPr>
        <w:t>Actividades relacionadas con la ciencia contable en general</w:t>
      </w:r>
    </w:p>
    <w:p w:rsidR="00EE7121" w:rsidRPr="00EE7121" w:rsidRDefault="00EE7121" w:rsidP="00EE7121">
      <w:pPr>
        <w:spacing w:line="240" w:lineRule="auto"/>
        <w:ind w:left="567" w:hanging="283"/>
        <w:rPr>
          <w:rFonts w:ascii="Arial" w:eastAsia="Times New Roman" w:hAnsi="Arial" w:cs="Arial"/>
          <w:color w:val="000000"/>
          <w:sz w:val="18"/>
          <w:szCs w:val="18"/>
          <w:lang w:eastAsia="es-ES"/>
        </w:rPr>
      </w:pPr>
      <w:r w:rsidRPr="00EE7121">
        <w:rPr>
          <w:rFonts w:ascii="Arial" w:eastAsia="Times New Roman" w:hAnsi="Arial" w:cs="Arial"/>
          <w:color w:val="000000"/>
          <w:sz w:val="18"/>
          <w:szCs w:val="18"/>
          <w:lang w:eastAsia="es-ES"/>
        </w:rPr>
        <w:t> </w:t>
      </w:r>
    </w:p>
    <w:p w:rsidR="00EE7121" w:rsidRPr="00EE7121" w:rsidRDefault="00EE7121" w:rsidP="00EE7121">
      <w:pPr>
        <w:spacing w:line="240" w:lineRule="auto"/>
        <w:ind w:left="567" w:hanging="283"/>
        <w:rPr>
          <w:rFonts w:ascii="Arial" w:eastAsia="Times New Roman" w:hAnsi="Arial" w:cs="Arial"/>
          <w:color w:val="000000"/>
          <w:sz w:val="18"/>
          <w:szCs w:val="18"/>
          <w:lang w:eastAsia="es-ES"/>
        </w:rPr>
      </w:pPr>
      <w:r w:rsidRPr="00EE7121">
        <w:rPr>
          <w:rFonts w:ascii="Symbol" w:eastAsia="Times New Roman" w:hAnsi="Symbol" w:cs="Arial"/>
          <w:color w:val="000000"/>
          <w:sz w:val="18"/>
          <w:szCs w:val="18"/>
          <w:lang w:val="es-CO" w:eastAsia="es-ES"/>
        </w:rPr>
        <w:t>·</w:t>
      </w:r>
      <w:r w:rsidRPr="00EE7121">
        <w:rPr>
          <w:rFonts w:eastAsia="Times New Roman" w:cs="Times New Roman"/>
          <w:color w:val="000000"/>
          <w:sz w:val="14"/>
          <w:szCs w:val="14"/>
          <w:lang w:val="es-CO" w:eastAsia="es-ES"/>
        </w:rPr>
        <w:t>      </w:t>
      </w:r>
      <w:r w:rsidRPr="00EE7121">
        <w:rPr>
          <w:rFonts w:ascii="Segoe UI" w:eastAsia="Times New Roman" w:hAnsi="Segoe UI" w:cs="Segoe UI"/>
          <w:color w:val="000000"/>
          <w:sz w:val="18"/>
          <w:szCs w:val="18"/>
          <w:lang w:val="es-CO" w:eastAsia="es-ES"/>
        </w:rPr>
        <w:t>Organización, revisión y control de contabilidades,</w:t>
      </w:r>
    </w:p>
    <w:p w:rsidR="00EE7121" w:rsidRPr="00EE7121" w:rsidRDefault="00EE7121" w:rsidP="00EE7121">
      <w:pPr>
        <w:spacing w:line="240" w:lineRule="auto"/>
        <w:ind w:left="567" w:hanging="283"/>
        <w:rPr>
          <w:rFonts w:ascii="Arial" w:eastAsia="Times New Roman" w:hAnsi="Arial" w:cs="Arial"/>
          <w:color w:val="000000"/>
          <w:sz w:val="18"/>
          <w:szCs w:val="18"/>
          <w:lang w:eastAsia="es-ES"/>
        </w:rPr>
      </w:pPr>
      <w:r w:rsidRPr="00EE7121">
        <w:rPr>
          <w:rFonts w:ascii="Symbol" w:eastAsia="Times New Roman" w:hAnsi="Symbol" w:cs="Arial"/>
          <w:color w:val="000000"/>
          <w:sz w:val="18"/>
          <w:szCs w:val="18"/>
          <w:lang w:val="es-CO" w:eastAsia="es-ES"/>
        </w:rPr>
        <w:t>·</w:t>
      </w:r>
      <w:r w:rsidRPr="00EE7121">
        <w:rPr>
          <w:rFonts w:eastAsia="Times New Roman" w:cs="Times New Roman"/>
          <w:color w:val="000000"/>
          <w:sz w:val="14"/>
          <w:szCs w:val="14"/>
          <w:lang w:val="es-CO" w:eastAsia="es-ES"/>
        </w:rPr>
        <w:t>      </w:t>
      </w:r>
      <w:r w:rsidRPr="00EE7121">
        <w:rPr>
          <w:rFonts w:ascii="Segoe UI" w:eastAsia="Times New Roman" w:hAnsi="Segoe UI" w:cs="Segoe UI"/>
          <w:color w:val="000000"/>
          <w:sz w:val="18"/>
          <w:szCs w:val="18"/>
          <w:lang w:val="es-CO" w:eastAsia="es-ES"/>
        </w:rPr>
        <w:t>Certificaciones y dictámenes sobre estados financieros</w:t>
      </w:r>
    </w:p>
    <w:p w:rsidR="00EE7121" w:rsidRPr="00EE7121" w:rsidRDefault="00EE7121" w:rsidP="00EE7121">
      <w:pPr>
        <w:spacing w:line="240" w:lineRule="auto"/>
        <w:ind w:left="567" w:hanging="283"/>
        <w:rPr>
          <w:rFonts w:ascii="Arial" w:eastAsia="Times New Roman" w:hAnsi="Arial" w:cs="Arial"/>
          <w:color w:val="000000"/>
          <w:sz w:val="18"/>
          <w:szCs w:val="18"/>
          <w:lang w:eastAsia="es-ES"/>
        </w:rPr>
      </w:pPr>
      <w:r w:rsidRPr="00EE7121">
        <w:rPr>
          <w:rFonts w:ascii="Symbol" w:eastAsia="Times New Roman" w:hAnsi="Symbol" w:cs="Arial"/>
          <w:color w:val="000000"/>
          <w:sz w:val="18"/>
          <w:szCs w:val="18"/>
          <w:lang w:val="es-CO" w:eastAsia="es-ES"/>
        </w:rPr>
        <w:t>·</w:t>
      </w:r>
      <w:r w:rsidRPr="00EE7121">
        <w:rPr>
          <w:rFonts w:eastAsia="Times New Roman" w:cs="Times New Roman"/>
          <w:color w:val="000000"/>
          <w:sz w:val="14"/>
          <w:szCs w:val="14"/>
          <w:lang w:val="es-CO" w:eastAsia="es-ES"/>
        </w:rPr>
        <w:t>      </w:t>
      </w:r>
      <w:r w:rsidRPr="00EE7121">
        <w:rPr>
          <w:rFonts w:ascii="Segoe UI" w:eastAsia="Times New Roman" w:hAnsi="Segoe UI" w:cs="Segoe UI"/>
          <w:color w:val="000000"/>
          <w:sz w:val="18"/>
          <w:szCs w:val="18"/>
          <w:lang w:val="es-CO" w:eastAsia="es-ES"/>
        </w:rPr>
        <w:t>Certificaciones que se expidan con fundamentos en los libros de contabilidad,</w:t>
      </w:r>
    </w:p>
    <w:p w:rsidR="00EE7121" w:rsidRPr="00EE7121" w:rsidRDefault="00EE7121" w:rsidP="00EE7121">
      <w:pPr>
        <w:spacing w:line="240" w:lineRule="auto"/>
        <w:ind w:left="567" w:hanging="283"/>
        <w:rPr>
          <w:rFonts w:ascii="Arial" w:eastAsia="Times New Roman" w:hAnsi="Arial" w:cs="Arial"/>
          <w:color w:val="000000"/>
          <w:sz w:val="18"/>
          <w:szCs w:val="18"/>
          <w:lang w:eastAsia="es-ES"/>
        </w:rPr>
      </w:pPr>
      <w:r w:rsidRPr="00EE7121">
        <w:rPr>
          <w:rFonts w:ascii="Symbol" w:eastAsia="Times New Roman" w:hAnsi="Symbol" w:cs="Arial"/>
          <w:color w:val="000000"/>
          <w:sz w:val="18"/>
          <w:szCs w:val="18"/>
          <w:lang w:val="es-CO" w:eastAsia="es-ES"/>
        </w:rPr>
        <w:t>·</w:t>
      </w:r>
      <w:r w:rsidRPr="00EE7121">
        <w:rPr>
          <w:rFonts w:eastAsia="Times New Roman" w:cs="Times New Roman"/>
          <w:color w:val="000000"/>
          <w:sz w:val="14"/>
          <w:szCs w:val="14"/>
          <w:lang w:val="es-CO" w:eastAsia="es-ES"/>
        </w:rPr>
        <w:t>      </w:t>
      </w:r>
      <w:r w:rsidRPr="00EE7121">
        <w:rPr>
          <w:rFonts w:ascii="Segoe UI" w:eastAsia="Times New Roman" w:hAnsi="Segoe UI" w:cs="Segoe UI"/>
          <w:color w:val="000000"/>
          <w:sz w:val="18"/>
          <w:szCs w:val="18"/>
          <w:lang w:val="es-CO" w:eastAsia="es-ES"/>
        </w:rPr>
        <w:t>Revisoría fiscal, y</w:t>
      </w:r>
    </w:p>
    <w:p w:rsidR="00EE7121" w:rsidRPr="00EE7121" w:rsidRDefault="00EE7121" w:rsidP="00EE7121">
      <w:pPr>
        <w:spacing w:line="240" w:lineRule="auto"/>
        <w:ind w:left="567" w:hanging="283"/>
        <w:rPr>
          <w:rFonts w:ascii="Arial" w:eastAsia="Times New Roman" w:hAnsi="Arial" w:cs="Arial"/>
          <w:color w:val="000000"/>
          <w:sz w:val="18"/>
          <w:szCs w:val="18"/>
          <w:lang w:eastAsia="es-ES"/>
        </w:rPr>
      </w:pPr>
      <w:r w:rsidRPr="00EE7121">
        <w:rPr>
          <w:rFonts w:ascii="Symbol" w:eastAsia="Times New Roman" w:hAnsi="Symbol" w:cs="Arial"/>
          <w:color w:val="000000"/>
          <w:sz w:val="18"/>
          <w:szCs w:val="18"/>
          <w:lang w:val="es-CO" w:eastAsia="es-ES"/>
        </w:rPr>
        <w:t>·</w:t>
      </w:r>
      <w:r w:rsidRPr="00EE7121">
        <w:rPr>
          <w:rFonts w:eastAsia="Times New Roman" w:cs="Times New Roman"/>
          <w:color w:val="000000"/>
          <w:sz w:val="14"/>
          <w:szCs w:val="14"/>
          <w:lang w:val="es-CO" w:eastAsia="es-ES"/>
        </w:rPr>
        <w:t>      </w:t>
      </w:r>
      <w:r w:rsidRPr="00EE7121">
        <w:rPr>
          <w:rFonts w:ascii="Segoe UI" w:eastAsia="Times New Roman" w:hAnsi="Segoe UI" w:cs="Segoe UI"/>
          <w:color w:val="000000"/>
          <w:sz w:val="18"/>
          <w:szCs w:val="18"/>
          <w:lang w:val="es-CO" w:eastAsia="es-ES"/>
        </w:rPr>
        <w:t>Prestación de servicios de auditoria</w:t>
      </w:r>
    </w:p>
    <w:p w:rsidR="00EE7121" w:rsidRPr="00EE7121" w:rsidRDefault="00EE7121" w:rsidP="00EE7121">
      <w:pPr>
        <w:spacing w:line="240" w:lineRule="auto"/>
        <w:rPr>
          <w:rFonts w:ascii="Arial" w:eastAsia="Times New Roman" w:hAnsi="Arial" w:cs="Arial"/>
          <w:color w:val="000000"/>
          <w:sz w:val="18"/>
          <w:szCs w:val="18"/>
          <w:lang w:eastAsia="es-ES"/>
        </w:rPr>
      </w:pPr>
      <w:r w:rsidRPr="00EE7121">
        <w:rPr>
          <w:rFonts w:ascii="Arial" w:eastAsia="Times New Roman" w:hAnsi="Arial" w:cs="Arial"/>
          <w:color w:val="000000"/>
          <w:sz w:val="18"/>
          <w:szCs w:val="18"/>
          <w:lang w:eastAsia="es-ES"/>
        </w:rPr>
        <w:t> </w:t>
      </w:r>
    </w:p>
    <w:p w:rsidR="00EE7121" w:rsidRPr="00EE7121" w:rsidRDefault="00EE7121" w:rsidP="00EE7121">
      <w:pPr>
        <w:spacing w:line="240" w:lineRule="auto"/>
        <w:rPr>
          <w:rFonts w:ascii="Arial" w:eastAsia="Times New Roman" w:hAnsi="Arial" w:cs="Arial"/>
          <w:color w:val="000000"/>
          <w:sz w:val="18"/>
          <w:szCs w:val="18"/>
          <w:lang w:eastAsia="es-ES"/>
        </w:rPr>
      </w:pPr>
      <w:r w:rsidRPr="00EE7121">
        <w:rPr>
          <w:rFonts w:ascii="Segoe UI" w:eastAsia="Times New Roman" w:hAnsi="Segoe UI" w:cs="Segoe UI"/>
          <w:b/>
          <w:bCs/>
          <w:color w:val="000000"/>
          <w:sz w:val="18"/>
          <w:szCs w:val="18"/>
          <w:u w:val="single"/>
          <w:lang w:val="es-CO" w:eastAsia="es-ES"/>
        </w:rPr>
        <w:t>Actividades conexas con la naturaleza de la profesión del Contador Público</w:t>
      </w:r>
    </w:p>
    <w:p w:rsidR="00EE7121" w:rsidRPr="00EE7121" w:rsidRDefault="00EE7121" w:rsidP="00EE7121">
      <w:pPr>
        <w:spacing w:line="240" w:lineRule="auto"/>
        <w:ind w:left="567" w:hanging="283"/>
        <w:rPr>
          <w:rFonts w:ascii="Arial" w:eastAsia="Times New Roman" w:hAnsi="Arial" w:cs="Arial"/>
          <w:color w:val="000000"/>
          <w:sz w:val="18"/>
          <w:szCs w:val="18"/>
          <w:lang w:eastAsia="es-ES"/>
        </w:rPr>
      </w:pPr>
      <w:r w:rsidRPr="00EE7121">
        <w:rPr>
          <w:rFonts w:ascii="Arial" w:eastAsia="Times New Roman" w:hAnsi="Arial" w:cs="Arial"/>
          <w:color w:val="000000"/>
          <w:sz w:val="18"/>
          <w:szCs w:val="18"/>
          <w:lang w:eastAsia="es-ES"/>
        </w:rPr>
        <w:t> </w:t>
      </w:r>
    </w:p>
    <w:p w:rsidR="00EE7121" w:rsidRPr="00EE7121" w:rsidRDefault="00EE7121" w:rsidP="00EE7121">
      <w:pPr>
        <w:spacing w:line="240" w:lineRule="auto"/>
        <w:ind w:left="567" w:hanging="283"/>
        <w:rPr>
          <w:rFonts w:ascii="Arial" w:eastAsia="Times New Roman" w:hAnsi="Arial" w:cs="Arial"/>
          <w:color w:val="000000"/>
          <w:sz w:val="18"/>
          <w:szCs w:val="18"/>
          <w:lang w:eastAsia="es-ES"/>
        </w:rPr>
      </w:pPr>
      <w:r w:rsidRPr="00EE7121">
        <w:rPr>
          <w:rFonts w:ascii="Symbol" w:eastAsia="Times New Roman" w:hAnsi="Symbol" w:cs="Arial"/>
          <w:color w:val="000000"/>
          <w:sz w:val="18"/>
          <w:szCs w:val="18"/>
          <w:lang w:val="es-CO" w:eastAsia="es-ES"/>
        </w:rPr>
        <w:t>·</w:t>
      </w:r>
      <w:r w:rsidRPr="00EE7121">
        <w:rPr>
          <w:rFonts w:eastAsia="Times New Roman" w:cs="Times New Roman"/>
          <w:color w:val="000000"/>
          <w:sz w:val="14"/>
          <w:szCs w:val="14"/>
          <w:lang w:val="es-CO" w:eastAsia="es-ES"/>
        </w:rPr>
        <w:t>      </w:t>
      </w:r>
      <w:r w:rsidRPr="00EE7121">
        <w:rPr>
          <w:rFonts w:ascii="Segoe UI" w:eastAsia="Times New Roman" w:hAnsi="Segoe UI" w:cs="Segoe UI"/>
          <w:color w:val="000000"/>
          <w:sz w:val="18"/>
          <w:szCs w:val="18"/>
          <w:lang w:val="es-CO" w:eastAsia="es-ES"/>
        </w:rPr>
        <w:t>Asesoría tributaria,</w:t>
      </w:r>
    </w:p>
    <w:p w:rsidR="00EE7121" w:rsidRPr="00EE7121" w:rsidRDefault="00EE7121" w:rsidP="00EE7121">
      <w:pPr>
        <w:spacing w:line="240" w:lineRule="auto"/>
        <w:ind w:left="567" w:hanging="283"/>
        <w:rPr>
          <w:rFonts w:ascii="Arial" w:eastAsia="Times New Roman" w:hAnsi="Arial" w:cs="Arial"/>
          <w:color w:val="000000"/>
          <w:sz w:val="18"/>
          <w:szCs w:val="18"/>
          <w:lang w:eastAsia="es-ES"/>
        </w:rPr>
      </w:pPr>
      <w:r w:rsidRPr="00EE7121">
        <w:rPr>
          <w:rFonts w:ascii="Symbol" w:eastAsia="Times New Roman" w:hAnsi="Symbol" w:cs="Arial"/>
          <w:color w:val="000000"/>
          <w:sz w:val="18"/>
          <w:szCs w:val="18"/>
          <w:lang w:val="es-CO" w:eastAsia="es-ES"/>
        </w:rPr>
        <w:t>·</w:t>
      </w:r>
      <w:r w:rsidRPr="00EE7121">
        <w:rPr>
          <w:rFonts w:eastAsia="Times New Roman" w:cs="Times New Roman"/>
          <w:color w:val="000000"/>
          <w:sz w:val="14"/>
          <w:szCs w:val="14"/>
          <w:lang w:val="es-CO" w:eastAsia="es-ES"/>
        </w:rPr>
        <w:t>      </w:t>
      </w:r>
      <w:r w:rsidRPr="00EE7121">
        <w:rPr>
          <w:rFonts w:ascii="Segoe UI" w:eastAsia="Times New Roman" w:hAnsi="Segoe UI" w:cs="Segoe UI"/>
          <w:color w:val="000000"/>
          <w:sz w:val="18"/>
          <w:szCs w:val="18"/>
          <w:lang w:val="es-CO" w:eastAsia="es-ES"/>
        </w:rPr>
        <w:t>Asesoría gerencial en aspectos contables y similares</w:t>
      </w:r>
    </w:p>
    <w:p w:rsidR="00EE7121" w:rsidRPr="00EE7121" w:rsidRDefault="00EE7121" w:rsidP="00EE7121">
      <w:pPr>
        <w:spacing w:line="240" w:lineRule="auto"/>
        <w:rPr>
          <w:rFonts w:ascii="Arial" w:eastAsia="Times New Roman" w:hAnsi="Arial" w:cs="Arial"/>
          <w:color w:val="000000"/>
          <w:sz w:val="18"/>
          <w:szCs w:val="18"/>
          <w:lang w:eastAsia="es-ES"/>
        </w:rPr>
      </w:pPr>
      <w:r w:rsidRPr="00EE7121">
        <w:rPr>
          <w:rFonts w:ascii="Arial" w:eastAsia="Times New Roman" w:hAnsi="Arial" w:cs="Arial"/>
          <w:color w:val="000000"/>
          <w:sz w:val="18"/>
          <w:szCs w:val="18"/>
          <w:lang w:eastAsia="es-ES"/>
        </w:rPr>
        <w:t> </w:t>
      </w:r>
    </w:p>
    <w:p w:rsidR="00EE7121" w:rsidRPr="00EE7121" w:rsidRDefault="00EE7121" w:rsidP="00EE7121">
      <w:pPr>
        <w:spacing w:line="240" w:lineRule="auto"/>
        <w:rPr>
          <w:rFonts w:ascii="Arial" w:eastAsia="Times New Roman" w:hAnsi="Arial" w:cs="Arial"/>
          <w:color w:val="000000"/>
          <w:sz w:val="18"/>
          <w:szCs w:val="18"/>
          <w:lang w:eastAsia="es-ES"/>
        </w:rPr>
      </w:pPr>
      <w:r w:rsidRPr="00EE7121">
        <w:rPr>
          <w:rFonts w:ascii="Segoe UI" w:eastAsia="Times New Roman" w:hAnsi="Segoe UI" w:cs="Segoe UI"/>
          <w:color w:val="000000"/>
          <w:sz w:val="18"/>
          <w:szCs w:val="18"/>
          <w:lang w:val="es-CO" w:eastAsia="es-ES"/>
        </w:rPr>
        <w:t>Así las cosas, de acuerdo con los términos de la pregunta 2, el apoyo a la administración por parte de un Contador Público, en la elaboración de flujos contables de acuerdo con los marcos técnicos normativos vigentes, sin que dicha labor implique la certificación de la información plasmada, estaríamos frente a un trabajo de compilación información, regulado por la norma 4410 (Revisada). Es importante aclarar que el concepto de compilación es diferente de la certificación, la cual se protocoliza con la firma de los estados financieros por parte del contador público y el representante legal.</w:t>
      </w:r>
    </w:p>
    <w:p w:rsidR="00EE7121" w:rsidRPr="00EE7121" w:rsidRDefault="00EE7121" w:rsidP="00EE7121">
      <w:pPr>
        <w:spacing w:line="240" w:lineRule="auto"/>
        <w:rPr>
          <w:rFonts w:ascii="Arial" w:eastAsia="Times New Roman" w:hAnsi="Arial" w:cs="Arial"/>
          <w:color w:val="000000"/>
          <w:sz w:val="18"/>
          <w:szCs w:val="18"/>
          <w:lang w:eastAsia="es-ES"/>
        </w:rPr>
      </w:pPr>
      <w:r w:rsidRPr="00EE7121">
        <w:rPr>
          <w:rFonts w:ascii="Arial" w:eastAsia="Times New Roman" w:hAnsi="Arial" w:cs="Arial"/>
          <w:color w:val="000000"/>
          <w:sz w:val="18"/>
          <w:szCs w:val="18"/>
          <w:lang w:eastAsia="es-ES"/>
        </w:rPr>
        <w:t> </w:t>
      </w:r>
    </w:p>
    <w:p w:rsidR="00EE7121" w:rsidRPr="00EE7121" w:rsidRDefault="00EE7121" w:rsidP="00EE7121">
      <w:pPr>
        <w:spacing w:line="240" w:lineRule="auto"/>
        <w:rPr>
          <w:rFonts w:ascii="Arial" w:eastAsia="Times New Roman" w:hAnsi="Arial" w:cs="Arial"/>
          <w:color w:val="000000"/>
          <w:sz w:val="18"/>
          <w:szCs w:val="18"/>
          <w:lang w:eastAsia="es-ES"/>
        </w:rPr>
      </w:pPr>
      <w:r w:rsidRPr="00EE7121">
        <w:rPr>
          <w:rFonts w:ascii="Segoe UI" w:eastAsia="Times New Roman" w:hAnsi="Segoe UI" w:cs="Segoe UI"/>
          <w:color w:val="000000"/>
          <w:sz w:val="18"/>
          <w:szCs w:val="18"/>
          <w:lang w:val="es-CO" w:eastAsia="es-ES"/>
        </w:rPr>
        <w:t xml:space="preserve">En los términos anteriores se absuelve la consulta, indicando </w:t>
      </w:r>
      <w:proofErr w:type="gramStart"/>
      <w:r w:rsidRPr="00EE7121">
        <w:rPr>
          <w:rFonts w:ascii="Segoe UI" w:eastAsia="Times New Roman" w:hAnsi="Segoe UI" w:cs="Segoe UI"/>
          <w:color w:val="000000"/>
          <w:sz w:val="18"/>
          <w:szCs w:val="18"/>
          <w:lang w:val="es-CO" w:eastAsia="es-ES"/>
        </w:rPr>
        <w:t>que</w:t>
      </w:r>
      <w:proofErr w:type="gramEnd"/>
      <w:r w:rsidRPr="00EE7121">
        <w:rPr>
          <w:rFonts w:ascii="Segoe UI" w:eastAsia="Times New Roman" w:hAnsi="Segoe UI" w:cs="Segoe UI"/>
          <w:color w:val="000000"/>
          <w:sz w:val="18"/>
          <w:szCs w:val="18"/>
          <w:lang w:val="es-CO" w:eastAsia="es-ES"/>
        </w:rPr>
        <w:t xml:space="preserve"> para hacerlo, este organismo se ciñó a la información presentada por el consultante y los efectos de este escrito son los previstos por el artículo 28 de la Ley 1755 de 2015, los conceptos emitidos por las autoridades como respuestas a peticiones realizadas en ejercicio del derecho a formular consultas no serán de obligatorio cumplimiento o ejecución.</w:t>
      </w:r>
    </w:p>
    <w:p w:rsidR="00EE7121" w:rsidRPr="00EE7121" w:rsidRDefault="00EE7121" w:rsidP="00EE7121">
      <w:pPr>
        <w:spacing w:line="240" w:lineRule="auto"/>
        <w:rPr>
          <w:rFonts w:ascii="Arial" w:eastAsia="Times New Roman" w:hAnsi="Arial" w:cs="Arial"/>
          <w:color w:val="000000"/>
          <w:sz w:val="18"/>
          <w:szCs w:val="18"/>
          <w:lang w:eastAsia="es-ES"/>
        </w:rPr>
      </w:pPr>
      <w:r w:rsidRPr="00EE7121">
        <w:rPr>
          <w:rFonts w:ascii="Arial" w:eastAsia="Times New Roman" w:hAnsi="Arial" w:cs="Arial"/>
          <w:color w:val="000000"/>
          <w:sz w:val="18"/>
          <w:szCs w:val="18"/>
          <w:lang w:eastAsia="es-ES"/>
        </w:rPr>
        <w:t> </w:t>
      </w:r>
    </w:p>
    <w:p w:rsidR="00EE7121" w:rsidRPr="00EE7121" w:rsidRDefault="00EE7121" w:rsidP="00EE7121">
      <w:pPr>
        <w:spacing w:line="240" w:lineRule="auto"/>
        <w:rPr>
          <w:rFonts w:ascii="Arial" w:eastAsia="Times New Roman" w:hAnsi="Arial" w:cs="Arial"/>
          <w:color w:val="000000"/>
          <w:sz w:val="18"/>
          <w:szCs w:val="18"/>
          <w:lang w:eastAsia="es-ES"/>
        </w:rPr>
      </w:pPr>
      <w:r w:rsidRPr="00EE7121">
        <w:rPr>
          <w:rFonts w:ascii="Segoe UI" w:eastAsia="Times New Roman" w:hAnsi="Segoe UI" w:cs="Segoe UI"/>
          <w:color w:val="000000"/>
          <w:sz w:val="18"/>
          <w:szCs w:val="18"/>
          <w:lang w:val="es-CO" w:eastAsia="es-ES"/>
        </w:rPr>
        <w:t>Cordialmente,</w:t>
      </w:r>
    </w:p>
    <w:p w:rsidR="00EE7121" w:rsidRPr="00EE7121" w:rsidRDefault="00EE7121" w:rsidP="00EE7121">
      <w:pPr>
        <w:spacing w:line="240" w:lineRule="auto"/>
        <w:rPr>
          <w:rFonts w:ascii="Arial" w:eastAsia="Times New Roman" w:hAnsi="Arial" w:cs="Arial"/>
          <w:color w:val="000000"/>
          <w:sz w:val="18"/>
          <w:szCs w:val="18"/>
          <w:lang w:eastAsia="es-ES"/>
        </w:rPr>
      </w:pPr>
      <w:r w:rsidRPr="00EE7121">
        <w:rPr>
          <w:rFonts w:ascii="Arial" w:eastAsia="Times New Roman" w:hAnsi="Arial" w:cs="Arial"/>
          <w:color w:val="000000"/>
          <w:sz w:val="18"/>
          <w:szCs w:val="18"/>
          <w:lang w:eastAsia="es-ES"/>
        </w:rPr>
        <w:t> </w:t>
      </w:r>
    </w:p>
    <w:p w:rsidR="00EE7121" w:rsidRPr="00EE7121" w:rsidRDefault="00EE7121" w:rsidP="00EE7121">
      <w:pPr>
        <w:spacing w:line="240" w:lineRule="auto"/>
        <w:rPr>
          <w:rFonts w:ascii="Arial" w:eastAsia="Times New Roman" w:hAnsi="Arial" w:cs="Arial"/>
          <w:color w:val="000000"/>
          <w:sz w:val="18"/>
          <w:szCs w:val="18"/>
          <w:lang w:eastAsia="es-ES"/>
        </w:rPr>
      </w:pPr>
      <w:r w:rsidRPr="00EE7121">
        <w:rPr>
          <w:rFonts w:ascii="Arial" w:eastAsia="Times New Roman" w:hAnsi="Arial" w:cs="Arial"/>
          <w:color w:val="000000"/>
          <w:sz w:val="18"/>
          <w:szCs w:val="18"/>
          <w:lang w:eastAsia="es-ES"/>
        </w:rPr>
        <w:t> </w:t>
      </w:r>
    </w:p>
    <w:p w:rsidR="00EE7121" w:rsidRPr="00EE7121" w:rsidRDefault="00EE7121" w:rsidP="00EE7121">
      <w:pPr>
        <w:spacing w:line="240" w:lineRule="auto"/>
        <w:rPr>
          <w:rFonts w:ascii="Arial" w:eastAsia="Times New Roman" w:hAnsi="Arial" w:cs="Arial"/>
          <w:color w:val="000000"/>
          <w:sz w:val="18"/>
          <w:szCs w:val="18"/>
          <w:lang w:eastAsia="es-ES"/>
        </w:rPr>
      </w:pPr>
      <w:r w:rsidRPr="00EE7121">
        <w:rPr>
          <w:rFonts w:ascii="Segoe UI" w:eastAsia="Times New Roman" w:hAnsi="Segoe UI" w:cs="Segoe UI"/>
          <w:b/>
          <w:bCs/>
          <w:color w:val="000000"/>
          <w:sz w:val="18"/>
          <w:szCs w:val="18"/>
          <w:lang w:val="es-CO" w:eastAsia="es-ES"/>
        </w:rPr>
        <w:t>LUIS HENRY MOYA MORENO</w:t>
      </w:r>
    </w:p>
    <w:p w:rsidR="00EE7121" w:rsidRPr="00EE7121" w:rsidRDefault="00EE7121" w:rsidP="00EE7121">
      <w:pPr>
        <w:spacing w:line="240" w:lineRule="auto"/>
        <w:rPr>
          <w:rFonts w:ascii="Arial" w:eastAsia="Times New Roman" w:hAnsi="Arial" w:cs="Arial"/>
          <w:color w:val="000000"/>
          <w:sz w:val="18"/>
          <w:szCs w:val="18"/>
          <w:lang w:eastAsia="es-ES"/>
        </w:rPr>
      </w:pPr>
      <w:r w:rsidRPr="00EE7121">
        <w:rPr>
          <w:rFonts w:ascii="Segoe UI" w:eastAsia="Times New Roman" w:hAnsi="Segoe UI" w:cs="Segoe UI"/>
          <w:color w:val="000000"/>
          <w:sz w:val="18"/>
          <w:szCs w:val="18"/>
          <w:lang w:val="es-CO" w:eastAsia="es-ES"/>
        </w:rPr>
        <w:t>Consejero del Consejo Técnico de la Contaduría Pública</w:t>
      </w:r>
    </w:p>
    <w:p w:rsidR="007F5CC8" w:rsidRDefault="007F5CC8">
      <w:bookmarkStart w:id="0" w:name="_GoBack"/>
      <w:bookmarkEnd w:id="0"/>
    </w:p>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21"/>
    <w:rsid w:val="001E311E"/>
    <w:rsid w:val="00434AE6"/>
    <w:rsid w:val="007F5CC8"/>
    <w:rsid w:val="008779BE"/>
    <w:rsid w:val="00EE712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88A1A-2D82-49BC-81A1-A9E90C46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1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tcp.gov.co/conceptos/20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1056</Words>
  <Characters>5813</Characters>
  <Application>Microsoft Office Word</Application>
  <DocSecurity>0</DocSecurity>
  <Lines>48</Lines>
  <Paragraphs>13</Paragraphs>
  <ScaleCrop>false</ScaleCrop>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2020-02-19T23:25:00Z</dcterms:created>
  <dcterms:modified xsi:type="dcterms:W3CDTF">2020-02-19T23:26:00Z</dcterms:modified>
</cp:coreProperties>
</file>