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7F7F9" w14:textId="77777777" w:rsidR="00C32EC8" w:rsidRPr="00C32EC8" w:rsidRDefault="00C32EC8" w:rsidP="00C32EC8">
      <w:pPr>
        <w:spacing w:line="240" w:lineRule="auto"/>
        <w:jc w:val="center"/>
        <w:rPr>
          <w:rFonts w:eastAsia="Times New Roman" w:cs="Times New Roman"/>
          <w:szCs w:val="24"/>
          <w:lang w:eastAsia="es-ES"/>
        </w:rPr>
      </w:pPr>
      <w:r w:rsidRPr="00C32EC8">
        <w:rPr>
          <w:rFonts w:eastAsia="Times New Roman" w:cs="Times New Roman"/>
          <w:b/>
          <w:bCs/>
          <w:szCs w:val="24"/>
          <w:lang w:val="es-CO" w:eastAsia="es-ES"/>
        </w:rPr>
        <w:t xml:space="preserve">TUTELA </w:t>
      </w:r>
      <w:proofErr w:type="spellStart"/>
      <w:r w:rsidRPr="00C32EC8">
        <w:rPr>
          <w:rFonts w:eastAsia="Times New Roman" w:cs="Times New Roman"/>
          <w:b/>
          <w:bCs/>
          <w:szCs w:val="24"/>
          <w:lang w:val="es-CO" w:eastAsia="es-ES"/>
        </w:rPr>
        <w:t>Nº</w:t>
      </w:r>
      <w:proofErr w:type="spellEnd"/>
      <w:r w:rsidRPr="00C32EC8">
        <w:rPr>
          <w:rFonts w:eastAsia="Times New Roman" w:cs="Times New Roman"/>
          <w:b/>
          <w:bCs/>
          <w:szCs w:val="24"/>
          <w:lang w:val="es-CO" w:eastAsia="es-ES"/>
        </w:rPr>
        <w:t xml:space="preserve"> 00023-01</w:t>
      </w:r>
    </w:p>
    <w:p w14:paraId="76F0E897" w14:textId="77777777" w:rsidR="00C32EC8" w:rsidRPr="00C32EC8" w:rsidRDefault="00C32EC8" w:rsidP="00C32EC8">
      <w:pPr>
        <w:spacing w:line="240" w:lineRule="auto"/>
        <w:jc w:val="center"/>
        <w:rPr>
          <w:rFonts w:eastAsia="Times New Roman" w:cs="Times New Roman"/>
          <w:szCs w:val="24"/>
          <w:lang w:eastAsia="es-ES"/>
        </w:rPr>
      </w:pPr>
      <w:r w:rsidRPr="00C32EC8">
        <w:rPr>
          <w:rFonts w:eastAsia="Times New Roman" w:cs="Times New Roman"/>
          <w:b/>
          <w:bCs/>
          <w:szCs w:val="24"/>
          <w:lang w:val="es-CO" w:eastAsia="es-ES"/>
        </w:rPr>
        <w:t>20-05-2020</w:t>
      </w:r>
    </w:p>
    <w:p w14:paraId="1317E098" w14:textId="77777777" w:rsidR="00C32EC8" w:rsidRPr="00C32EC8" w:rsidRDefault="00C32EC8" w:rsidP="00C32EC8">
      <w:pPr>
        <w:spacing w:line="240" w:lineRule="auto"/>
        <w:jc w:val="center"/>
        <w:rPr>
          <w:rFonts w:eastAsia="Times New Roman" w:cs="Times New Roman"/>
          <w:szCs w:val="24"/>
          <w:lang w:eastAsia="es-ES"/>
        </w:rPr>
      </w:pPr>
      <w:r w:rsidRPr="00C32EC8">
        <w:rPr>
          <w:rFonts w:eastAsia="Times New Roman" w:cs="Times New Roman"/>
          <w:b/>
          <w:bCs/>
          <w:szCs w:val="24"/>
          <w:lang w:val="es-CO" w:eastAsia="es-ES"/>
        </w:rPr>
        <w:t>CORTE SUPREMA DE JUSTICIA</w:t>
      </w:r>
    </w:p>
    <w:p w14:paraId="160FE4E3" w14:textId="77777777" w:rsidR="00C32EC8" w:rsidRPr="00C32EC8" w:rsidRDefault="00C32EC8" w:rsidP="00C32EC8">
      <w:pPr>
        <w:spacing w:line="240" w:lineRule="auto"/>
        <w:jc w:val="center"/>
        <w:rPr>
          <w:rFonts w:eastAsia="Times New Roman" w:cs="Times New Roman"/>
          <w:szCs w:val="24"/>
          <w:lang w:eastAsia="es-ES"/>
        </w:rPr>
      </w:pPr>
      <w:r w:rsidRPr="00C32EC8">
        <w:rPr>
          <w:rFonts w:eastAsia="Times New Roman" w:cs="Times New Roman"/>
          <w:b/>
          <w:bCs/>
          <w:szCs w:val="24"/>
          <w:lang w:val="es-CO" w:eastAsia="es-ES"/>
        </w:rPr>
        <w:t>SALA DE CASACIÓN CIVIL</w:t>
      </w:r>
    </w:p>
    <w:p w14:paraId="7ACC9EBF" w14:textId="77777777" w:rsidR="00C32EC8" w:rsidRPr="00C32EC8" w:rsidRDefault="00C32EC8" w:rsidP="00C32EC8">
      <w:pPr>
        <w:spacing w:line="240" w:lineRule="auto"/>
        <w:jc w:val="center"/>
        <w:rPr>
          <w:rFonts w:eastAsia="Times New Roman" w:cs="Times New Roman"/>
          <w:szCs w:val="24"/>
          <w:lang w:eastAsia="es-ES"/>
        </w:rPr>
      </w:pPr>
      <w:r w:rsidRPr="00C32EC8">
        <w:rPr>
          <w:rFonts w:eastAsia="Times New Roman" w:cs="Times New Roman"/>
          <w:b/>
          <w:bCs/>
          <w:szCs w:val="24"/>
          <w:lang w:val="es-CO" w:eastAsia="es-ES"/>
        </w:rPr>
        <w:t> </w:t>
      </w:r>
    </w:p>
    <w:p w14:paraId="16F2EDC4" w14:textId="77777777" w:rsidR="00C32EC8" w:rsidRPr="00C32EC8" w:rsidRDefault="00C32EC8" w:rsidP="00C32EC8">
      <w:pPr>
        <w:spacing w:line="240" w:lineRule="auto"/>
        <w:jc w:val="center"/>
        <w:rPr>
          <w:rFonts w:eastAsia="Times New Roman" w:cs="Times New Roman"/>
          <w:szCs w:val="24"/>
          <w:lang w:eastAsia="es-ES"/>
        </w:rPr>
      </w:pPr>
      <w:r w:rsidRPr="00C32EC8">
        <w:rPr>
          <w:rFonts w:eastAsia="Times New Roman" w:cs="Times New Roman"/>
          <w:b/>
          <w:bCs/>
          <w:szCs w:val="24"/>
          <w:lang w:val="es-CO" w:eastAsia="es-ES"/>
        </w:rPr>
        <w:t>OCTAVIO AUGUSTO TEJEIRO DUQUE</w:t>
      </w:r>
    </w:p>
    <w:p w14:paraId="00982CBB" w14:textId="77777777" w:rsidR="00C32EC8" w:rsidRPr="00C32EC8" w:rsidRDefault="00C32EC8" w:rsidP="00C32EC8">
      <w:pPr>
        <w:spacing w:line="240" w:lineRule="auto"/>
        <w:jc w:val="center"/>
        <w:rPr>
          <w:rFonts w:eastAsia="Times New Roman" w:cs="Times New Roman"/>
          <w:szCs w:val="24"/>
          <w:lang w:eastAsia="es-ES"/>
        </w:rPr>
      </w:pPr>
      <w:r w:rsidRPr="00C32EC8">
        <w:rPr>
          <w:rFonts w:eastAsia="Times New Roman" w:cs="Times New Roman"/>
          <w:b/>
          <w:bCs/>
          <w:szCs w:val="24"/>
          <w:lang w:val="es-CO" w:eastAsia="es-ES"/>
        </w:rPr>
        <w:t>Magistrado ponente</w:t>
      </w:r>
    </w:p>
    <w:p w14:paraId="68F8C212" w14:textId="77777777" w:rsidR="00C32EC8" w:rsidRPr="00C32EC8" w:rsidRDefault="00C32EC8" w:rsidP="00C32EC8">
      <w:pPr>
        <w:spacing w:line="240" w:lineRule="auto"/>
        <w:jc w:val="center"/>
        <w:rPr>
          <w:rFonts w:eastAsia="Times New Roman" w:cs="Times New Roman"/>
          <w:szCs w:val="24"/>
          <w:lang w:eastAsia="es-ES"/>
        </w:rPr>
      </w:pPr>
      <w:r w:rsidRPr="00C32EC8">
        <w:rPr>
          <w:rFonts w:eastAsia="Times New Roman" w:cs="Times New Roman"/>
          <w:b/>
          <w:bCs/>
          <w:szCs w:val="24"/>
          <w:lang w:val="es-CO" w:eastAsia="es-ES"/>
        </w:rPr>
        <w:t xml:space="preserve">Radicación </w:t>
      </w:r>
      <w:proofErr w:type="spellStart"/>
      <w:r w:rsidRPr="00C32EC8">
        <w:rPr>
          <w:rFonts w:eastAsia="Times New Roman" w:cs="Times New Roman"/>
          <w:b/>
          <w:bCs/>
          <w:szCs w:val="24"/>
          <w:lang w:val="es-CO" w:eastAsia="es-ES"/>
        </w:rPr>
        <w:t>nº</w:t>
      </w:r>
      <w:proofErr w:type="spellEnd"/>
      <w:r w:rsidRPr="00C32EC8">
        <w:rPr>
          <w:rFonts w:eastAsia="Times New Roman" w:cs="Times New Roman"/>
          <w:b/>
          <w:bCs/>
          <w:szCs w:val="24"/>
          <w:lang w:val="es-CO" w:eastAsia="es-ES"/>
        </w:rPr>
        <w:t xml:space="preserve"> 52001-22-13-000-2020-00023-01</w:t>
      </w:r>
    </w:p>
    <w:p w14:paraId="2A3A18F7" w14:textId="77777777" w:rsidR="00C32EC8" w:rsidRPr="00C32EC8" w:rsidRDefault="00C32EC8" w:rsidP="00C32EC8">
      <w:pPr>
        <w:spacing w:line="240" w:lineRule="auto"/>
        <w:jc w:val="center"/>
        <w:rPr>
          <w:rFonts w:eastAsia="Times New Roman" w:cs="Times New Roman"/>
          <w:szCs w:val="24"/>
          <w:lang w:eastAsia="es-ES"/>
        </w:rPr>
      </w:pPr>
      <w:r w:rsidRPr="00C32EC8">
        <w:rPr>
          <w:rFonts w:eastAsia="Times New Roman" w:cs="Times New Roman"/>
          <w:b/>
          <w:bCs/>
          <w:szCs w:val="24"/>
          <w:lang w:val="es-CO" w:eastAsia="es-ES"/>
        </w:rPr>
        <w:t>(Aprobado en sesión virtual de veinte de mayo de dos mil veinte)</w:t>
      </w:r>
    </w:p>
    <w:p w14:paraId="11DC744E" w14:textId="77777777" w:rsidR="00C32EC8" w:rsidRPr="00C32EC8" w:rsidRDefault="00C32EC8" w:rsidP="00C32EC8">
      <w:pPr>
        <w:spacing w:line="240" w:lineRule="auto"/>
        <w:jc w:val="center"/>
        <w:rPr>
          <w:rFonts w:eastAsia="Times New Roman" w:cs="Times New Roman"/>
          <w:szCs w:val="24"/>
          <w:lang w:eastAsia="es-ES"/>
        </w:rPr>
      </w:pPr>
      <w:r w:rsidRPr="00C32EC8">
        <w:rPr>
          <w:rFonts w:eastAsia="Times New Roman" w:cs="Times New Roman"/>
          <w:b/>
          <w:bCs/>
          <w:szCs w:val="24"/>
          <w:lang w:val="es-CO" w:eastAsia="es-ES"/>
        </w:rPr>
        <w:t> </w:t>
      </w:r>
    </w:p>
    <w:p w14:paraId="51668D21" w14:textId="77777777" w:rsidR="00C32EC8" w:rsidRPr="00C32EC8" w:rsidRDefault="00C32EC8" w:rsidP="00C32EC8">
      <w:pPr>
        <w:spacing w:line="240" w:lineRule="auto"/>
        <w:jc w:val="center"/>
        <w:rPr>
          <w:rFonts w:eastAsia="Times New Roman" w:cs="Times New Roman"/>
          <w:szCs w:val="24"/>
          <w:lang w:eastAsia="es-ES"/>
        </w:rPr>
      </w:pPr>
      <w:r w:rsidRPr="00C32EC8">
        <w:rPr>
          <w:rFonts w:eastAsia="Times New Roman" w:cs="Times New Roman"/>
          <w:b/>
          <w:bCs/>
          <w:szCs w:val="24"/>
          <w:lang w:val="es-CO" w:eastAsia="es-ES"/>
        </w:rPr>
        <w:t>Bogotá, D.C., veinte (20) de mayo de dos mil veinte (2020).</w:t>
      </w:r>
    </w:p>
    <w:p w14:paraId="66411F0D"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 </w:t>
      </w:r>
    </w:p>
    <w:p w14:paraId="6B511D6C"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21E2A110"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xml:space="preserve">Se resuelve la impugnación del fallo de 20 de marzo de 2020 proferido por la Sala Civil – Familia del Tribunal Superior del Distrito Judicial de Pasto, en la tutela interpuesta por Edelmiro José Díaz contra el Juzgado Primero Civil del Circuito de esa ciudad, extensiva a las partes del juicio con radicado </w:t>
      </w:r>
      <w:proofErr w:type="spellStart"/>
      <w:r w:rsidRPr="00C32EC8">
        <w:rPr>
          <w:rFonts w:eastAsia="Times New Roman" w:cs="Times New Roman"/>
          <w:szCs w:val="24"/>
          <w:lang w:val="es-CO" w:eastAsia="es-ES"/>
        </w:rPr>
        <w:t>nº</w:t>
      </w:r>
      <w:proofErr w:type="spellEnd"/>
      <w:r w:rsidRPr="00C32EC8">
        <w:rPr>
          <w:rFonts w:eastAsia="Times New Roman" w:cs="Times New Roman"/>
          <w:szCs w:val="24"/>
          <w:lang w:val="es-CO" w:eastAsia="es-ES"/>
        </w:rPr>
        <w:t xml:space="preserve"> 2015-00141-00.</w:t>
      </w:r>
    </w:p>
    <w:p w14:paraId="0E499ACA"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 </w:t>
      </w:r>
    </w:p>
    <w:p w14:paraId="38C3DECC" w14:textId="77777777" w:rsidR="00C32EC8" w:rsidRPr="00C32EC8" w:rsidRDefault="00C32EC8" w:rsidP="00C32EC8">
      <w:pPr>
        <w:spacing w:line="240" w:lineRule="auto"/>
        <w:jc w:val="center"/>
        <w:rPr>
          <w:rFonts w:eastAsia="Times New Roman" w:cs="Times New Roman"/>
          <w:szCs w:val="24"/>
          <w:lang w:eastAsia="es-ES"/>
        </w:rPr>
      </w:pPr>
      <w:r w:rsidRPr="00C32EC8">
        <w:rPr>
          <w:rFonts w:eastAsia="Times New Roman" w:cs="Times New Roman"/>
          <w:b/>
          <w:bCs/>
          <w:szCs w:val="24"/>
          <w:lang w:val="es-CO" w:eastAsia="es-ES"/>
        </w:rPr>
        <w:t>ANTECEDENTES</w:t>
      </w:r>
    </w:p>
    <w:p w14:paraId="4D47006A"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 </w:t>
      </w:r>
    </w:p>
    <w:p w14:paraId="37E7C736"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1. </w:t>
      </w:r>
      <w:r w:rsidRPr="00C32EC8">
        <w:rPr>
          <w:rFonts w:eastAsia="Times New Roman" w:cs="Times New Roman"/>
          <w:szCs w:val="24"/>
          <w:lang w:val="es-CO" w:eastAsia="es-ES"/>
        </w:rPr>
        <w:t xml:space="preserve">El Juzgado Tercero de Pequeñas Causas y Competencia Múltiple de Pasto declaró probada la excepción de transacción formulada por Rosa María Magola Ortega en el ejecutivo que le inició Edelmiro José Díaz, producto de lo cual lo finalizó (sentencia de 24 </w:t>
      </w:r>
      <w:proofErr w:type="spellStart"/>
      <w:r w:rsidRPr="00C32EC8">
        <w:rPr>
          <w:rFonts w:eastAsia="Times New Roman" w:cs="Times New Roman"/>
          <w:szCs w:val="24"/>
          <w:lang w:val="es-CO" w:eastAsia="es-ES"/>
        </w:rPr>
        <w:t>may</w:t>
      </w:r>
      <w:proofErr w:type="spellEnd"/>
      <w:r w:rsidRPr="00C32EC8">
        <w:rPr>
          <w:rFonts w:eastAsia="Times New Roman" w:cs="Times New Roman"/>
          <w:szCs w:val="24"/>
          <w:lang w:val="es-CO" w:eastAsia="es-ES"/>
        </w:rPr>
        <w:t>. 2019). El acreedor vencido apeló y el Juzgado Primero Civil del Circuito de la misma urbe admitió el recurso (4 jul. 2019).</w:t>
      </w:r>
    </w:p>
    <w:p w14:paraId="51D24140"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0A1E1DE7"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Posteriormente, el </w:t>
      </w:r>
      <w:r w:rsidRPr="00C32EC8">
        <w:rPr>
          <w:rFonts w:eastAsia="Times New Roman" w:cs="Times New Roman"/>
          <w:i/>
          <w:iCs/>
          <w:szCs w:val="24"/>
          <w:lang w:val="es-CO" w:eastAsia="es-ES"/>
        </w:rPr>
        <w:t xml:space="preserve">ad </w:t>
      </w:r>
      <w:proofErr w:type="spellStart"/>
      <w:r w:rsidRPr="00C32EC8">
        <w:rPr>
          <w:rFonts w:eastAsia="Times New Roman" w:cs="Times New Roman"/>
          <w:i/>
          <w:iCs/>
          <w:szCs w:val="24"/>
          <w:lang w:val="es-CO" w:eastAsia="es-ES"/>
        </w:rPr>
        <w:t>quem</w:t>
      </w:r>
      <w:proofErr w:type="spellEnd"/>
      <w:r w:rsidRPr="00C32EC8">
        <w:rPr>
          <w:rFonts w:eastAsia="Times New Roman" w:cs="Times New Roman"/>
          <w:i/>
          <w:iCs/>
          <w:szCs w:val="24"/>
          <w:lang w:val="es-CO" w:eastAsia="es-ES"/>
        </w:rPr>
        <w:t> </w:t>
      </w:r>
      <w:r w:rsidRPr="00C32EC8">
        <w:rPr>
          <w:rFonts w:eastAsia="Times New Roman" w:cs="Times New Roman"/>
          <w:szCs w:val="24"/>
          <w:lang w:val="es-CO" w:eastAsia="es-ES"/>
        </w:rPr>
        <w:t>programó la audiencia de sustentación y fallo para el 20 de enero de 2020 a las </w:t>
      </w:r>
      <w:r w:rsidRPr="00C32EC8">
        <w:rPr>
          <w:rFonts w:eastAsia="Times New Roman" w:cs="Times New Roman"/>
          <w:b/>
          <w:bCs/>
          <w:szCs w:val="24"/>
          <w:lang w:val="es-CO" w:eastAsia="es-ES"/>
        </w:rPr>
        <w:t>3:30 p.m.</w:t>
      </w:r>
      <w:r w:rsidRPr="00C32EC8">
        <w:rPr>
          <w:rFonts w:eastAsia="Times New Roman" w:cs="Times New Roman"/>
          <w:szCs w:val="24"/>
          <w:lang w:val="es-CO" w:eastAsia="es-ES"/>
        </w:rPr>
        <w:t xml:space="preserve">, </w:t>
      </w:r>
      <w:r w:rsidRPr="00C32EC8">
        <w:rPr>
          <w:rFonts w:eastAsia="Times New Roman" w:cs="Times New Roman"/>
          <w:szCs w:val="24"/>
          <w:highlight w:val="green"/>
          <w:lang w:val="es-CO" w:eastAsia="es-ES"/>
        </w:rPr>
        <w:t>pero al notificar esa decisión a través de estado electrónico quedó consignado que sería en la anotada calenda a las </w:t>
      </w:r>
      <w:r w:rsidRPr="00C32EC8">
        <w:rPr>
          <w:rFonts w:eastAsia="Times New Roman" w:cs="Times New Roman"/>
          <w:b/>
          <w:bCs/>
          <w:szCs w:val="24"/>
          <w:highlight w:val="green"/>
          <w:lang w:val="es-CO" w:eastAsia="es-ES"/>
        </w:rPr>
        <w:t>9:00 a.m., </w:t>
      </w:r>
      <w:r w:rsidRPr="00C32EC8">
        <w:rPr>
          <w:rFonts w:eastAsia="Times New Roman" w:cs="Times New Roman"/>
          <w:szCs w:val="24"/>
          <w:highlight w:val="green"/>
          <w:lang w:val="es-CO" w:eastAsia="es-ES"/>
        </w:rPr>
        <w:t xml:space="preserve">hora en la cual compareció la abogada sustituta del demandante y en la Secretaría le comunicaron que para ese momento no había diligencia agendada por lo que se retiró de inmediato. A las 3:30 p.m. se instaló la vista pública donde se declaró desierta la alzada por la ausencia del </w:t>
      </w:r>
      <w:proofErr w:type="spellStart"/>
      <w:r w:rsidRPr="00C32EC8">
        <w:rPr>
          <w:rFonts w:eastAsia="Times New Roman" w:cs="Times New Roman"/>
          <w:szCs w:val="24"/>
          <w:highlight w:val="green"/>
          <w:lang w:val="es-CO" w:eastAsia="es-ES"/>
        </w:rPr>
        <w:t>opugnante</w:t>
      </w:r>
      <w:proofErr w:type="spellEnd"/>
      <w:r w:rsidRPr="00C32EC8">
        <w:rPr>
          <w:rFonts w:eastAsia="Times New Roman" w:cs="Times New Roman"/>
          <w:szCs w:val="24"/>
          <w:highlight w:val="green"/>
          <w:lang w:val="es-CO" w:eastAsia="es-ES"/>
        </w:rPr>
        <w:t>.</w:t>
      </w:r>
    </w:p>
    <w:p w14:paraId="406DDEBD"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5206DEDD"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highlight w:val="green"/>
          <w:lang w:val="es-CO" w:eastAsia="es-ES"/>
        </w:rPr>
        <w:t>El promotor afirmó que se enteró de lo sucedido al revisar otra vez los «</w:t>
      </w:r>
      <w:r w:rsidRPr="00C32EC8">
        <w:rPr>
          <w:rFonts w:eastAsia="Times New Roman" w:cs="Times New Roman"/>
          <w:i/>
          <w:iCs/>
          <w:szCs w:val="24"/>
          <w:highlight w:val="green"/>
          <w:lang w:val="es-CO" w:eastAsia="es-ES"/>
        </w:rPr>
        <w:t>estados electrónicos</w:t>
      </w:r>
      <w:r w:rsidRPr="00C32EC8">
        <w:rPr>
          <w:rFonts w:eastAsia="Times New Roman" w:cs="Times New Roman"/>
          <w:szCs w:val="24"/>
          <w:highlight w:val="green"/>
          <w:lang w:val="es-CO" w:eastAsia="es-ES"/>
        </w:rPr>
        <w:t>» y en tal virtud sostuvo que se le vulneraron los derechos a la defensa, publicidad y debido proceso, porque el Juzgado se equivocó al registrar «</w:t>
      </w:r>
      <w:r w:rsidRPr="00C32EC8">
        <w:rPr>
          <w:rFonts w:eastAsia="Times New Roman" w:cs="Times New Roman"/>
          <w:i/>
          <w:iCs/>
          <w:szCs w:val="24"/>
          <w:highlight w:val="green"/>
          <w:lang w:val="es-CO" w:eastAsia="es-ES"/>
        </w:rPr>
        <w:t>la hora de la audiencia</w:t>
      </w:r>
      <w:r w:rsidRPr="00C32EC8">
        <w:rPr>
          <w:rFonts w:eastAsia="Times New Roman" w:cs="Times New Roman"/>
          <w:szCs w:val="24"/>
          <w:highlight w:val="green"/>
          <w:lang w:val="es-CO" w:eastAsia="es-ES"/>
        </w:rPr>
        <w:t>», de allí que la falta de correspondencia entre el contenido de la providencia que la convocó y su notificación es constitutiva de nulidad.</w:t>
      </w:r>
    </w:p>
    <w:p w14:paraId="6CA094D5"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677A9355"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Por ello, solicitó que se conceda el amparo, se deje sin valor la «</w:t>
      </w:r>
      <w:r w:rsidRPr="00C32EC8">
        <w:rPr>
          <w:rFonts w:eastAsia="Times New Roman" w:cs="Times New Roman"/>
          <w:i/>
          <w:iCs/>
          <w:szCs w:val="24"/>
          <w:lang w:val="es-CO" w:eastAsia="es-ES"/>
        </w:rPr>
        <w:t>deserción del recurso</w:t>
      </w:r>
      <w:r w:rsidRPr="00C32EC8">
        <w:rPr>
          <w:rFonts w:eastAsia="Times New Roman" w:cs="Times New Roman"/>
          <w:szCs w:val="24"/>
          <w:lang w:val="es-CO" w:eastAsia="es-ES"/>
        </w:rPr>
        <w:t>» y se señale «</w:t>
      </w:r>
      <w:r w:rsidRPr="00C32EC8">
        <w:rPr>
          <w:rFonts w:eastAsia="Times New Roman" w:cs="Times New Roman"/>
          <w:i/>
          <w:iCs/>
          <w:szCs w:val="24"/>
          <w:lang w:val="es-CO" w:eastAsia="es-ES"/>
        </w:rPr>
        <w:t>nueva fecha y hora para la audiencia de sustentación y fallo</w:t>
      </w:r>
      <w:r w:rsidRPr="00C32EC8">
        <w:rPr>
          <w:rFonts w:eastAsia="Times New Roman" w:cs="Times New Roman"/>
          <w:szCs w:val="24"/>
          <w:lang w:val="es-CO" w:eastAsia="es-ES"/>
        </w:rPr>
        <w:t>».</w:t>
      </w:r>
    </w:p>
    <w:p w14:paraId="647309B4"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 </w:t>
      </w:r>
    </w:p>
    <w:p w14:paraId="2C4838D3"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2. </w:t>
      </w:r>
      <w:r w:rsidRPr="00C32EC8">
        <w:rPr>
          <w:rFonts w:eastAsia="Times New Roman" w:cs="Times New Roman"/>
          <w:szCs w:val="24"/>
          <w:lang w:val="es-CO" w:eastAsia="es-ES"/>
        </w:rPr>
        <w:t>El estrado municipal vinculado respondió que no se le endilga alguna vulneración; su superior reconoció la equivocación denunciada y añadió que el actor no estaba eximido de revisar el expediente.</w:t>
      </w:r>
    </w:p>
    <w:p w14:paraId="69B8C8D9"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 </w:t>
      </w:r>
    </w:p>
    <w:p w14:paraId="70FE10A2" w14:textId="77777777" w:rsidR="00C32EC8" w:rsidRPr="00C32EC8" w:rsidRDefault="00C32EC8" w:rsidP="00C32EC8">
      <w:pPr>
        <w:spacing w:line="240" w:lineRule="auto"/>
        <w:jc w:val="center"/>
        <w:rPr>
          <w:rFonts w:eastAsia="Times New Roman" w:cs="Times New Roman"/>
          <w:szCs w:val="24"/>
          <w:highlight w:val="green"/>
          <w:lang w:eastAsia="es-ES"/>
        </w:rPr>
      </w:pPr>
      <w:r w:rsidRPr="00C32EC8">
        <w:rPr>
          <w:rFonts w:eastAsia="Times New Roman" w:cs="Times New Roman"/>
          <w:b/>
          <w:bCs/>
          <w:szCs w:val="24"/>
          <w:highlight w:val="green"/>
          <w:lang w:val="es-CO" w:eastAsia="es-ES"/>
        </w:rPr>
        <w:t>FALLO DE PRIMER GRADO Y SU IMPUGNACIÓN</w:t>
      </w:r>
    </w:p>
    <w:p w14:paraId="5DD114F4" w14:textId="77777777" w:rsidR="00C32EC8" w:rsidRPr="00C32EC8" w:rsidRDefault="00C32EC8" w:rsidP="00C32EC8">
      <w:pPr>
        <w:spacing w:line="240" w:lineRule="auto"/>
        <w:rPr>
          <w:rFonts w:eastAsia="Times New Roman" w:cs="Times New Roman"/>
          <w:szCs w:val="24"/>
          <w:highlight w:val="green"/>
          <w:lang w:eastAsia="es-ES"/>
        </w:rPr>
      </w:pPr>
      <w:r w:rsidRPr="00C32EC8">
        <w:rPr>
          <w:rFonts w:eastAsia="Times New Roman" w:cs="Times New Roman"/>
          <w:szCs w:val="24"/>
          <w:highlight w:val="green"/>
          <w:lang w:val="es-CO" w:eastAsia="es-ES"/>
        </w:rPr>
        <w:t> </w:t>
      </w:r>
    </w:p>
    <w:p w14:paraId="391DC974"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highlight w:val="green"/>
          <w:lang w:val="es-CO" w:eastAsia="es-ES"/>
        </w:rPr>
        <w:t xml:space="preserve">El Tribunal de Pasto negó la salvaguarda porque la mandataria del precursor debió corroborar la información en el </w:t>
      </w:r>
      <w:proofErr w:type="spellStart"/>
      <w:r w:rsidRPr="00C32EC8">
        <w:rPr>
          <w:rFonts w:eastAsia="Times New Roman" w:cs="Times New Roman"/>
          <w:szCs w:val="24"/>
          <w:highlight w:val="green"/>
          <w:lang w:val="es-CO" w:eastAsia="es-ES"/>
        </w:rPr>
        <w:t>paginario</w:t>
      </w:r>
      <w:proofErr w:type="spellEnd"/>
      <w:r w:rsidRPr="00C32EC8">
        <w:rPr>
          <w:rFonts w:eastAsia="Times New Roman" w:cs="Times New Roman"/>
          <w:szCs w:val="24"/>
          <w:highlight w:val="green"/>
          <w:lang w:val="es-CO" w:eastAsia="es-ES"/>
        </w:rPr>
        <w:t xml:space="preserve"> para advertir el yerro, lo cual no hizo. El interesado impugnó y reiteró los argumentos iniciales.</w:t>
      </w:r>
    </w:p>
    <w:p w14:paraId="46C647CC"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 </w:t>
      </w:r>
    </w:p>
    <w:p w14:paraId="3FBD4316" w14:textId="77777777" w:rsidR="00C32EC8" w:rsidRPr="00C32EC8" w:rsidRDefault="00C32EC8" w:rsidP="00C32EC8">
      <w:pPr>
        <w:spacing w:line="240" w:lineRule="auto"/>
        <w:jc w:val="center"/>
        <w:rPr>
          <w:rFonts w:eastAsia="Times New Roman" w:cs="Times New Roman"/>
          <w:szCs w:val="24"/>
          <w:lang w:eastAsia="es-ES"/>
        </w:rPr>
      </w:pPr>
      <w:r w:rsidRPr="00C32EC8">
        <w:rPr>
          <w:rFonts w:eastAsia="Times New Roman" w:cs="Times New Roman"/>
          <w:b/>
          <w:bCs/>
          <w:szCs w:val="24"/>
          <w:lang w:val="es-CO" w:eastAsia="es-ES"/>
        </w:rPr>
        <w:t>CONSIDERACIONES</w:t>
      </w:r>
    </w:p>
    <w:p w14:paraId="5AC384FF"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 </w:t>
      </w:r>
    </w:p>
    <w:p w14:paraId="19D21AF5"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1. </w:t>
      </w:r>
      <w:r w:rsidRPr="00C32EC8">
        <w:rPr>
          <w:rFonts w:eastAsia="Times New Roman" w:cs="Times New Roman"/>
          <w:szCs w:val="24"/>
          <w:lang w:val="es-CO" w:eastAsia="es-ES"/>
        </w:rPr>
        <w:t xml:space="preserve">En esta materia se tiene ampliamente decantado que la prosperidad de la tutela contra providencias judiciales está supeditada al cumplimiento de unos requisitos generales y otros específicos. Entre los primeros, se halla el de subsidiariedad que supone que el accionante agote en el litigio cuestionado todos los mecanismos previstos en la ley para procurar allá el </w:t>
      </w:r>
      <w:r w:rsidRPr="00C32EC8">
        <w:rPr>
          <w:rFonts w:eastAsia="Times New Roman" w:cs="Times New Roman"/>
          <w:szCs w:val="24"/>
          <w:lang w:val="es-CO" w:eastAsia="es-ES"/>
        </w:rPr>
        <w:lastRenderedPageBreak/>
        <w:t>restablecimiento de sus prerrogativas, pues no es aceptable – en principio – acudir a este escenario cuando se han desperdiciado otros instrumentos de </w:t>
      </w:r>
      <w:r w:rsidRPr="00C32EC8">
        <w:rPr>
          <w:rFonts w:eastAsia="Times New Roman" w:cs="Times New Roman"/>
          <w:i/>
          <w:iCs/>
          <w:szCs w:val="24"/>
          <w:lang w:val="es-CO" w:eastAsia="es-ES"/>
        </w:rPr>
        <w:t>«defensa</w:t>
      </w:r>
      <w:r w:rsidRPr="00C32EC8">
        <w:rPr>
          <w:rFonts w:eastAsia="Times New Roman" w:cs="Times New Roman"/>
          <w:szCs w:val="24"/>
          <w:lang w:val="es-CO" w:eastAsia="es-ES"/>
        </w:rPr>
        <w:t>».</w:t>
      </w:r>
    </w:p>
    <w:p w14:paraId="2C60E732"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1C9239DD"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xml:space="preserve">De este modo, se impondría avalar la negativa del res-guardo porque el gestor no discutió ante el funcionario natural de la causa el tópico aquí planteado. No obstante, observa la Corte que el Juzgado querellado incurrió en un desafuero mayúsculo y trascendente que amerita flexibilizar el presupuesto de </w:t>
      </w:r>
      <w:proofErr w:type="spellStart"/>
      <w:r w:rsidRPr="00C32EC8">
        <w:rPr>
          <w:rFonts w:eastAsia="Times New Roman" w:cs="Times New Roman"/>
          <w:szCs w:val="24"/>
          <w:lang w:val="es-CO" w:eastAsia="es-ES"/>
        </w:rPr>
        <w:t>residualidad</w:t>
      </w:r>
      <w:proofErr w:type="spellEnd"/>
      <w:r w:rsidRPr="00C32EC8">
        <w:rPr>
          <w:rFonts w:eastAsia="Times New Roman" w:cs="Times New Roman"/>
          <w:szCs w:val="24"/>
          <w:lang w:val="es-CO" w:eastAsia="es-ES"/>
        </w:rPr>
        <w:t>, sumado a que la temática merece especial análisis dadas las circunstancias actuales que exigen el uso de las tecnologías para notificar las decisiones jurisdiccionales.</w:t>
      </w:r>
    </w:p>
    <w:p w14:paraId="30C29ED0"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35536F00"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Al respecto, se ha establecido que:</w:t>
      </w:r>
    </w:p>
    <w:p w14:paraId="5CD619E1"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i/>
          <w:iCs/>
          <w:szCs w:val="24"/>
          <w:lang w:val="es-CO" w:eastAsia="es-ES"/>
        </w:rPr>
        <w:t> </w:t>
      </w:r>
    </w:p>
    <w:p w14:paraId="1CABC680" w14:textId="77777777" w:rsidR="00C32EC8" w:rsidRPr="00C32EC8" w:rsidRDefault="00C32EC8" w:rsidP="00C32EC8">
      <w:pPr>
        <w:spacing w:line="240" w:lineRule="auto"/>
        <w:ind w:left="284"/>
        <w:rPr>
          <w:rFonts w:eastAsia="Times New Roman" w:cs="Times New Roman"/>
          <w:szCs w:val="24"/>
          <w:lang w:eastAsia="es-ES"/>
        </w:rPr>
      </w:pPr>
      <w:r w:rsidRPr="00C32EC8">
        <w:rPr>
          <w:rFonts w:eastAsia="Times New Roman" w:cs="Times New Roman"/>
          <w:i/>
          <w:iCs/>
          <w:szCs w:val="24"/>
          <w:lang w:val="es-CO" w:eastAsia="es-ES"/>
        </w:rPr>
        <w:t>De manera invariable la jurisprudencia de esta Corte ha señalado que, por regla general, la acción de tutela no procede contra providencias judiciales y, por tanto, solo en forma excepcional resulta viable la prosperidad del amparo para atacar tales decisiones cuando con ellas se causa vulneración a los derechos fundamentales de los asociados. Pero en cualquier caso su eventual concesión está supeditada a la verificación de ciertas condiciones de procedibilidad (…) No obstante, cuando la vulneración de los derechos fundamentales es protuberante y afecta garantías de superior valor como lo son los derechos al debido proceso y el acceso a la administración de justicia, uno de cuyos componentes es la tutela judicial efectiva, la procedencia del amparo no puede desconocerse, so pretexto de que no se atendieron unos requerimientos de naturaleza simplemente procedimental (…) Lo anterior «en aras de garantizar la prevalencia del derecho sustancial sobre el procesal» y atendiendo que la herramienta de la tutela, «no puede verse limitada por formalismos jurídicos», de ahí que «la mera ausencia de un requisito general de procedencia, no puede erigirse en parámetro absoluto para privar al actor del goce efectivo de sus derechos superiores, ni para prohijar su que-</w:t>
      </w:r>
      <w:proofErr w:type="spellStart"/>
      <w:r w:rsidRPr="00C32EC8">
        <w:rPr>
          <w:rFonts w:eastAsia="Times New Roman" w:cs="Times New Roman"/>
          <w:i/>
          <w:iCs/>
          <w:szCs w:val="24"/>
          <w:lang w:val="es-CO" w:eastAsia="es-ES"/>
        </w:rPr>
        <w:t>branto</w:t>
      </w:r>
      <w:proofErr w:type="spellEnd"/>
      <w:r w:rsidRPr="00C32EC8">
        <w:rPr>
          <w:rFonts w:eastAsia="Times New Roman" w:cs="Times New Roman"/>
          <w:i/>
          <w:iCs/>
          <w:szCs w:val="24"/>
          <w:lang w:val="es-CO" w:eastAsia="es-ES"/>
        </w:rPr>
        <w:t xml:space="preserve"> con la actitud silente del juez que conoce del reclamo dirigido a obtener su protección» </w:t>
      </w:r>
      <w:r w:rsidRPr="00C32EC8">
        <w:rPr>
          <w:rFonts w:eastAsia="Times New Roman" w:cs="Times New Roman"/>
          <w:szCs w:val="24"/>
          <w:lang w:val="es-CO" w:eastAsia="es-ES"/>
        </w:rPr>
        <w:t>(STC7474-2018).</w:t>
      </w:r>
    </w:p>
    <w:p w14:paraId="04EAD659"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402DD080"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Por consiguiente, se abordará el fondo de la problemática esgrimida, para lo cual es indispensable hacer las siguientes precisiones.</w:t>
      </w:r>
    </w:p>
    <w:p w14:paraId="38A492DF"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 </w:t>
      </w:r>
    </w:p>
    <w:p w14:paraId="1CA33CB8"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2. </w:t>
      </w:r>
      <w:r w:rsidRPr="00C32EC8">
        <w:rPr>
          <w:rFonts w:eastAsia="Times New Roman" w:cs="Times New Roman"/>
          <w:szCs w:val="24"/>
          <w:lang w:val="es-CO" w:eastAsia="es-ES"/>
        </w:rPr>
        <w:t>La Ley 270 de 1996 dispone en el artículo 95 que se «</w:t>
      </w:r>
      <w:r w:rsidRPr="00C32EC8">
        <w:rPr>
          <w:rFonts w:eastAsia="Times New Roman" w:cs="Times New Roman"/>
          <w:i/>
          <w:iCs/>
          <w:szCs w:val="24"/>
          <w:lang w:val="es-CO" w:eastAsia="es-ES"/>
        </w:rPr>
        <w:t>debe propender por la incorporación de tecnología de avanzada al servicio de la administración de justicia</w:t>
      </w:r>
      <w:r w:rsidRPr="00C32EC8">
        <w:rPr>
          <w:rFonts w:eastAsia="Times New Roman" w:cs="Times New Roman"/>
          <w:szCs w:val="24"/>
          <w:lang w:val="es-CO" w:eastAsia="es-ES"/>
        </w:rPr>
        <w:t>» y autoriza que los «</w:t>
      </w:r>
      <w:r w:rsidRPr="00C32EC8">
        <w:rPr>
          <w:rFonts w:eastAsia="Times New Roman" w:cs="Times New Roman"/>
          <w:i/>
          <w:iCs/>
          <w:szCs w:val="24"/>
          <w:lang w:val="es-CO" w:eastAsia="es-ES"/>
        </w:rPr>
        <w:t>juzgados, tribunales y corporaciones judiciales podrán utilizar cualesquier medios técnicos, electrónicos, informáticos y telemáticos, para el cumplimiento de sus funciones</w:t>
      </w:r>
      <w:r w:rsidRPr="00C32EC8">
        <w:rPr>
          <w:rFonts w:eastAsia="Times New Roman" w:cs="Times New Roman"/>
          <w:szCs w:val="24"/>
          <w:lang w:val="es-CO" w:eastAsia="es-ES"/>
        </w:rPr>
        <w:t>». Esa disposición persigue que la Rama Judicial «</w:t>
      </w:r>
      <w:r w:rsidRPr="00C32EC8">
        <w:rPr>
          <w:rFonts w:eastAsia="Times New Roman" w:cs="Times New Roman"/>
          <w:i/>
          <w:iCs/>
          <w:szCs w:val="24"/>
          <w:lang w:val="es-CO" w:eastAsia="es-ES"/>
        </w:rPr>
        <w:t>cuente con la infraestructura técnica y la logística informática necesaria para el recto cumplimiento de las atribuciones y responsabilidades que la Constitución le asigna</w:t>
      </w:r>
      <w:r w:rsidRPr="00C32EC8">
        <w:rPr>
          <w:rFonts w:eastAsia="Times New Roman" w:cs="Times New Roman"/>
          <w:szCs w:val="24"/>
          <w:lang w:val="es-CO" w:eastAsia="es-ES"/>
        </w:rPr>
        <w:t>», según dijo la Corte Constitucional (C-037 de 1996).</w:t>
      </w:r>
    </w:p>
    <w:p w14:paraId="3D5D322A"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3B5A4E7F"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En sintonía con dicho mandato, el artículo 103 del Código General del Proceso consagró como postulado central la virtualidad al decir que en «</w:t>
      </w:r>
      <w:r w:rsidRPr="00C32EC8">
        <w:rPr>
          <w:rFonts w:eastAsia="Times New Roman" w:cs="Times New Roman"/>
          <w:i/>
          <w:iCs/>
          <w:szCs w:val="24"/>
          <w:lang w:val="es-CO" w:eastAsia="es-ES"/>
        </w:rPr>
        <w:t>todas las actuaciones judiciales deberá procurarse el uso de las tecnologías de la información y las comunicaciones</w:t>
      </w:r>
      <w:r w:rsidRPr="00C32EC8">
        <w:rPr>
          <w:rFonts w:eastAsia="Times New Roman" w:cs="Times New Roman"/>
          <w:szCs w:val="24"/>
          <w:lang w:val="es-CO" w:eastAsia="es-ES"/>
        </w:rPr>
        <w:t>» con los propósitos de «</w:t>
      </w:r>
      <w:r w:rsidRPr="00C32EC8">
        <w:rPr>
          <w:rFonts w:eastAsia="Times New Roman" w:cs="Times New Roman"/>
          <w:i/>
          <w:iCs/>
          <w:szCs w:val="24"/>
          <w:lang w:val="es-CO" w:eastAsia="es-ES"/>
        </w:rPr>
        <w:t>facilitar y agilizar el acceso a la justicia</w:t>
      </w:r>
      <w:r w:rsidRPr="00C32EC8">
        <w:rPr>
          <w:rFonts w:eastAsia="Times New Roman" w:cs="Times New Roman"/>
          <w:szCs w:val="24"/>
          <w:lang w:val="es-CO" w:eastAsia="es-ES"/>
        </w:rPr>
        <w:t>» y ampliar su cobertura. De manera que al tiempo que se propende por el uso de esas herramientas para simplificar los trámites «</w:t>
      </w:r>
      <w:r w:rsidRPr="00C32EC8">
        <w:rPr>
          <w:rFonts w:eastAsia="Times New Roman" w:cs="Times New Roman"/>
          <w:i/>
          <w:iCs/>
          <w:szCs w:val="24"/>
          <w:lang w:val="es-CO" w:eastAsia="es-ES"/>
        </w:rPr>
        <w:t>judiciales» </w:t>
      </w:r>
      <w:r w:rsidRPr="00C32EC8">
        <w:rPr>
          <w:rFonts w:eastAsia="Times New Roman" w:cs="Times New Roman"/>
          <w:szCs w:val="24"/>
          <w:lang w:val="es-CO" w:eastAsia="es-ES"/>
        </w:rPr>
        <w:t>se persigue que por esa vía se garantice la prestación del servicio jurisdiccional en todo el territorio nacional.</w:t>
      </w:r>
    </w:p>
    <w:p w14:paraId="128244CB"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2A95CD61"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Se sigue de allí que el empleo de los medios informáticos en la ritualidad de los </w:t>
      </w:r>
      <w:r w:rsidRPr="00C32EC8">
        <w:rPr>
          <w:rFonts w:eastAsia="Times New Roman" w:cs="Times New Roman"/>
          <w:i/>
          <w:iCs/>
          <w:szCs w:val="24"/>
          <w:lang w:val="es-CO" w:eastAsia="es-ES"/>
        </w:rPr>
        <w:t>«procesos judiciales» </w:t>
      </w:r>
      <w:r w:rsidRPr="00C32EC8">
        <w:rPr>
          <w:rFonts w:eastAsia="Times New Roman" w:cs="Times New Roman"/>
          <w:szCs w:val="24"/>
          <w:lang w:val="es-CO" w:eastAsia="es-ES"/>
        </w:rPr>
        <w:t>se ensambla a los principios de eficiencia y efectividad en la medida que se dinamiza el envío y recepción de documentos por esos canales, al tiempo que facilita la realización de otras actuaciones significativas, como las audiencias a través de la </w:t>
      </w:r>
      <w:r w:rsidRPr="00C32EC8">
        <w:rPr>
          <w:rFonts w:eastAsia="Times New Roman" w:cs="Times New Roman"/>
          <w:i/>
          <w:iCs/>
          <w:szCs w:val="24"/>
          <w:lang w:val="es-CO" w:eastAsia="es-ES"/>
        </w:rPr>
        <w:t>«virtualidad»</w:t>
      </w:r>
      <w:r w:rsidRPr="00C32EC8">
        <w:rPr>
          <w:rFonts w:eastAsia="Times New Roman" w:cs="Times New Roman"/>
          <w:szCs w:val="24"/>
          <w:lang w:val="es-CO" w:eastAsia="es-ES"/>
        </w:rPr>
        <w:t>, con las obvias ventajas que ello produce en cuanto a la accesibilidad a la </w:t>
      </w:r>
      <w:r w:rsidRPr="00C32EC8">
        <w:rPr>
          <w:rFonts w:eastAsia="Times New Roman" w:cs="Times New Roman"/>
          <w:i/>
          <w:iCs/>
          <w:szCs w:val="24"/>
          <w:lang w:val="es-CO" w:eastAsia="es-ES"/>
        </w:rPr>
        <w:t>«información» </w:t>
      </w:r>
      <w:r w:rsidRPr="00C32EC8">
        <w:rPr>
          <w:rFonts w:eastAsia="Times New Roman" w:cs="Times New Roman"/>
          <w:szCs w:val="24"/>
          <w:lang w:val="es-CO" w:eastAsia="es-ES"/>
        </w:rPr>
        <w:t>sin que sea indispensable permanecer en la misma sede de los despachos, como lo fuerza la presencialidad.</w:t>
      </w:r>
    </w:p>
    <w:p w14:paraId="4FF4CD77"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7D7B3627"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Ciertamente, el uso de las tecnologías en el discurrir del litigio facilita que los intervinientes cumplan algunas cargas sin importar el lugar en que se encuentren, pues en la fase escrita, por ejemplo, una vez implementado el Plan de Justicia Digital «</w:t>
      </w:r>
      <w:r w:rsidRPr="00C32EC8">
        <w:rPr>
          <w:rFonts w:eastAsia="Times New Roman" w:cs="Times New Roman"/>
          <w:i/>
          <w:iCs/>
          <w:szCs w:val="24"/>
          <w:lang w:val="es-CO" w:eastAsia="es-ES"/>
        </w:rPr>
        <w:t xml:space="preserve">no será necesario presentar copia física de la </w:t>
      </w:r>
      <w:proofErr w:type="spellStart"/>
      <w:r w:rsidRPr="00C32EC8">
        <w:rPr>
          <w:rFonts w:eastAsia="Times New Roman" w:cs="Times New Roman"/>
          <w:i/>
          <w:iCs/>
          <w:szCs w:val="24"/>
          <w:lang w:val="es-CO" w:eastAsia="es-ES"/>
        </w:rPr>
        <w:t>de-manda</w:t>
      </w:r>
      <w:proofErr w:type="spellEnd"/>
      <w:r w:rsidRPr="00C32EC8">
        <w:rPr>
          <w:rFonts w:eastAsia="Times New Roman" w:cs="Times New Roman"/>
          <w:szCs w:val="24"/>
          <w:lang w:val="es-CO" w:eastAsia="es-ES"/>
        </w:rPr>
        <w:t>» (art. 89 C.G.P), además de que el canon 109 </w:t>
      </w:r>
      <w:proofErr w:type="spellStart"/>
      <w:r w:rsidRPr="00C32EC8">
        <w:rPr>
          <w:rFonts w:eastAsia="Times New Roman" w:cs="Times New Roman"/>
          <w:i/>
          <w:iCs/>
          <w:szCs w:val="24"/>
          <w:lang w:val="es-CO" w:eastAsia="es-ES"/>
        </w:rPr>
        <w:t>ibídem</w:t>
      </w:r>
      <w:proofErr w:type="spellEnd"/>
      <w:r w:rsidRPr="00C32EC8">
        <w:rPr>
          <w:rFonts w:eastAsia="Times New Roman" w:cs="Times New Roman"/>
          <w:i/>
          <w:iCs/>
          <w:szCs w:val="24"/>
          <w:lang w:val="es-CO" w:eastAsia="es-ES"/>
        </w:rPr>
        <w:t> </w:t>
      </w:r>
      <w:r w:rsidRPr="00C32EC8">
        <w:rPr>
          <w:rFonts w:eastAsia="Times New Roman" w:cs="Times New Roman"/>
          <w:szCs w:val="24"/>
          <w:lang w:val="es-CO" w:eastAsia="es-ES"/>
        </w:rPr>
        <w:t>establece que las autoridades </w:t>
      </w:r>
      <w:r w:rsidRPr="00C32EC8">
        <w:rPr>
          <w:rFonts w:eastAsia="Times New Roman" w:cs="Times New Roman"/>
          <w:i/>
          <w:iCs/>
          <w:szCs w:val="24"/>
          <w:lang w:val="es-CO" w:eastAsia="es-ES"/>
        </w:rPr>
        <w:t>«judiciales </w:t>
      </w:r>
      <w:r w:rsidRPr="00C32EC8">
        <w:rPr>
          <w:rFonts w:eastAsia="Times New Roman" w:cs="Times New Roman"/>
          <w:szCs w:val="24"/>
          <w:lang w:val="es-CO" w:eastAsia="es-ES"/>
        </w:rPr>
        <w:t>deberán mantener «</w:t>
      </w:r>
      <w:r w:rsidRPr="00C32EC8">
        <w:rPr>
          <w:rFonts w:eastAsia="Times New Roman" w:cs="Times New Roman"/>
          <w:i/>
          <w:iCs/>
          <w:szCs w:val="24"/>
          <w:lang w:val="es-CO" w:eastAsia="es-ES"/>
        </w:rPr>
        <w:t xml:space="preserve">el buzón del correo electrónico con disponibilidad </w:t>
      </w:r>
      <w:r w:rsidRPr="00C32EC8">
        <w:rPr>
          <w:rFonts w:eastAsia="Times New Roman" w:cs="Times New Roman"/>
          <w:i/>
          <w:iCs/>
          <w:szCs w:val="24"/>
          <w:lang w:val="es-CO" w:eastAsia="es-ES"/>
        </w:rPr>
        <w:lastRenderedPageBreak/>
        <w:t>suficiente para recibir los mensajes de datos</w:t>
      </w:r>
      <w:r w:rsidRPr="00C32EC8">
        <w:rPr>
          <w:rFonts w:eastAsia="Times New Roman" w:cs="Times New Roman"/>
          <w:szCs w:val="24"/>
          <w:lang w:val="es-CO" w:eastAsia="es-ES"/>
        </w:rPr>
        <w:t>», al referirse a la presentación de memoriales por esa vía. Emerge así la autorización legal para que en este tipo de actuaciones todos los sujetos del </w:t>
      </w:r>
      <w:r w:rsidRPr="00C32EC8">
        <w:rPr>
          <w:rFonts w:eastAsia="Times New Roman" w:cs="Times New Roman"/>
          <w:i/>
          <w:iCs/>
          <w:szCs w:val="24"/>
          <w:lang w:val="es-CO" w:eastAsia="es-ES"/>
        </w:rPr>
        <w:t>«proceso» </w:t>
      </w:r>
      <w:r w:rsidRPr="00C32EC8">
        <w:rPr>
          <w:rFonts w:eastAsia="Times New Roman" w:cs="Times New Roman"/>
          <w:szCs w:val="24"/>
          <w:lang w:val="es-CO" w:eastAsia="es-ES"/>
        </w:rPr>
        <w:t>puedan acudir al uso de esas tecnologías y no solo cuenten con la posibilidad, sino que lo hagan en cumplimiento del deber que supone el arriba mencionado artículo 103.</w:t>
      </w:r>
    </w:p>
    <w:p w14:paraId="7AD973E5"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0340109B"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En lo concerniente a las audiencias, el parágrafo 1° del artículo 107 de la misma obra habilita su realización «</w:t>
      </w:r>
      <w:r w:rsidRPr="00C32EC8">
        <w:rPr>
          <w:rFonts w:eastAsia="Times New Roman" w:cs="Times New Roman"/>
          <w:i/>
          <w:iCs/>
          <w:szCs w:val="24"/>
          <w:lang w:val="es-CO" w:eastAsia="es-ES"/>
        </w:rPr>
        <w:t>a través de videoconferencia, teleconferencia o por cualquier otro medio técnico, siempre que el juez lo autorice</w:t>
      </w:r>
      <w:r w:rsidRPr="00C32EC8">
        <w:rPr>
          <w:rFonts w:eastAsia="Times New Roman" w:cs="Times New Roman"/>
          <w:szCs w:val="24"/>
          <w:lang w:val="es-CO" w:eastAsia="es-ES"/>
        </w:rPr>
        <w:t>», de donde sobresalen algunas bondades en torno al ahorro de dinero y de tiempo en el traslado de personal y todo lo que implica la preparación de una vista pública «</w:t>
      </w:r>
      <w:r w:rsidRPr="00C32EC8">
        <w:rPr>
          <w:rFonts w:eastAsia="Times New Roman" w:cs="Times New Roman"/>
          <w:i/>
          <w:iCs/>
          <w:szCs w:val="24"/>
          <w:lang w:val="es-CO" w:eastAsia="es-ES"/>
        </w:rPr>
        <w:t>presencial</w:t>
      </w:r>
      <w:r w:rsidRPr="00C32EC8">
        <w:rPr>
          <w:rFonts w:eastAsia="Times New Roman" w:cs="Times New Roman"/>
          <w:szCs w:val="24"/>
          <w:lang w:val="es-CO" w:eastAsia="es-ES"/>
        </w:rPr>
        <w:t>».</w:t>
      </w:r>
    </w:p>
    <w:p w14:paraId="4BC9B9E3"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14ED206C"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xml:space="preserve">Muchas otras disposiciones de la Ley 1564 de 2012 </w:t>
      </w:r>
      <w:proofErr w:type="spellStart"/>
      <w:r w:rsidRPr="00C32EC8">
        <w:rPr>
          <w:rFonts w:eastAsia="Times New Roman" w:cs="Times New Roman"/>
          <w:szCs w:val="24"/>
          <w:lang w:val="es-CO" w:eastAsia="es-ES"/>
        </w:rPr>
        <w:t>pro-curan</w:t>
      </w:r>
      <w:proofErr w:type="spellEnd"/>
      <w:r w:rsidRPr="00C32EC8">
        <w:rPr>
          <w:rFonts w:eastAsia="Times New Roman" w:cs="Times New Roman"/>
          <w:szCs w:val="24"/>
          <w:lang w:val="es-CO" w:eastAsia="es-ES"/>
        </w:rPr>
        <w:t xml:space="preserve"> por la utilización de los mecanismos telemáticos en las controversias civiles, comerciales, agrarias y de familia, lo que traduce que ese estatuto trajo implícito el </w:t>
      </w:r>
      <w:r w:rsidRPr="00C32EC8">
        <w:rPr>
          <w:rFonts w:eastAsia="Times New Roman" w:cs="Times New Roman"/>
          <w:i/>
          <w:iCs/>
          <w:szCs w:val="24"/>
          <w:lang w:val="es-CO" w:eastAsia="es-ES"/>
        </w:rPr>
        <w:t>«principio de accesibilidad</w:t>
      </w:r>
      <w:r w:rsidRPr="00C32EC8">
        <w:rPr>
          <w:rFonts w:eastAsia="Times New Roman" w:cs="Times New Roman"/>
          <w:szCs w:val="24"/>
          <w:lang w:val="es-CO" w:eastAsia="es-ES"/>
        </w:rPr>
        <w:t>», en el sentido de que el usuario de la administración de justicia, valiéndose de tales </w:t>
      </w:r>
      <w:r w:rsidRPr="00C32EC8">
        <w:rPr>
          <w:rFonts w:eastAsia="Times New Roman" w:cs="Times New Roman"/>
          <w:i/>
          <w:iCs/>
          <w:szCs w:val="24"/>
          <w:lang w:val="es-CO" w:eastAsia="es-ES"/>
        </w:rPr>
        <w:t>«herramientas»</w:t>
      </w:r>
      <w:r w:rsidRPr="00C32EC8">
        <w:rPr>
          <w:rFonts w:eastAsia="Times New Roman" w:cs="Times New Roman"/>
          <w:szCs w:val="24"/>
          <w:lang w:val="es-CO" w:eastAsia="es-ES"/>
        </w:rPr>
        <w:t>, podrá interactuar en la contienda sin mayores obstáculos, criterio que armoniza con la filosofía esencial del Código, la apuesta por la informalidad (art. 11) y, fundamentalmente, con la tu-tela jurisdiccional efectiva (art. 2°).</w:t>
      </w:r>
    </w:p>
    <w:p w14:paraId="68018960"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1E002648"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xml:space="preserve">En conclusión, esa codificación, muy acoplada a esta época, relievó el papel de los recursos electrónicos con el </w:t>
      </w:r>
      <w:proofErr w:type="spellStart"/>
      <w:r w:rsidRPr="00C32EC8">
        <w:rPr>
          <w:rFonts w:eastAsia="Times New Roman" w:cs="Times New Roman"/>
          <w:szCs w:val="24"/>
          <w:lang w:val="es-CO" w:eastAsia="es-ES"/>
        </w:rPr>
        <w:t>pro-pósito</w:t>
      </w:r>
      <w:proofErr w:type="spellEnd"/>
      <w:r w:rsidRPr="00C32EC8">
        <w:rPr>
          <w:rFonts w:eastAsia="Times New Roman" w:cs="Times New Roman"/>
          <w:szCs w:val="24"/>
          <w:lang w:val="es-CO" w:eastAsia="es-ES"/>
        </w:rPr>
        <w:t xml:space="preserve"> de simplificar el acceso de las partes, abogados y ter-ceros al juicio en que participan, así como el de quienes no teniendo esas calidades quieran conocer el contenido de las audiencias, entendiendo el «</w:t>
      </w:r>
      <w:r w:rsidRPr="00C32EC8">
        <w:rPr>
          <w:rFonts w:eastAsia="Times New Roman" w:cs="Times New Roman"/>
          <w:i/>
          <w:iCs/>
          <w:szCs w:val="24"/>
          <w:lang w:val="es-CO" w:eastAsia="es-ES"/>
        </w:rPr>
        <w:t>acceso</w:t>
      </w:r>
      <w:r w:rsidRPr="00C32EC8">
        <w:rPr>
          <w:rFonts w:eastAsia="Times New Roman" w:cs="Times New Roman"/>
          <w:szCs w:val="24"/>
          <w:lang w:val="es-CO" w:eastAsia="es-ES"/>
        </w:rPr>
        <w:t>» no estrictamente como el acercamiento físico al estrado, sino como cualquier forma que garantice la interacción entre sujetos procesales y juzgador, y la información a que tiene derecho la sociedad con respecto a las funciones que se cumplen en ejercicio del poder, incluso desde la distancia.</w:t>
      </w:r>
    </w:p>
    <w:p w14:paraId="06C95C0C"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 </w:t>
      </w:r>
    </w:p>
    <w:p w14:paraId="75DCDB33"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3. </w:t>
      </w:r>
      <w:r w:rsidRPr="00C32EC8">
        <w:rPr>
          <w:rFonts w:eastAsia="Times New Roman" w:cs="Times New Roman"/>
          <w:szCs w:val="24"/>
          <w:lang w:val="es-CO" w:eastAsia="es-ES"/>
        </w:rPr>
        <w:t>El régimen de notificación de los autos y sentencias no fue ajeno al «</w:t>
      </w:r>
      <w:r w:rsidRPr="00C32EC8">
        <w:rPr>
          <w:rFonts w:eastAsia="Times New Roman" w:cs="Times New Roman"/>
          <w:i/>
          <w:iCs/>
          <w:szCs w:val="24"/>
          <w:lang w:val="es-CO" w:eastAsia="es-ES"/>
        </w:rPr>
        <w:t>uso de las tecnologías</w:t>
      </w:r>
      <w:r w:rsidRPr="00C32EC8">
        <w:rPr>
          <w:rFonts w:eastAsia="Times New Roman" w:cs="Times New Roman"/>
          <w:szCs w:val="24"/>
          <w:lang w:val="es-CO" w:eastAsia="es-ES"/>
        </w:rPr>
        <w:t>» y en tal virtud el precepto 295 </w:t>
      </w:r>
      <w:proofErr w:type="spellStart"/>
      <w:r w:rsidRPr="00C32EC8">
        <w:rPr>
          <w:rFonts w:eastAsia="Times New Roman" w:cs="Times New Roman"/>
          <w:i/>
          <w:iCs/>
          <w:szCs w:val="24"/>
          <w:lang w:val="es-CO" w:eastAsia="es-ES"/>
        </w:rPr>
        <w:t>ejusdem</w:t>
      </w:r>
      <w:proofErr w:type="spellEnd"/>
      <w:r w:rsidRPr="00C32EC8">
        <w:rPr>
          <w:rFonts w:eastAsia="Times New Roman" w:cs="Times New Roman"/>
          <w:i/>
          <w:iCs/>
          <w:szCs w:val="24"/>
          <w:lang w:val="es-CO" w:eastAsia="es-ES"/>
        </w:rPr>
        <w:t> </w:t>
      </w:r>
      <w:r w:rsidRPr="00C32EC8">
        <w:rPr>
          <w:rFonts w:eastAsia="Times New Roman" w:cs="Times New Roman"/>
          <w:szCs w:val="24"/>
          <w:lang w:val="es-CO" w:eastAsia="es-ES"/>
        </w:rPr>
        <w:t>además de prever la divulgación de esta-dos tradicionales, esto es, la que se hace en la secretaría de las dependencias </w:t>
      </w:r>
      <w:r w:rsidRPr="00C32EC8">
        <w:rPr>
          <w:rFonts w:eastAsia="Times New Roman" w:cs="Times New Roman"/>
          <w:i/>
          <w:iCs/>
          <w:szCs w:val="24"/>
          <w:lang w:val="es-CO" w:eastAsia="es-ES"/>
        </w:rPr>
        <w:t>«judiciales»</w:t>
      </w:r>
      <w:r w:rsidRPr="00C32EC8">
        <w:rPr>
          <w:rFonts w:eastAsia="Times New Roman" w:cs="Times New Roman"/>
          <w:szCs w:val="24"/>
          <w:lang w:val="es-CO" w:eastAsia="es-ES"/>
        </w:rPr>
        <w:t>, consagró los «</w:t>
      </w:r>
      <w:r w:rsidRPr="00C32EC8">
        <w:rPr>
          <w:rFonts w:eastAsia="Times New Roman" w:cs="Times New Roman"/>
          <w:i/>
          <w:iCs/>
          <w:szCs w:val="24"/>
          <w:lang w:val="es-CO" w:eastAsia="es-ES"/>
        </w:rPr>
        <w:t>estados electrónicos</w:t>
      </w:r>
      <w:r w:rsidRPr="00C32EC8">
        <w:rPr>
          <w:rFonts w:eastAsia="Times New Roman" w:cs="Times New Roman"/>
          <w:szCs w:val="24"/>
          <w:lang w:val="es-CO" w:eastAsia="es-ES"/>
        </w:rPr>
        <w:t>». Dice la norma que la publicación debe contener la «</w:t>
      </w:r>
      <w:r w:rsidRPr="00C32EC8">
        <w:rPr>
          <w:rFonts w:eastAsia="Times New Roman" w:cs="Times New Roman"/>
          <w:i/>
          <w:iCs/>
          <w:szCs w:val="24"/>
          <w:lang w:val="es-CO" w:eastAsia="es-ES"/>
        </w:rPr>
        <w:t>determinación de cada proceso por su clase</w:t>
      </w:r>
      <w:r w:rsidRPr="00C32EC8">
        <w:rPr>
          <w:rFonts w:eastAsia="Times New Roman" w:cs="Times New Roman"/>
          <w:szCs w:val="24"/>
          <w:lang w:val="es-CO" w:eastAsia="es-ES"/>
        </w:rPr>
        <w:t>», la «</w:t>
      </w:r>
      <w:r w:rsidRPr="00C32EC8">
        <w:rPr>
          <w:rFonts w:eastAsia="Times New Roman" w:cs="Times New Roman"/>
          <w:i/>
          <w:iCs/>
          <w:szCs w:val="24"/>
          <w:lang w:val="es-CO" w:eastAsia="es-ES"/>
        </w:rPr>
        <w:t>indicación de los nombres del demandante y del demandado</w:t>
      </w:r>
      <w:r w:rsidRPr="00C32EC8">
        <w:rPr>
          <w:rFonts w:eastAsia="Times New Roman" w:cs="Times New Roman"/>
          <w:szCs w:val="24"/>
          <w:lang w:val="es-CO" w:eastAsia="es-ES"/>
        </w:rPr>
        <w:t>», la «</w:t>
      </w:r>
      <w:r w:rsidRPr="00C32EC8">
        <w:rPr>
          <w:rFonts w:eastAsia="Times New Roman" w:cs="Times New Roman"/>
          <w:i/>
          <w:iCs/>
          <w:szCs w:val="24"/>
          <w:lang w:val="es-CO" w:eastAsia="es-ES"/>
        </w:rPr>
        <w:t>fecha de la providencia</w:t>
      </w:r>
      <w:r w:rsidRPr="00C32EC8">
        <w:rPr>
          <w:rFonts w:eastAsia="Times New Roman" w:cs="Times New Roman"/>
          <w:szCs w:val="24"/>
          <w:lang w:val="es-CO" w:eastAsia="es-ES"/>
        </w:rPr>
        <w:t>», la «</w:t>
      </w:r>
      <w:r w:rsidRPr="00C32EC8">
        <w:rPr>
          <w:rFonts w:eastAsia="Times New Roman" w:cs="Times New Roman"/>
          <w:i/>
          <w:iCs/>
          <w:szCs w:val="24"/>
          <w:lang w:val="es-CO" w:eastAsia="es-ES"/>
        </w:rPr>
        <w:t>fecha del estado y la firma del secreta-rio</w:t>
      </w:r>
      <w:r w:rsidRPr="00C32EC8">
        <w:rPr>
          <w:rFonts w:eastAsia="Times New Roman" w:cs="Times New Roman"/>
          <w:szCs w:val="24"/>
          <w:lang w:val="es-CO" w:eastAsia="es-ES"/>
        </w:rPr>
        <w:t>».</w:t>
      </w:r>
    </w:p>
    <w:p w14:paraId="34D21F20"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7C00E22B"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Como se puede apreciar, no se exige puntualizar «</w:t>
      </w:r>
      <w:r w:rsidRPr="00C32EC8">
        <w:rPr>
          <w:rFonts w:eastAsia="Times New Roman" w:cs="Times New Roman"/>
          <w:i/>
          <w:iCs/>
          <w:szCs w:val="24"/>
          <w:lang w:val="es-CO" w:eastAsia="es-ES"/>
        </w:rPr>
        <w:t>el sentido de la decisión que se notifica</w:t>
      </w:r>
      <w:r w:rsidRPr="00C32EC8">
        <w:rPr>
          <w:rFonts w:eastAsia="Times New Roman" w:cs="Times New Roman"/>
          <w:szCs w:val="24"/>
          <w:lang w:val="es-CO" w:eastAsia="es-ES"/>
        </w:rPr>
        <w:t>» y ello puede obedecer a varias razones, entre otras, porque si se trata de «</w:t>
      </w:r>
      <w:r w:rsidRPr="00C32EC8">
        <w:rPr>
          <w:rFonts w:eastAsia="Times New Roman" w:cs="Times New Roman"/>
          <w:i/>
          <w:iCs/>
          <w:szCs w:val="24"/>
          <w:lang w:val="es-CO" w:eastAsia="es-ES"/>
        </w:rPr>
        <w:t>estados físicos</w:t>
      </w:r>
      <w:r w:rsidRPr="00C32EC8">
        <w:rPr>
          <w:rFonts w:eastAsia="Times New Roman" w:cs="Times New Roman"/>
          <w:szCs w:val="24"/>
          <w:lang w:val="es-CO" w:eastAsia="es-ES"/>
        </w:rPr>
        <w:t>», le incumbe al interesado revisar el </w:t>
      </w:r>
      <w:r w:rsidRPr="00C32EC8">
        <w:rPr>
          <w:rFonts w:eastAsia="Times New Roman" w:cs="Times New Roman"/>
          <w:i/>
          <w:iCs/>
          <w:szCs w:val="24"/>
          <w:lang w:val="es-CO" w:eastAsia="es-ES"/>
        </w:rPr>
        <w:t>dossier </w:t>
      </w:r>
      <w:r w:rsidRPr="00C32EC8">
        <w:rPr>
          <w:rFonts w:eastAsia="Times New Roman" w:cs="Times New Roman"/>
          <w:szCs w:val="24"/>
          <w:lang w:val="es-CO" w:eastAsia="es-ES"/>
        </w:rPr>
        <w:t>para conocer el texto del proveído, lo cual no presenta mayores dificultades en vista que en el lugar donde visualizó la «</w:t>
      </w:r>
      <w:r w:rsidRPr="00C32EC8">
        <w:rPr>
          <w:rFonts w:eastAsia="Times New Roman" w:cs="Times New Roman"/>
          <w:i/>
          <w:iCs/>
          <w:szCs w:val="24"/>
          <w:lang w:val="es-CO" w:eastAsia="es-ES"/>
        </w:rPr>
        <w:t>publicación</w:t>
      </w:r>
      <w:r w:rsidRPr="00C32EC8">
        <w:rPr>
          <w:rFonts w:eastAsia="Times New Roman" w:cs="Times New Roman"/>
          <w:szCs w:val="24"/>
          <w:lang w:val="es-CO" w:eastAsia="es-ES"/>
        </w:rPr>
        <w:t>» (secretaría) también se halla el «</w:t>
      </w:r>
      <w:r w:rsidRPr="00C32EC8">
        <w:rPr>
          <w:rFonts w:eastAsia="Times New Roman" w:cs="Times New Roman"/>
          <w:i/>
          <w:iCs/>
          <w:szCs w:val="24"/>
          <w:lang w:val="es-CO" w:eastAsia="es-ES"/>
        </w:rPr>
        <w:t>expediente físico</w:t>
      </w:r>
      <w:r w:rsidRPr="00C32EC8">
        <w:rPr>
          <w:rFonts w:eastAsia="Times New Roman" w:cs="Times New Roman"/>
          <w:szCs w:val="24"/>
          <w:lang w:val="es-CO" w:eastAsia="es-ES"/>
        </w:rPr>
        <w:t>».</w:t>
      </w:r>
    </w:p>
    <w:p w14:paraId="48F179C4"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72D92EA4"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En realidad, el inconveniente puede surgir en presencia de la otra modalidad, es decir, a la que se refiere el parágrafo del citado canon conforme al cual, «</w:t>
      </w:r>
      <w:r w:rsidRPr="00C32EC8">
        <w:rPr>
          <w:rFonts w:eastAsia="Times New Roman" w:cs="Times New Roman"/>
          <w:i/>
          <w:iCs/>
          <w:szCs w:val="24"/>
          <w:lang w:val="es-CO" w:eastAsia="es-ES"/>
        </w:rPr>
        <w:t>cuando se cuente con los recursos técnicos los estados se publicarán por mensajes de datos</w:t>
      </w:r>
      <w:r w:rsidRPr="00C32EC8">
        <w:rPr>
          <w:rFonts w:eastAsia="Times New Roman" w:cs="Times New Roman"/>
          <w:szCs w:val="24"/>
          <w:lang w:val="es-CO" w:eastAsia="es-ES"/>
        </w:rPr>
        <w:t>», ya que si el legislador los autorizó como «</w:t>
      </w:r>
      <w:r w:rsidRPr="00C32EC8">
        <w:rPr>
          <w:rFonts w:eastAsia="Times New Roman" w:cs="Times New Roman"/>
          <w:i/>
          <w:iCs/>
          <w:szCs w:val="24"/>
          <w:lang w:val="es-CO" w:eastAsia="es-ES"/>
        </w:rPr>
        <w:t>medio de notificación</w:t>
      </w:r>
      <w:r w:rsidRPr="00C32EC8">
        <w:rPr>
          <w:rFonts w:eastAsia="Times New Roman" w:cs="Times New Roman"/>
          <w:szCs w:val="24"/>
          <w:lang w:val="es-CO" w:eastAsia="es-ES"/>
        </w:rPr>
        <w:t>» significa que es válido que los contendientes se den por enterados de la idea principal de las «</w:t>
      </w:r>
      <w:r w:rsidRPr="00C32EC8">
        <w:rPr>
          <w:rFonts w:eastAsia="Times New Roman" w:cs="Times New Roman"/>
          <w:i/>
          <w:iCs/>
          <w:szCs w:val="24"/>
          <w:lang w:val="es-CO" w:eastAsia="es-ES"/>
        </w:rPr>
        <w:t>providencias dictadas fuera de audiencia</w:t>
      </w:r>
      <w:r w:rsidRPr="00C32EC8">
        <w:rPr>
          <w:rFonts w:eastAsia="Times New Roman" w:cs="Times New Roman"/>
          <w:szCs w:val="24"/>
          <w:lang w:val="es-CO" w:eastAsia="es-ES"/>
        </w:rPr>
        <w:t>» sin necesidad de acudir directa-mente a la «</w:t>
      </w:r>
      <w:r w:rsidRPr="00C32EC8">
        <w:rPr>
          <w:rFonts w:eastAsia="Times New Roman" w:cs="Times New Roman"/>
          <w:i/>
          <w:iCs/>
          <w:szCs w:val="24"/>
          <w:lang w:val="es-CO" w:eastAsia="es-ES"/>
        </w:rPr>
        <w:t>secretaría del despacho</w:t>
      </w:r>
      <w:r w:rsidRPr="00C32EC8">
        <w:rPr>
          <w:rFonts w:eastAsia="Times New Roman" w:cs="Times New Roman"/>
          <w:szCs w:val="24"/>
          <w:lang w:val="es-CO" w:eastAsia="es-ES"/>
        </w:rPr>
        <w:t>». Siendo así, no puede entenderse surtido eficazmente ese «</w:t>
      </w:r>
      <w:r w:rsidRPr="00C32EC8">
        <w:rPr>
          <w:rFonts w:eastAsia="Times New Roman" w:cs="Times New Roman"/>
          <w:i/>
          <w:iCs/>
          <w:szCs w:val="24"/>
          <w:lang w:val="es-CO" w:eastAsia="es-ES"/>
        </w:rPr>
        <w:t>enteramiento electrónico si no se menciona el contenido central de la providencia</w:t>
      </w:r>
      <w:r w:rsidRPr="00C32EC8">
        <w:rPr>
          <w:rFonts w:eastAsia="Times New Roman" w:cs="Times New Roman"/>
          <w:szCs w:val="24"/>
          <w:lang w:val="es-CO" w:eastAsia="es-ES"/>
        </w:rPr>
        <w:t>», por-que en este contexto ella no es asequible inmediatamente, como sucede con los «</w:t>
      </w:r>
      <w:r w:rsidRPr="00C32EC8">
        <w:rPr>
          <w:rFonts w:eastAsia="Times New Roman" w:cs="Times New Roman"/>
          <w:i/>
          <w:iCs/>
          <w:szCs w:val="24"/>
          <w:lang w:val="es-CO" w:eastAsia="es-ES"/>
        </w:rPr>
        <w:t>estados físicos</w:t>
      </w:r>
      <w:r w:rsidRPr="00C32EC8">
        <w:rPr>
          <w:rFonts w:eastAsia="Times New Roman" w:cs="Times New Roman"/>
          <w:szCs w:val="24"/>
          <w:lang w:val="es-CO" w:eastAsia="es-ES"/>
        </w:rPr>
        <w:t>».</w:t>
      </w:r>
    </w:p>
    <w:p w14:paraId="10DF2CA3"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5CC021C9"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Expresado en otros términos, la inclusión de la decisión medular de la </w:t>
      </w:r>
      <w:r w:rsidRPr="00C32EC8">
        <w:rPr>
          <w:rFonts w:eastAsia="Times New Roman" w:cs="Times New Roman"/>
          <w:i/>
          <w:iCs/>
          <w:szCs w:val="24"/>
          <w:lang w:val="es-CO" w:eastAsia="es-ES"/>
        </w:rPr>
        <w:t>«providencia» </w:t>
      </w:r>
      <w:r w:rsidRPr="00C32EC8">
        <w:rPr>
          <w:rFonts w:eastAsia="Times New Roman" w:cs="Times New Roman"/>
          <w:szCs w:val="24"/>
          <w:lang w:val="es-CO" w:eastAsia="es-ES"/>
        </w:rPr>
        <w:t>a notificar en los estados virtuales garantiza la publicidad natural que apareja dicho acto de comunicación, toda vez que la simple mención electrónica de la existencia de un </w:t>
      </w:r>
      <w:r w:rsidRPr="00C32EC8">
        <w:rPr>
          <w:rFonts w:eastAsia="Times New Roman" w:cs="Times New Roman"/>
          <w:i/>
          <w:iCs/>
          <w:szCs w:val="24"/>
          <w:lang w:val="es-CO" w:eastAsia="es-ES"/>
        </w:rPr>
        <w:t>«proveído» </w:t>
      </w:r>
      <w:r w:rsidRPr="00C32EC8">
        <w:rPr>
          <w:rFonts w:eastAsia="Times New Roman" w:cs="Times New Roman"/>
          <w:szCs w:val="24"/>
          <w:lang w:val="es-CO" w:eastAsia="es-ES"/>
        </w:rPr>
        <w:t>sin especificar su sentido basilar se aleja de la teleología del artículo 289 del Código General del Proceso, al pregonar que «</w:t>
      </w:r>
      <w:r w:rsidRPr="00C32EC8">
        <w:rPr>
          <w:rFonts w:eastAsia="Times New Roman" w:cs="Times New Roman"/>
          <w:i/>
          <w:iCs/>
          <w:szCs w:val="24"/>
          <w:lang w:val="es-CO" w:eastAsia="es-ES"/>
        </w:rPr>
        <w:t>las providencias judiciales </w:t>
      </w:r>
      <w:r w:rsidRPr="00C32EC8">
        <w:rPr>
          <w:rFonts w:eastAsia="Times New Roman" w:cs="Times New Roman"/>
          <w:b/>
          <w:bCs/>
          <w:i/>
          <w:iCs/>
          <w:szCs w:val="24"/>
          <w:lang w:val="es-CO" w:eastAsia="es-ES"/>
        </w:rPr>
        <w:t>se harán saber a las partes </w:t>
      </w:r>
      <w:r w:rsidRPr="00C32EC8">
        <w:rPr>
          <w:rFonts w:eastAsia="Times New Roman" w:cs="Times New Roman"/>
          <w:i/>
          <w:iCs/>
          <w:szCs w:val="24"/>
          <w:lang w:val="es-CO" w:eastAsia="es-ES"/>
        </w:rPr>
        <w:t>y demás interesados por medio de notificaciones</w:t>
      </w:r>
      <w:r w:rsidRPr="00C32EC8">
        <w:rPr>
          <w:rFonts w:eastAsia="Times New Roman" w:cs="Times New Roman"/>
          <w:szCs w:val="24"/>
          <w:lang w:val="es-CO" w:eastAsia="es-ES"/>
        </w:rPr>
        <w:t>» (resalto propio).</w:t>
      </w:r>
    </w:p>
    <w:p w14:paraId="51DCFB2D"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259CE16A"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En ese sentido, la jurisprudencia constitucional ha sido enfática al sostener que «</w:t>
      </w:r>
      <w:r w:rsidRPr="00C32EC8">
        <w:rPr>
          <w:rFonts w:eastAsia="Times New Roman" w:cs="Times New Roman"/>
          <w:i/>
          <w:iCs/>
          <w:szCs w:val="24"/>
          <w:lang w:val="es-CO" w:eastAsia="es-ES"/>
        </w:rPr>
        <w:t>la notificación constituye uno de los actos de comunicación procesal de mayor efectividad, en cuanto garantiza </w:t>
      </w:r>
      <w:r w:rsidRPr="00C32EC8">
        <w:rPr>
          <w:rFonts w:eastAsia="Times New Roman" w:cs="Times New Roman"/>
          <w:b/>
          <w:bCs/>
          <w:i/>
          <w:iCs/>
          <w:szCs w:val="24"/>
          <w:lang w:val="es-CO" w:eastAsia="es-ES"/>
        </w:rPr>
        <w:t>el conocimiento real de las decisiones judiciales </w:t>
      </w:r>
      <w:r w:rsidRPr="00C32EC8">
        <w:rPr>
          <w:rFonts w:eastAsia="Times New Roman" w:cs="Times New Roman"/>
          <w:i/>
          <w:iCs/>
          <w:szCs w:val="24"/>
          <w:lang w:val="es-CO" w:eastAsia="es-ES"/>
        </w:rPr>
        <w:t xml:space="preserve">con el fin de dar aplicación concreta al debido </w:t>
      </w:r>
      <w:proofErr w:type="spellStart"/>
      <w:r w:rsidRPr="00C32EC8">
        <w:rPr>
          <w:rFonts w:eastAsia="Times New Roman" w:cs="Times New Roman"/>
          <w:i/>
          <w:iCs/>
          <w:szCs w:val="24"/>
          <w:lang w:val="es-CO" w:eastAsia="es-ES"/>
        </w:rPr>
        <w:t>pro-ceso</w:t>
      </w:r>
      <w:proofErr w:type="spellEnd"/>
      <w:r w:rsidRPr="00C32EC8">
        <w:rPr>
          <w:rFonts w:eastAsia="Times New Roman" w:cs="Times New Roman"/>
          <w:szCs w:val="24"/>
          <w:lang w:val="es-CO" w:eastAsia="es-ES"/>
        </w:rPr>
        <w:t xml:space="preserve">» (destacado propio. Sentencia T-025-18). De donde fluye que el núcleo esencial de las </w:t>
      </w:r>
      <w:r w:rsidRPr="00C32EC8">
        <w:rPr>
          <w:rFonts w:eastAsia="Times New Roman" w:cs="Times New Roman"/>
          <w:szCs w:val="24"/>
          <w:lang w:val="es-CO" w:eastAsia="es-ES"/>
        </w:rPr>
        <w:lastRenderedPageBreak/>
        <w:t>«</w:t>
      </w:r>
      <w:r w:rsidRPr="00C32EC8">
        <w:rPr>
          <w:rFonts w:eastAsia="Times New Roman" w:cs="Times New Roman"/>
          <w:i/>
          <w:iCs/>
          <w:szCs w:val="24"/>
          <w:lang w:val="es-CO" w:eastAsia="es-ES"/>
        </w:rPr>
        <w:t>notificaciones</w:t>
      </w:r>
      <w:r w:rsidRPr="00C32EC8">
        <w:rPr>
          <w:rFonts w:eastAsia="Times New Roman" w:cs="Times New Roman"/>
          <w:szCs w:val="24"/>
          <w:lang w:val="es-CO" w:eastAsia="es-ES"/>
        </w:rPr>
        <w:t>» en general gira alrededor del conocimiento que puedan adquirir los justiciables respecto del pronunciamiento que se les informa, con sujeción a las formalidades prescritas por el legislador, en aras de consolidar el «</w:t>
      </w:r>
      <w:r w:rsidRPr="00C32EC8">
        <w:rPr>
          <w:rFonts w:eastAsia="Times New Roman" w:cs="Times New Roman"/>
          <w:i/>
          <w:iCs/>
          <w:szCs w:val="24"/>
          <w:lang w:val="es-CO" w:eastAsia="es-ES"/>
        </w:rPr>
        <w:t>principio</w:t>
      </w:r>
      <w:r w:rsidRPr="00C32EC8">
        <w:rPr>
          <w:rFonts w:eastAsia="Times New Roman" w:cs="Times New Roman"/>
          <w:szCs w:val="24"/>
          <w:lang w:val="es-CO" w:eastAsia="es-ES"/>
        </w:rPr>
        <w:t>» de publicidad de las «</w:t>
      </w:r>
      <w:r w:rsidRPr="00C32EC8">
        <w:rPr>
          <w:rFonts w:eastAsia="Times New Roman" w:cs="Times New Roman"/>
          <w:i/>
          <w:iCs/>
          <w:szCs w:val="24"/>
          <w:lang w:val="es-CO" w:eastAsia="es-ES"/>
        </w:rPr>
        <w:t>actuaciones judiciales</w:t>
      </w:r>
      <w:r w:rsidRPr="00C32EC8">
        <w:rPr>
          <w:rFonts w:eastAsia="Times New Roman" w:cs="Times New Roman"/>
          <w:szCs w:val="24"/>
          <w:lang w:val="es-CO" w:eastAsia="es-ES"/>
        </w:rPr>
        <w:t>».</w:t>
      </w:r>
    </w:p>
    <w:p w14:paraId="0E8060D9"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6E10274A"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Sobre ese axioma se tiene decantado que alberga un «</w:t>
      </w:r>
      <w:r w:rsidRPr="00C32EC8">
        <w:rPr>
          <w:rFonts w:eastAsia="Times New Roman" w:cs="Times New Roman"/>
          <w:i/>
          <w:iCs/>
          <w:szCs w:val="24"/>
          <w:lang w:val="es-CO" w:eastAsia="es-ES"/>
        </w:rPr>
        <w:t>carácter indispensable para la realización del debido proceso, en tanto implica: (i) la exigencia de proferir decisiones debida-mente motivadas en los aspectos de hecho y de derecho; y (</w:t>
      </w:r>
      <w:proofErr w:type="spellStart"/>
      <w:r w:rsidRPr="00C32EC8">
        <w:rPr>
          <w:rFonts w:eastAsia="Times New Roman" w:cs="Times New Roman"/>
          <w:i/>
          <w:iCs/>
          <w:szCs w:val="24"/>
          <w:lang w:val="es-CO" w:eastAsia="es-ES"/>
        </w:rPr>
        <w:t>ii</w:t>
      </w:r>
      <w:proofErr w:type="spellEnd"/>
      <w:r w:rsidRPr="00C32EC8">
        <w:rPr>
          <w:rFonts w:eastAsia="Times New Roman" w:cs="Times New Roman"/>
          <w:i/>
          <w:iCs/>
          <w:szCs w:val="24"/>
          <w:lang w:val="es-CO" w:eastAsia="es-ES"/>
        </w:rPr>
        <w:t>) el deber de ponerlas en conocimiento de los sujetos procesales con interés jurídico en el actuar, a través de los mecanismos de comunicación instituidos en la ley, con el fin de que puedan ejercer sus derechos a la defensa y contradicción</w:t>
      </w:r>
      <w:r w:rsidRPr="00C32EC8">
        <w:rPr>
          <w:rFonts w:eastAsia="Times New Roman" w:cs="Times New Roman"/>
          <w:szCs w:val="24"/>
          <w:lang w:val="es-CO" w:eastAsia="es-ES"/>
        </w:rPr>
        <w:t>» (C.C. T-286 de 2018), porque la «</w:t>
      </w:r>
      <w:r w:rsidRPr="00C32EC8">
        <w:rPr>
          <w:rFonts w:eastAsia="Times New Roman" w:cs="Times New Roman"/>
          <w:i/>
          <w:iCs/>
          <w:szCs w:val="24"/>
          <w:lang w:val="es-CO" w:eastAsia="es-ES"/>
        </w:rPr>
        <w:t>publicidad de las decisiones judiciales</w:t>
      </w:r>
      <w:r w:rsidRPr="00C32EC8">
        <w:rPr>
          <w:rFonts w:eastAsia="Times New Roman" w:cs="Times New Roman"/>
          <w:szCs w:val="24"/>
          <w:lang w:val="es-CO" w:eastAsia="es-ES"/>
        </w:rPr>
        <w:t>» juega un papel preponderante en la democracia del Estado en tanto contribuye a la legitimidad de la administración de justicia y permite que los ciudadanos ejerzan varias prerrogativas que componen el «</w:t>
      </w:r>
      <w:r w:rsidRPr="00C32EC8">
        <w:rPr>
          <w:rFonts w:eastAsia="Times New Roman" w:cs="Times New Roman"/>
          <w:i/>
          <w:iCs/>
          <w:szCs w:val="24"/>
          <w:lang w:val="es-CO" w:eastAsia="es-ES"/>
        </w:rPr>
        <w:t>debido proceso</w:t>
      </w:r>
      <w:r w:rsidRPr="00C32EC8">
        <w:rPr>
          <w:rFonts w:eastAsia="Times New Roman" w:cs="Times New Roman"/>
          <w:szCs w:val="24"/>
          <w:lang w:val="es-CO" w:eastAsia="es-ES"/>
        </w:rPr>
        <w:t>», como el derecho a ser oído en juicio que presupone necesariamente haberse enterado de su existencia y de su posterior impulso.</w:t>
      </w:r>
    </w:p>
    <w:p w14:paraId="7CC04681"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775DB02E"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En ese orden, tratándose de «</w:t>
      </w:r>
      <w:r w:rsidRPr="00C32EC8">
        <w:rPr>
          <w:rFonts w:eastAsia="Times New Roman" w:cs="Times New Roman"/>
          <w:i/>
          <w:iCs/>
          <w:szCs w:val="24"/>
          <w:lang w:val="es-CO" w:eastAsia="es-ES"/>
        </w:rPr>
        <w:t>estados electrónicos</w:t>
      </w:r>
      <w:r w:rsidRPr="00C32EC8">
        <w:rPr>
          <w:rFonts w:eastAsia="Times New Roman" w:cs="Times New Roman"/>
          <w:szCs w:val="24"/>
          <w:lang w:val="es-CO" w:eastAsia="es-ES"/>
        </w:rPr>
        <w:t>» es apropiado que la «</w:t>
      </w:r>
      <w:r w:rsidRPr="00C32EC8">
        <w:rPr>
          <w:rFonts w:eastAsia="Times New Roman" w:cs="Times New Roman"/>
          <w:i/>
          <w:iCs/>
          <w:szCs w:val="24"/>
          <w:lang w:val="es-CO" w:eastAsia="es-ES"/>
        </w:rPr>
        <w:t>publicación</w:t>
      </w:r>
      <w:r w:rsidRPr="00C32EC8">
        <w:rPr>
          <w:rFonts w:eastAsia="Times New Roman" w:cs="Times New Roman"/>
          <w:szCs w:val="24"/>
          <w:lang w:val="es-CO" w:eastAsia="es-ES"/>
        </w:rPr>
        <w:t>» contenga, además de las exigencias contempladas en el artículo 295 </w:t>
      </w:r>
      <w:r w:rsidRPr="00C32EC8">
        <w:rPr>
          <w:rFonts w:eastAsia="Times New Roman" w:cs="Times New Roman"/>
          <w:i/>
          <w:iCs/>
          <w:szCs w:val="24"/>
          <w:lang w:val="es-CO" w:eastAsia="es-ES"/>
        </w:rPr>
        <w:t>ídem, </w:t>
      </w:r>
      <w:r w:rsidRPr="00C32EC8">
        <w:rPr>
          <w:rFonts w:eastAsia="Times New Roman" w:cs="Times New Roman"/>
          <w:szCs w:val="24"/>
          <w:lang w:val="es-CO" w:eastAsia="es-ES"/>
        </w:rPr>
        <w:t>la </w:t>
      </w:r>
      <w:r w:rsidRPr="00C32EC8">
        <w:rPr>
          <w:rFonts w:eastAsia="Times New Roman" w:cs="Times New Roman"/>
          <w:i/>
          <w:iCs/>
          <w:szCs w:val="24"/>
          <w:lang w:val="es-CO" w:eastAsia="es-ES"/>
        </w:rPr>
        <w:t>«información» </w:t>
      </w:r>
      <w:r w:rsidRPr="00C32EC8">
        <w:rPr>
          <w:rFonts w:eastAsia="Times New Roman" w:cs="Times New Roman"/>
          <w:szCs w:val="24"/>
          <w:lang w:val="es-CO" w:eastAsia="es-ES"/>
        </w:rPr>
        <w:t>trascendente de lo resuelto por el funcionario, para asegurar que el litigante no solo conozca el hecho de haberse emitido la providencia, sino su verdadero alcance.</w:t>
      </w:r>
    </w:p>
    <w:p w14:paraId="603CD583"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 </w:t>
      </w:r>
    </w:p>
    <w:p w14:paraId="18D7E5B9"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4. </w:t>
      </w:r>
      <w:r w:rsidRPr="00C32EC8">
        <w:rPr>
          <w:rFonts w:eastAsia="Times New Roman" w:cs="Times New Roman"/>
          <w:szCs w:val="24"/>
          <w:lang w:val="es-CO" w:eastAsia="es-ES"/>
        </w:rPr>
        <w:t>Así mismo, es imperativo que lo ordenado por el </w:t>
      </w:r>
      <w:proofErr w:type="spellStart"/>
      <w:r w:rsidRPr="00C32EC8">
        <w:rPr>
          <w:rFonts w:eastAsia="Times New Roman" w:cs="Times New Roman"/>
          <w:i/>
          <w:iCs/>
          <w:szCs w:val="24"/>
          <w:lang w:val="es-CO" w:eastAsia="es-ES"/>
        </w:rPr>
        <w:t>iudex</w:t>
      </w:r>
      <w:proofErr w:type="spellEnd"/>
      <w:r w:rsidRPr="00C32EC8">
        <w:rPr>
          <w:rFonts w:eastAsia="Times New Roman" w:cs="Times New Roman"/>
          <w:i/>
          <w:iCs/>
          <w:szCs w:val="24"/>
          <w:lang w:val="es-CO" w:eastAsia="es-ES"/>
        </w:rPr>
        <w:t> </w:t>
      </w:r>
      <w:r w:rsidRPr="00C32EC8">
        <w:rPr>
          <w:rFonts w:eastAsia="Times New Roman" w:cs="Times New Roman"/>
          <w:szCs w:val="24"/>
          <w:lang w:val="es-CO" w:eastAsia="es-ES"/>
        </w:rPr>
        <w:t>coincida con el punto neurálgico de la determinación que se inserta en el «</w:t>
      </w:r>
      <w:r w:rsidRPr="00C32EC8">
        <w:rPr>
          <w:rFonts w:eastAsia="Times New Roman" w:cs="Times New Roman"/>
          <w:i/>
          <w:iCs/>
          <w:szCs w:val="24"/>
          <w:lang w:val="es-CO" w:eastAsia="es-ES"/>
        </w:rPr>
        <w:t>estado</w:t>
      </w:r>
      <w:r w:rsidRPr="00C32EC8">
        <w:rPr>
          <w:rFonts w:eastAsia="Times New Roman" w:cs="Times New Roman"/>
          <w:szCs w:val="24"/>
          <w:lang w:val="es-CO" w:eastAsia="es-ES"/>
        </w:rPr>
        <w:t>», de manera que haya identidad y coherencia en la </w:t>
      </w:r>
      <w:r w:rsidRPr="00C32EC8">
        <w:rPr>
          <w:rFonts w:eastAsia="Times New Roman" w:cs="Times New Roman"/>
          <w:i/>
          <w:iCs/>
          <w:szCs w:val="24"/>
          <w:lang w:val="es-CO" w:eastAsia="es-ES"/>
        </w:rPr>
        <w:t>«información» </w:t>
      </w:r>
      <w:r w:rsidRPr="00C32EC8">
        <w:rPr>
          <w:rFonts w:eastAsia="Times New Roman" w:cs="Times New Roman"/>
          <w:szCs w:val="24"/>
          <w:lang w:val="es-CO" w:eastAsia="es-ES"/>
        </w:rPr>
        <w:t>que aparece en la resolución y aquella que se publicita telemáticamente, toda vez que «</w:t>
      </w:r>
      <w:r w:rsidRPr="00C32EC8">
        <w:rPr>
          <w:rFonts w:eastAsia="Times New Roman" w:cs="Times New Roman"/>
          <w:i/>
          <w:iCs/>
          <w:szCs w:val="24"/>
          <w:lang w:val="es-CO" w:eastAsia="es-ES"/>
        </w:rPr>
        <w:t>la utilización de los sistemas de información sobre el historial de los procesos y la fecha de las actuaciones judiciales solo se justifica si los ciudadanos pueden confiar en los datos que en ellos se registran. Y ello puede ocurrir siempre y cuando dichos mensajes de datos puedan ser considerados como equivalentes funcionales de la información escrita en los expedientes</w:t>
      </w:r>
      <w:r w:rsidRPr="00C32EC8">
        <w:rPr>
          <w:rFonts w:eastAsia="Times New Roman" w:cs="Times New Roman"/>
          <w:szCs w:val="24"/>
          <w:lang w:val="es-CO" w:eastAsia="es-ES"/>
        </w:rPr>
        <w:t>» (C.C. T-686 de 2007).</w:t>
      </w:r>
    </w:p>
    <w:p w14:paraId="2D94A999"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3B3B1FAF"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Si de un lado la </w:t>
      </w:r>
      <w:r w:rsidRPr="00C32EC8">
        <w:rPr>
          <w:rFonts w:eastAsia="Times New Roman" w:cs="Times New Roman"/>
          <w:i/>
          <w:iCs/>
          <w:szCs w:val="24"/>
          <w:lang w:val="es-CO" w:eastAsia="es-ES"/>
        </w:rPr>
        <w:t>«virtualidad» </w:t>
      </w:r>
      <w:r w:rsidRPr="00C32EC8">
        <w:rPr>
          <w:rFonts w:eastAsia="Times New Roman" w:cs="Times New Roman"/>
          <w:szCs w:val="24"/>
          <w:lang w:val="es-CO" w:eastAsia="es-ES"/>
        </w:rPr>
        <w:t>envuelve la «</w:t>
      </w:r>
      <w:r w:rsidRPr="00C32EC8">
        <w:rPr>
          <w:rFonts w:eastAsia="Times New Roman" w:cs="Times New Roman"/>
          <w:i/>
          <w:iCs/>
          <w:szCs w:val="24"/>
          <w:lang w:val="es-CO" w:eastAsia="es-ES"/>
        </w:rPr>
        <w:t>accesibilidad</w:t>
      </w:r>
      <w:r w:rsidRPr="00C32EC8">
        <w:rPr>
          <w:rFonts w:eastAsia="Times New Roman" w:cs="Times New Roman"/>
          <w:szCs w:val="24"/>
          <w:lang w:val="es-CO" w:eastAsia="es-ES"/>
        </w:rPr>
        <w:t>» y, de otro, la «</w:t>
      </w:r>
      <w:r w:rsidRPr="00C32EC8">
        <w:rPr>
          <w:rFonts w:eastAsia="Times New Roman" w:cs="Times New Roman"/>
          <w:i/>
          <w:iCs/>
          <w:szCs w:val="24"/>
          <w:lang w:val="es-CO" w:eastAsia="es-ES"/>
        </w:rPr>
        <w:t>notificación</w:t>
      </w:r>
      <w:r w:rsidRPr="00C32EC8">
        <w:rPr>
          <w:rFonts w:eastAsia="Times New Roman" w:cs="Times New Roman"/>
          <w:szCs w:val="24"/>
          <w:lang w:val="es-CO" w:eastAsia="es-ES"/>
        </w:rPr>
        <w:t>» presupone el «</w:t>
      </w:r>
      <w:r w:rsidRPr="00C32EC8">
        <w:rPr>
          <w:rFonts w:eastAsia="Times New Roman" w:cs="Times New Roman"/>
          <w:i/>
          <w:iCs/>
          <w:szCs w:val="24"/>
          <w:lang w:val="es-CO" w:eastAsia="es-ES"/>
        </w:rPr>
        <w:t>conocimiento real de lo esencial de la providencia</w:t>
      </w:r>
      <w:r w:rsidRPr="00C32EC8">
        <w:rPr>
          <w:rFonts w:eastAsia="Times New Roman" w:cs="Times New Roman"/>
          <w:szCs w:val="24"/>
          <w:lang w:val="es-CO" w:eastAsia="es-ES"/>
        </w:rPr>
        <w:t>», es claro el nexo que debe existir entre el texto mismo de la decisión y su divulgación virtual, para que las partes a través del «</w:t>
      </w:r>
      <w:r w:rsidRPr="00C32EC8">
        <w:rPr>
          <w:rFonts w:eastAsia="Times New Roman" w:cs="Times New Roman"/>
          <w:i/>
          <w:iCs/>
          <w:szCs w:val="24"/>
          <w:lang w:val="es-CO" w:eastAsia="es-ES"/>
        </w:rPr>
        <w:t>estado electrónico</w:t>
      </w:r>
      <w:r w:rsidRPr="00C32EC8">
        <w:rPr>
          <w:rFonts w:eastAsia="Times New Roman" w:cs="Times New Roman"/>
          <w:szCs w:val="24"/>
          <w:lang w:val="es-CO" w:eastAsia="es-ES"/>
        </w:rPr>
        <w:t>» puedan estar al tanto del impulso que tuvo la controversia, aunque estén distantes del despacho, dado que el postulado constitucional de buena fe y junto a él la confianza legítima que se han acuñado para propiciar la credibilidad en las actuaciones de los particulares y entidades públicas (art. 83 C. P.), constituyen base importante para edificar la seguridad jurídica adquirida por los asociados frente a la información conocida a través de los medios de notificación, que en el caso de los «</w:t>
      </w:r>
      <w:r w:rsidRPr="00C32EC8">
        <w:rPr>
          <w:rFonts w:eastAsia="Times New Roman" w:cs="Times New Roman"/>
          <w:i/>
          <w:iCs/>
          <w:szCs w:val="24"/>
          <w:lang w:val="es-CO" w:eastAsia="es-ES"/>
        </w:rPr>
        <w:t>estados electrónicos</w:t>
      </w:r>
      <w:r w:rsidRPr="00C32EC8">
        <w:rPr>
          <w:rFonts w:eastAsia="Times New Roman" w:cs="Times New Roman"/>
          <w:szCs w:val="24"/>
          <w:lang w:val="es-CO" w:eastAsia="es-ES"/>
        </w:rPr>
        <w:t>» garantiza la publicidad y transparencia de la determinación comunicada por ese canal.</w:t>
      </w:r>
    </w:p>
    <w:p w14:paraId="663B52E4"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0CE7D843"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Respecto de las aludidas máximas, el órgano de cierre de la jurisdicción constitucional tiene adoctrinado que:</w:t>
      </w:r>
    </w:p>
    <w:p w14:paraId="3560373D"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i/>
          <w:iCs/>
          <w:szCs w:val="24"/>
          <w:lang w:val="es-CO" w:eastAsia="es-ES"/>
        </w:rPr>
        <w:t> </w:t>
      </w:r>
    </w:p>
    <w:p w14:paraId="47340224" w14:textId="77777777" w:rsidR="00C32EC8" w:rsidRPr="00C32EC8" w:rsidRDefault="00C32EC8" w:rsidP="00C32EC8">
      <w:pPr>
        <w:spacing w:line="240" w:lineRule="auto"/>
        <w:ind w:left="284"/>
        <w:rPr>
          <w:rFonts w:eastAsia="Times New Roman" w:cs="Times New Roman"/>
          <w:szCs w:val="24"/>
          <w:lang w:eastAsia="es-ES"/>
        </w:rPr>
      </w:pPr>
      <w:r w:rsidRPr="00C32EC8">
        <w:rPr>
          <w:rFonts w:eastAsia="Times New Roman" w:cs="Times New Roman"/>
          <w:i/>
          <w:iCs/>
          <w:szCs w:val="24"/>
          <w:lang w:val="es-CO" w:eastAsia="es-ES"/>
        </w:rPr>
        <w:t>(…) el principio de la buena fe se trata de un pilar fundamental de nuestro ordenamiento jurídico, que orienta las relaciones entre particulares y entre estos y la administración, buscando que se desarrollen en términos de confianza y estabilidad. El principio de buena fe puede entenderse como un mandato de “honestidad, confianza, rectitud, decoro y credibilidad que acompaña la palabra comprometida (…) permite a las partes presumir la seriedad en los actos de los demás, dota de (…) estabilidad al tránsito jurídico y obliga a las autoridades a mantener cierto grado de coherencia en su proceder a través del tiempo”(…) El principio de confianza legítima funciona entonces como un límite a las actividades de las autoridades, que pretende hacerle frente a eventuales modificaciones intempestivas en su manera tradicional de proceder, situación que además puede poner en riesgo el principio de seguridad jurídica. Se trata pues, de un ideal ético que es jurídicamente exigible. Por lo tanto, esa confianza que los ciudadanos tienen frente a la estabilidad que se es-pera de los entes estatales, debe ser respetada y protegida por el juez constitucional </w:t>
      </w:r>
      <w:r w:rsidRPr="00C32EC8">
        <w:rPr>
          <w:rFonts w:eastAsia="Times New Roman" w:cs="Times New Roman"/>
          <w:szCs w:val="24"/>
          <w:lang w:val="es-CO" w:eastAsia="es-ES"/>
        </w:rPr>
        <w:t>(T-453 de 2018).</w:t>
      </w:r>
    </w:p>
    <w:p w14:paraId="3142F6E5"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71068488"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Ahora, si lo expresado en el «</w:t>
      </w:r>
      <w:r w:rsidRPr="00C32EC8">
        <w:rPr>
          <w:rFonts w:eastAsia="Times New Roman" w:cs="Times New Roman"/>
          <w:i/>
          <w:iCs/>
          <w:szCs w:val="24"/>
          <w:lang w:val="es-CO" w:eastAsia="es-ES"/>
        </w:rPr>
        <w:t>estado</w:t>
      </w:r>
      <w:r w:rsidRPr="00C32EC8">
        <w:rPr>
          <w:rFonts w:eastAsia="Times New Roman" w:cs="Times New Roman"/>
          <w:szCs w:val="24"/>
          <w:lang w:val="es-CO" w:eastAsia="es-ES"/>
        </w:rPr>
        <w:t>» no concuerda con lo definido por el juez y producto de dicho error el interesado sufre alguna lesión importante del «</w:t>
      </w:r>
      <w:r w:rsidRPr="00C32EC8">
        <w:rPr>
          <w:rFonts w:eastAsia="Times New Roman" w:cs="Times New Roman"/>
          <w:i/>
          <w:iCs/>
          <w:szCs w:val="24"/>
          <w:lang w:val="es-CO" w:eastAsia="es-ES"/>
        </w:rPr>
        <w:t>derecho al debido proceso</w:t>
      </w:r>
      <w:r w:rsidRPr="00C32EC8">
        <w:rPr>
          <w:rFonts w:eastAsia="Times New Roman" w:cs="Times New Roman"/>
          <w:szCs w:val="24"/>
          <w:lang w:val="es-CO" w:eastAsia="es-ES"/>
        </w:rPr>
        <w:t xml:space="preserve">», mal se haría </w:t>
      </w:r>
      <w:r w:rsidRPr="00C32EC8">
        <w:rPr>
          <w:rFonts w:eastAsia="Times New Roman" w:cs="Times New Roman"/>
          <w:szCs w:val="24"/>
          <w:lang w:val="es-CO" w:eastAsia="es-ES"/>
        </w:rPr>
        <w:lastRenderedPageBreak/>
        <w:t>en imputarle las resultas negativas de tal equivocación cuando actuó motivado por la «</w:t>
      </w:r>
      <w:r w:rsidRPr="00C32EC8">
        <w:rPr>
          <w:rFonts w:eastAsia="Times New Roman" w:cs="Times New Roman"/>
          <w:i/>
          <w:iCs/>
          <w:szCs w:val="24"/>
          <w:lang w:val="es-CO" w:eastAsia="es-ES"/>
        </w:rPr>
        <w:t>confianza legítima</w:t>
      </w:r>
      <w:r w:rsidRPr="00C32EC8">
        <w:rPr>
          <w:rFonts w:eastAsia="Times New Roman" w:cs="Times New Roman"/>
          <w:szCs w:val="24"/>
          <w:lang w:val="es-CO" w:eastAsia="es-ES"/>
        </w:rPr>
        <w:t>» que generó la «</w:t>
      </w:r>
      <w:r w:rsidRPr="00C32EC8">
        <w:rPr>
          <w:rFonts w:eastAsia="Times New Roman" w:cs="Times New Roman"/>
          <w:i/>
          <w:iCs/>
          <w:szCs w:val="24"/>
          <w:lang w:val="es-CO" w:eastAsia="es-ES"/>
        </w:rPr>
        <w:t>información publicada</w:t>
      </w:r>
      <w:r w:rsidRPr="00C32EC8">
        <w:rPr>
          <w:rFonts w:eastAsia="Times New Roman" w:cs="Times New Roman"/>
          <w:szCs w:val="24"/>
          <w:lang w:val="es-CO" w:eastAsia="es-ES"/>
        </w:rPr>
        <w:t>».</w:t>
      </w:r>
    </w:p>
    <w:p w14:paraId="22175157"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73983ADD"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Sobre el punto, se ha esgrimido que </w:t>
      </w:r>
      <w:r w:rsidRPr="00C32EC8">
        <w:rPr>
          <w:rFonts w:eastAsia="Times New Roman" w:cs="Times New Roman"/>
          <w:i/>
          <w:iCs/>
          <w:szCs w:val="24"/>
          <w:lang w:val="es-CO" w:eastAsia="es-ES"/>
        </w:rPr>
        <w:t>«las consecuencias del error judicial no pueden gravitar negativamente en la parte procesal que lo padece, hasta el punto de perder la oportunidad de defenderse por haber conformado su conducta procesal a los informes procedentes del despacho judicial…; claro es que los errores judiciales se deben corregir, pero no a costa del sacrificio del legítimo derecho de defensa y menos de la buena fe puesta en los actos de las autoridades judiciales» </w:t>
      </w:r>
      <w:r w:rsidRPr="00C32EC8">
        <w:rPr>
          <w:rFonts w:eastAsia="Times New Roman" w:cs="Times New Roman"/>
          <w:szCs w:val="24"/>
          <w:lang w:val="es-CO" w:eastAsia="es-ES"/>
        </w:rPr>
        <w:t>(STC14157-2017).</w:t>
      </w:r>
    </w:p>
    <w:p w14:paraId="32171C55"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3BA6C005"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De allí que, cuando excepcionalmente se presenta discordancia entre el «</w:t>
      </w:r>
      <w:r w:rsidRPr="00C32EC8">
        <w:rPr>
          <w:rFonts w:eastAsia="Times New Roman" w:cs="Times New Roman"/>
          <w:i/>
          <w:iCs/>
          <w:szCs w:val="24"/>
          <w:lang w:val="es-CO" w:eastAsia="es-ES"/>
        </w:rPr>
        <w:t>contenido de la providencia</w:t>
      </w:r>
      <w:r w:rsidRPr="00C32EC8">
        <w:rPr>
          <w:rFonts w:eastAsia="Times New Roman" w:cs="Times New Roman"/>
          <w:szCs w:val="24"/>
          <w:lang w:val="es-CO" w:eastAsia="es-ES"/>
        </w:rPr>
        <w:t>» y lo expresado en el «</w:t>
      </w:r>
      <w:r w:rsidRPr="00C32EC8">
        <w:rPr>
          <w:rFonts w:eastAsia="Times New Roman" w:cs="Times New Roman"/>
          <w:i/>
          <w:iCs/>
          <w:szCs w:val="24"/>
          <w:lang w:val="es-CO" w:eastAsia="es-ES"/>
        </w:rPr>
        <w:t>estado</w:t>
      </w:r>
      <w:r w:rsidRPr="00C32EC8">
        <w:rPr>
          <w:rFonts w:eastAsia="Times New Roman" w:cs="Times New Roman"/>
          <w:szCs w:val="24"/>
          <w:lang w:val="es-CO" w:eastAsia="es-ES"/>
        </w:rPr>
        <w:t>», esto es, cuando una cosa se decida y otra distinta sea la que se notifique, no es conveniente realizar un ejercicio de ponderación para establecer cuál «</w:t>
      </w:r>
      <w:r w:rsidRPr="00C32EC8">
        <w:rPr>
          <w:rFonts w:eastAsia="Times New Roman" w:cs="Times New Roman"/>
          <w:i/>
          <w:iCs/>
          <w:szCs w:val="24"/>
          <w:lang w:val="es-CO" w:eastAsia="es-ES"/>
        </w:rPr>
        <w:t>información</w:t>
      </w:r>
      <w:r w:rsidRPr="00C32EC8">
        <w:rPr>
          <w:rFonts w:eastAsia="Times New Roman" w:cs="Times New Roman"/>
          <w:szCs w:val="24"/>
          <w:lang w:val="es-CO" w:eastAsia="es-ES"/>
        </w:rPr>
        <w:t>» predomina, porque esa labor conlleva reconocer que los dos supuestos equiparados son aceptables, lo cual precisamente no sucede cuandoquiera que la «</w:t>
      </w:r>
      <w:r w:rsidRPr="00C32EC8">
        <w:rPr>
          <w:rFonts w:eastAsia="Times New Roman" w:cs="Times New Roman"/>
          <w:i/>
          <w:iCs/>
          <w:szCs w:val="24"/>
          <w:lang w:val="es-CO" w:eastAsia="es-ES"/>
        </w:rPr>
        <w:t>información</w:t>
      </w:r>
      <w:r w:rsidRPr="00C32EC8">
        <w:rPr>
          <w:rFonts w:eastAsia="Times New Roman" w:cs="Times New Roman"/>
          <w:szCs w:val="24"/>
          <w:lang w:val="es-CO" w:eastAsia="es-ES"/>
        </w:rPr>
        <w:t>» insertada en el «</w:t>
      </w:r>
      <w:r w:rsidRPr="00C32EC8">
        <w:rPr>
          <w:rFonts w:eastAsia="Times New Roman" w:cs="Times New Roman"/>
          <w:i/>
          <w:iCs/>
          <w:szCs w:val="24"/>
          <w:lang w:val="es-CO" w:eastAsia="es-ES"/>
        </w:rPr>
        <w:t>estado</w:t>
      </w:r>
      <w:r w:rsidRPr="00C32EC8">
        <w:rPr>
          <w:rFonts w:eastAsia="Times New Roman" w:cs="Times New Roman"/>
          <w:szCs w:val="24"/>
          <w:lang w:val="es-CO" w:eastAsia="es-ES"/>
        </w:rPr>
        <w:t>» es errónea. Lo deseable es la completa conformidad entre el contenido de la providencia y el de la información que mediante el estado se brinda a las partes, razón por la cual deben los despachos judiciales siempre hacer un es-fuerzo por lograr la coincidencia informativa.</w:t>
      </w:r>
    </w:p>
    <w:p w14:paraId="0721632D"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26E66348"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En resumen, en el «</w:t>
      </w:r>
      <w:r w:rsidRPr="00C32EC8">
        <w:rPr>
          <w:rFonts w:eastAsia="Times New Roman" w:cs="Times New Roman"/>
          <w:i/>
          <w:iCs/>
          <w:szCs w:val="24"/>
          <w:lang w:val="es-CO" w:eastAsia="es-ES"/>
        </w:rPr>
        <w:t>estado electrónico</w:t>
      </w:r>
      <w:r w:rsidRPr="00C32EC8">
        <w:rPr>
          <w:rFonts w:eastAsia="Times New Roman" w:cs="Times New Roman"/>
          <w:szCs w:val="24"/>
          <w:lang w:val="es-CO" w:eastAsia="es-ES"/>
        </w:rPr>
        <w:t>» es propicio incluir la «</w:t>
      </w:r>
      <w:r w:rsidRPr="00C32EC8">
        <w:rPr>
          <w:rFonts w:eastAsia="Times New Roman" w:cs="Times New Roman"/>
          <w:i/>
          <w:iCs/>
          <w:szCs w:val="24"/>
          <w:lang w:val="es-CO" w:eastAsia="es-ES"/>
        </w:rPr>
        <w:t>idea central y veraz de la decisión que se notifica</w:t>
      </w:r>
      <w:r w:rsidRPr="00C32EC8">
        <w:rPr>
          <w:rFonts w:eastAsia="Times New Roman" w:cs="Times New Roman"/>
          <w:szCs w:val="24"/>
          <w:lang w:val="es-CO" w:eastAsia="es-ES"/>
        </w:rPr>
        <w:t>» y en caso de que aquél presente yerros trascendentes en relación con lo proveído, el tema deberá ventilarse por conducto de la nulidad procesal si se cumplen los presupuestos de tal institución.</w:t>
      </w:r>
    </w:p>
    <w:p w14:paraId="6F7B81E4"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 </w:t>
      </w:r>
    </w:p>
    <w:p w14:paraId="703305A1"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5. </w:t>
      </w:r>
      <w:r w:rsidRPr="00C32EC8">
        <w:rPr>
          <w:rFonts w:eastAsia="Times New Roman" w:cs="Times New Roman"/>
          <w:szCs w:val="24"/>
          <w:lang w:val="es-CO" w:eastAsia="es-ES"/>
        </w:rPr>
        <w:t>En el presente asunto, el Juzgado Primero Civil del Circuito de Pasto programó audiencia de sustentación y fallo para el 20 de enero hogaño a las 3:30 p.m., pero en el «</w:t>
      </w:r>
      <w:r w:rsidRPr="00C32EC8">
        <w:rPr>
          <w:rFonts w:eastAsia="Times New Roman" w:cs="Times New Roman"/>
          <w:i/>
          <w:iCs/>
          <w:szCs w:val="24"/>
          <w:lang w:val="es-CO" w:eastAsia="es-ES"/>
        </w:rPr>
        <w:t>estado electrónico» </w:t>
      </w:r>
      <w:r w:rsidRPr="00C32EC8">
        <w:rPr>
          <w:rFonts w:eastAsia="Times New Roman" w:cs="Times New Roman"/>
          <w:szCs w:val="24"/>
          <w:lang w:val="es-CO" w:eastAsia="es-ES"/>
        </w:rPr>
        <w:t>quedó consignado que la diligencia se realizaría en esa fecha a las 9:00 a.m. La mandataria del apelante compareció a la agencia judicial en la mañana prevalida de la «</w:t>
      </w:r>
      <w:r w:rsidRPr="00C32EC8">
        <w:rPr>
          <w:rFonts w:eastAsia="Times New Roman" w:cs="Times New Roman"/>
          <w:i/>
          <w:iCs/>
          <w:szCs w:val="24"/>
          <w:lang w:val="es-CO" w:eastAsia="es-ES"/>
        </w:rPr>
        <w:t>información</w:t>
      </w:r>
      <w:r w:rsidRPr="00C32EC8">
        <w:rPr>
          <w:rFonts w:eastAsia="Times New Roman" w:cs="Times New Roman"/>
          <w:szCs w:val="24"/>
          <w:lang w:val="es-CO" w:eastAsia="es-ES"/>
        </w:rPr>
        <w:t>» del «</w:t>
      </w:r>
      <w:r w:rsidRPr="00C32EC8">
        <w:rPr>
          <w:rFonts w:eastAsia="Times New Roman" w:cs="Times New Roman"/>
          <w:i/>
          <w:iCs/>
          <w:szCs w:val="24"/>
          <w:lang w:val="es-CO" w:eastAsia="es-ES"/>
        </w:rPr>
        <w:t>estado</w:t>
      </w:r>
      <w:r w:rsidRPr="00C32EC8">
        <w:rPr>
          <w:rFonts w:eastAsia="Times New Roman" w:cs="Times New Roman"/>
          <w:szCs w:val="24"/>
          <w:lang w:val="es-CO" w:eastAsia="es-ES"/>
        </w:rPr>
        <w:t>» y tras ser avisada de que a esa hora no había diligencia se retiró, con la sorpresa luego de que la sesión se llevó a cabo a las 3:30 p.m., oportunidad en la que se «</w:t>
      </w:r>
      <w:r w:rsidRPr="00C32EC8">
        <w:rPr>
          <w:rFonts w:eastAsia="Times New Roman" w:cs="Times New Roman"/>
          <w:i/>
          <w:iCs/>
          <w:szCs w:val="24"/>
          <w:lang w:val="es-CO" w:eastAsia="es-ES"/>
        </w:rPr>
        <w:t>declaró desierto el recurso por falta de sustentación</w:t>
      </w:r>
      <w:r w:rsidRPr="00C32EC8">
        <w:rPr>
          <w:rFonts w:eastAsia="Times New Roman" w:cs="Times New Roman"/>
          <w:szCs w:val="24"/>
          <w:lang w:val="es-CO" w:eastAsia="es-ES"/>
        </w:rPr>
        <w:t>».</w:t>
      </w:r>
    </w:p>
    <w:p w14:paraId="706BF0CA"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78016699"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Es de público conocimiento que a raíz del estado de emergencia social, económica y ecológica decretado por el Gobierno Nacional por la pandemia Covid-19 y el consecuente confinamiento preventivo, algunos </w:t>
      </w:r>
      <w:r w:rsidRPr="00C32EC8">
        <w:rPr>
          <w:rFonts w:eastAsia="Times New Roman" w:cs="Times New Roman"/>
          <w:i/>
          <w:iCs/>
          <w:szCs w:val="24"/>
          <w:lang w:val="es-CO" w:eastAsia="es-ES"/>
        </w:rPr>
        <w:t>«despachos judiciales» </w:t>
      </w:r>
      <w:r w:rsidRPr="00C32EC8">
        <w:rPr>
          <w:rFonts w:eastAsia="Times New Roman" w:cs="Times New Roman"/>
          <w:szCs w:val="24"/>
          <w:lang w:val="es-CO" w:eastAsia="es-ES"/>
        </w:rPr>
        <w:t>han empezado a implementar la «</w:t>
      </w:r>
      <w:r w:rsidRPr="00C32EC8">
        <w:rPr>
          <w:rFonts w:eastAsia="Times New Roman" w:cs="Times New Roman"/>
          <w:i/>
          <w:iCs/>
          <w:szCs w:val="24"/>
          <w:lang w:val="es-CO" w:eastAsia="es-ES"/>
        </w:rPr>
        <w:t>publicación de sus decisiones</w:t>
      </w:r>
      <w:r w:rsidRPr="00C32EC8">
        <w:rPr>
          <w:rFonts w:eastAsia="Times New Roman" w:cs="Times New Roman"/>
          <w:szCs w:val="24"/>
          <w:lang w:val="es-CO" w:eastAsia="es-ES"/>
        </w:rPr>
        <w:t>» a través de la página web oficial de la Rama Judicial; sin embargo, otros, como el aquí accionando, venían utilizando esa </w:t>
      </w:r>
      <w:r w:rsidRPr="00C32EC8">
        <w:rPr>
          <w:rFonts w:eastAsia="Times New Roman" w:cs="Times New Roman"/>
          <w:i/>
          <w:iCs/>
          <w:szCs w:val="24"/>
          <w:lang w:val="es-CO" w:eastAsia="es-ES"/>
        </w:rPr>
        <w:t>«herramienta tecnológica» </w:t>
      </w:r>
      <w:r w:rsidRPr="00C32EC8">
        <w:rPr>
          <w:rFonts w:eastAsia="Times New Roman" w:cs="Times New Roman"/>
          <w:szCs w:val="24"/>
          <w:lang w:val="es-CO" w:eastAsia="es-ES"/>
        </w:rPr>
        <w:t>desde antes a efectos de «</w:t>
      </w:r>
      <w:r w:rsidRPr="00C32EC8">
        <w:rPr>
          <w:rFonts w:eastAsia="Times New Roman" w:cs="Times New Roman"/>
          <w:i/>
          <w:iCs/>
          <w:szCs w:val="24"/>
          <w:lang w:val="es-CO" w:eastAsia="es-ES"/>
        </w:rPr>
        <w:t>notificar por estados electrónicos sus providencias</w:t>
      </w:r>
      <w:r w:rsidRPr="00C32EC8">
        <w:rPr>
          <w:rFonts w:eastAsia="Times New Roman" w:cs="Times New Roman"/>
          <w:szCs w:val="24"/>
          <w:lang w:val="es-CO" w:eastAsia="es-ES"/>
        </w:rPr>
        <w:t>», conforme lo autoriza el parágrafo del artículo 295 del C.G.P.</w:t>
      </w:r>
    </w:p>
    <w:p w14:paraId="68C9E71A"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24B3C376"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De esta manera, fluye que la secretaría del Juzgado querellado cometió un desatino que resultó relevante porque suscitó la transgresión de la prerrogativa a la «</w:t>
      </w:r>
      <w:r w:rsidRPr="00C32EC8">
        <w:rPr>
          <w:rFonts w:eastAsia="Times New Roman" w:cs="Times New Roman"/>
          <w:i/>
          <w:iCs/>
          <w:szCs w:val="24"/>
          <w:lang w:val="es-CO" w:eastAsia="es-ES"/>
        </w:rPr>
        <w:t>segunda instancia</w:t>
      </w:r>
      <w:r w:rsidRPr="00C32EC8">
        <w:rPr>
          <w:rFonts w:eastAsia="Times New Roman" w:cs="Times New Roman"/>
          <w:szCs w:val="24"/>
          <w:lang w:val="es-CO" w:eastAsia="es-ES"/>
        </w:rPr>
        <w:t>» con que contaba Díaz Ramos y de la cual se vio privado esencialmente por el anotado yerro.</w:t>
      </w:r>
    </w:p>
    <w:p w14:paraId="1F5E58BD"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017F2075"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A pesar de que no se discute el deber que le asistía al interesado y su apoderado de vigilar el «</w:t>
      </w:r>
      <w:r w:rsidRPr="00C32EC8">
        <w:rPr>
          <w:rFonts w:eastAsia="Times New Roman" w:cs="Times New Roman"/>
          <w:i/>
          <w:iCs/>
          <w:szCs w:val="24"/>
          <w:lang w:val="es-CO" w:eastAsia="es-ES"/>
        </w:rPr>
        <w:t>expediente</w:t>
      </w:r>
      <w:r w:rsidRPr="00C32EC8">
        <w:rPr>
          <w:rFonts w:eastAsia="Times New Roman" w:cs="Times New Roman"/>
          <w:szCs w:val="24"/>
          <w:lang w:val="es-CO" w:eastAsia="es-ES"/>
        </w:rPr>
        <w:t>», quedó evidenciado que actuaron fundados en la «</w:t>
      </w:r>
      <w:r w:rsidRPr="00C32EC8">
        <w:rPr>
          <w:rFonts w:eastAsia="Times New Roman" w:cs="Times New Roman"/>
          <w:i/>
          <w:iCs/>
          <w:szCs w:val="24"/>
          <w:lang w:val="es-CO" w:eastAsia="es-ES"/>
        </w:rPr>
        <w:t>confianza legítima</w:t>
      </w:r>
      <w:r w:rsidRPr="00C32EC8">
        <w:rPr>
          <w:rFonts w:eastAsia="Times New Roman" w:cs="Times New Roman"/>
          <w:szCs w:val="24"/>
          <w:lang w:val="es-CO" w:eastAsia="es-ES"/>
        </w:rPr>
        <w:t>» y las expectativas que les generó la «</w:t>
      </w:r>
      <w:r w:rsidRPr="00C32EC8">
        <w:rPr>
          <w:rFonts w:eastAsia="Times New Roman" w:cs="Times New Roman"/>
          <w:i/>
          <w:iCs/>
          <w:szCs w:val="24"/>
          <w:lang w:val="es-CO" w:eastAsia="es-ES"/>
        </w:rPr>
        <w:t>información</w:t>
      </w:r>
      <w:r w:rsidRPr="00C32EC8">
        <w:rPr>
          <w:rFonts w:eastAsia="Times New Roman" w:cs="Times New Roman"/>
          <w:szCs w:val="24"/>
          <w:lang w:val="es-CO" w:eastAsia="es-ES"/>
        </w:rPr>
        <w:t>» reportada en el «</w:t>
      </w:r>
      <w:r w:rsidRPr="00C32EC8">
        <w:rPr>
          <w:rFonts w:eastAsia="Times New Roman" w:cs="Times New Roman"/>
          <w:i/>
          <w:iCs/>
          <w:szCs w:val="24"/>
          <w:lang w:val="es-CO" w:eastAsia="es-ES"/>
        </w:rPr>
        <w:t>estado virtual</w:t>
      </w:r>
      <w:r w:rsidRPr="00C32EC8">
        <w:rPr>
          <w:rFonts w:eastAsia="Times New Roman" w:cs="Times New Roman"/>
          <w:szCs w:val="24"/>
          <w:lang w:val="es-CO" w:eastAsia="es-ES"/>
        </w:rPr>
        <w:t>» donde se consignó la supuesta «</w:t>
      </w:r>
      <w:r w:rsidRPr="00C32EC8">
        <w:rPr>
          <w:rFonts w:eastAsia="Times New Roman" w:cs="Times New Roman"/>
          <w:i/>
          <w:iCs/>
          <w:szCs w:val="24"/>
          <w:lang w:val="es-CO" w:eastAsia="es-ES"/>
        </w:rPr>
        <w:t>fecha y hora de la audiencia</w:t>
      </w:r>
      <w:r w:rsidRPr="00C32EC8">
        <w:rPr>
          <w:rFonts w:eastAsia="Times New Roman" w:cs="Times New Roman"/>
          <w:szCs w:val="24"/>
          <w:lang w:val="es-CO" w:eastAsia="es-ES"/>
        </w:rPr>
        <w:t>», información que estimaron suficiente para darse por enterados de que el acto se llevaría a cabo en esa oportunidad.</w:t>
      </w:r>
    </w:p>
    <w:p w14:paraId="050CDB29"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59405F47"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Es decir, la anotación en el «</w:t>
      </w:r>
      <w:r w:rsidRPr="00C32EC8">
        <w:rPr>
          <w:rFonts w:eastAsia="Times New Roman" w:cs="Times New Roman"/>
          <w:i/>
          <w:iCs/>
          <w:szCs w:val="24"/>
          <w:lang w:val="es-CO" w:eastAsia="es-ES"/>
        </w:rPr>
        <w:t>estado telemático</w:t>
      </w:r>
      <w:r w:rsidRPr="00C32EC8">
        <w:rPr>
          <w:rFonts w:eastAsia="Times New Roman" w:cs="Times New Roman"/>
          <w:szCs w:val="24"/>
          <w:lang w:val="es-CO" w:eastAsia="es-ES"/>
        </w:rPr>
        <w:t xml:space="preserve">» contenía los datos aparentemente necesarios para avisarlos de la fecha y hora en que se celebraría la audiencia de sustentación y fallo, de allí que, en principio, no resultaba indispensable la revisión física del </w:t>
      </w:r>
      <w:proofErr w:type="spellStart"/>
      <w:r w:rsidRPr="00C32EC8">
        <w:rPr>
          <w:rFonts w:eastAsia="Times New Roman" w:cs="Times New Roman"/>
          <w:szCs w:val="24"/>
          <w:lang w:val="es-CO" w:eastAsia="es-ES"/>
        </w:rPr>
        <w:t>paginario</w:t>
      </w:r>
      <w:proofErr w:type="spellEnd"/>
      <w:r w:rsidRPr="00C32EC8">
        <w:rPr>
          <w:rFonts w:eastAsia="Times New Roman" w:cs="Times New Roman"/>
          <w:szCs w:val="24"/>
          <w:lang w:val="es-CO" w:eastAsia="es-ES"/>
        </w:rPr>
        <w:t>, toda vez que ante la «</w:t>
      </w:r>
      <w:r w:rsidRPr="00C32EC8">
        <w:rPr>
          <w:rFonts w:eastAsia="Times New Roman" w:cs="Times New Roman"/>
          <w:i/>
          <w:iCs/>
          <w:szCs w:val="24"/>
          <w:lang w:val="es-CO" w:eastAsia="es-ES"/>
        </w:rPr>
        <w:t>seguridad jurídica</w:t>
      </w:r>
      <w:r w:rsidRPr="00C32EC8">
        <w:rPr>
          <w:rFonts w:eastAsia="Times New Roman" w:cs="Times New Roman"/>
          <w:szCs w:val="24"/>
          <w:lang w:val="es-CO" w:eastAsia="es-ES"/>
        </w:rPr>
        <w:t>» que esa información les produjo no era estrictamente obligatorio constatarla. Admitir lo contrario, esto es, que siempre es imperativo verificar lo consignado en los mensajes de datos provenientes de las agencias judiciales, sería tanto como incentivar la desconfianza en sus «</w:t>
      </w:r>
      <w:r w:rsidRPr="00C32EC8">
        <w:rPr>
          <w:rFonts w:eastAsia="Times New Roman" w:cs="Times New Roman"/>
          <w:i/>
          <w:iCs/>
          <w:szCs w:val="24"/>
          <w:lang w:val="es-CO" w:eastAsia="es-ES"/>
        </w:rPr>
        <w:t>actuaciones electrónicas</w:t>
      </w:r>
      <w:r w:rsidRPr="00C32EC8">
        <w:rPr>
          <w:rFonts w:eastAsia="Times New Roman" w:cs="Times New Roman"/>
          <w:szCs w:val="24"/>
          <w:lang w:val="es-CO" w:eastAsia="es-ES"/>
        </w:rPr>
        <w:t>», tal como si el margen de error fuese la regla y no la excepción.</w:t>
      </w:r>
    </w:p>
    <w:p w14:paraId="159412A7"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6C9C3B73"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lastRenderedPageBreak/>
        <w:t>Así, es palmario que la «</w:t>
      </w:r>
      <w:r w:rsidRPr="00C32EC8">
        <w:rPr>
          <w:rFonts w:eastAsia="Times New Roman" w:cs="Times New Roman"/>
          <w:i/>
          <w:iCs/>
          <w:szCs w:val="24"/>
          <w:lang w:val="es-CO" w:eastAsia="es-ES"/>
        </w:rPr>
        <w:t>deserción de la apelación</w:t>
      </w:r>
      <w:r w:rsidRPr="00C32EC8">
        <w:rPr>
          <w:rFonts w:eastAsia="Times New Roman" w:cs="Times New Roman"/>
          <w:szCs w:val="24"/>
          <w:lang w:val="es-CO" w:eastAsia="es-ES"/>
        </w:rPr>
        <w:t>» se originó fundamentalmente por la equivocación en que incurrió la «</w:t>
      </w:r>
      <w:r w:rsidRPr="00C32EC8">
        <w:rPr>
          <w:rFonts w:eastAsia="Times New Roman" w:cs="Times New Roman"/>
          <w:i/>
          <w:iCs/>
          <w:szCs w:val="24"/>
          <w:lang w:val="es-CO" w:eastAsia="es-ES"/>
        </w:rPr>
        <w:t>secretaría del Juzgado</w:t>
      </w:r>
      <w:r w:rsidRPr="00C32EC8">
        <w:rPr>
          <w:rFonts w:eastAsia="Times New Roman" w:cs="Times New Roman"/>
          <w:szCs w:val="24"/>
          <w:lang w:val="es-CO" w:eastAsia="es-ES"/>
        </w:rPr>
        <w:t>», en virtud de lo cual es menester infirmar el veredicto opugnado para, en su lugar, acceder al resguardo clamado por el precursor.</w:t>
      </w:r>
    </w:p>
    <w:p w14:paraId="40A1A01E"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 </w:t>
      </w:r>
    </w:p>
    <w:p w14:paraId="138863C3" w14:textId="77777777" w:rsidR="00C32EC8" w:rsidRPr="00C32EC8" w:rsidRDefault="00C32EC8" w:rsidP="00C32EC8">
      <w:pPr>
        <w:spacing w:line="240" w:lineRule="auto"/>
        <w:jc w:val="center"/>
        <w:rPr>
          <w:rFonts w:eastAsia="Times New Roman" w:cs="Times New Roman"/>
          <w:szCs w:val="24"/>
          <w:lang w:eastAsia="es-ES"/>
        </w:rPr>
      </w:pPr>
      <w:r w:rsidRPr="00C32EC8">
        <w:rPr>
          <w:rFonts w:eastAsia="Times New Roman" w:cs="Times New Roman"/>
          <w:b/>
          <w:bCs/>
          <w:szCs w:val="24"/>
          <w:lang w:val="es-CO" w:eastAsia="es-ES"/>
        </w:rPr>
        <w:t>DECISIÓN</w:t>
      </w:r>
    </w:p>
    <w:p w14:paraId="7267E08A"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161E10E3"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En mérito de lo expuesto, la Corte Suprema de Justicia, en Sala de Casación Civil, administrando justicia en nombre de la República y por autoridad de la ley,</w:t>
      </w:r>
    </w:p>
    <w:p w14:paraId="1A7A8698"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 </w:t>
      </w:r>
    </w:p>
    <w:p w14:paraId="698A3C8C" w14:textId="77777777" w:rsidR="00C32EC8" w:rsidRPr="00C32EC8" w:rsidRDefault="00C32EC8" w:rsidP="00C32EC8">
      <w:pPr>
        <w:spacing w:line="240" w:lineRule="auto"/>
        <w:jc w:val="center"/>
        <w:rPr>
          <w:rFonts w:eastAsia="Times New Roman" w:cs="Times New Roman"/>
          <w:szCs w:val="24"/>
          <w:lang w:eastAsia="es-ES"/>
        </w:rPr>
      </w:pPr>
      <w:r w:rsidRPr="00C32EC8">
        <w:rPr>
          <w:rFonts w:eastAsia="Times New Roman" w:cs="Times New Roman"/>
          <w:b/>
          <w:bCs/>
          <w:szCs w:val="24"/>
          <w:lang w:val="es-CO" w:eastAsia="es-ES"/>
        </w:rPr>
        <w:t>RESUELVE:</w:t>
      </w:r>
    </w:p>
    <w:p w14:paraId="7741C410"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 </w:t>
      </w:r>
    </w:p>
    <w:p w14:paraId="310B87A9"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PRIMERO: REVOCAR </w:t>
      </w:r>
      <w:r w:rsidRPr="00C32EC8">
        <w:rPr>
          <w:rFonts w:eastAsia="Times New Roman" w:cs="Times New Roman"/>
          <w:szCs w:val="24"/>
          <w:lang w:val="es-CO" w:eastAsia="es-ES"/>
        </w:rPr>
        <w:t>el pronunciamiento de fecha, naturaleza y procedencia conocidas. En su reemplazo, </w:t>
      </w:r>
      <w:r w:rsidRPr="00C32EC8">
        <w:rPr>
          <w:rFonts w:eastAsia="Times New Roman" w:cs="Times New Roman"/>
          <w:b/>
          <w:bCs/>
          <w:szCs w:val="24"/>
          <w:lang w:val="es-CO" w:eastAsia="es-ES"/>
        </w:rPr>
        <w:t>CON-CEDER </w:t>
      </w:r>
      <w:r w:rsidRPr="00C32EC8">
        <w:rPr>
          <w:rFonts w:eastAsia="Times New Roman" w:cs="Times New Roman"/>
          <w:szCs w:val="24"/>
          <w:lang w:val="es-CO" w:eastAsia="es-ES"/>
        </w:rPr>
        <w:t>el amparo instado por Edelmiro José Díaz.</w:t>
      </w:r>
    </w:p>
    <w:p w14:paraId="22601CF6"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 </w:t>
      </w:r>
    </w:p>
    <w:p w14:paraId="5C43D68B"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SEGUNDO: ORDENAR </w:t>
      </w:r>
      <w:r w:rsidRPr="00C32EC8">
        <w:rPr>
          <w:rFonts w:eastAsia="Times New Roman" w:cs="Times New Roman"/>
          <w:szCs w:val="24"/>
          <w:lang w:val="es-CO" w:eastAsia="es-ES"/>
        </w:rPr>
        <w:t>al Juzgado Primero Civil del Circuito de Pasto que dentro de las cuarenta y ocho (48) horas siguientes a que se le notifique esta providencia y reciba el expediente correspondiente «</w:t>
      </w:r>
      <w:r w:rsidRPr="00C32EC8">
        <w:rPr>
          <w:rFonts w:eastAsia="Times New Roman" w:cs="Times New Roman"/>
          <w:i/>
          <w:iCs/>
          <w:szCs w:val="24"/>
          <w:lang w:val="es-CO" w:eastAsia="es-ES"/>
        </w:rPr>
        <w:t>deje sin valor la audiencia de sustentación y fallo realizada el 20 de enero de 2020 a las 3:30 p.m. en el proceso con radicado 2015-00141-00»; </w:t>
      </w:r>
      <w:r w:rsidRPr="00C32EC8">
        <w:rPr>
          <w:rFonts w:eastAsia="Times New Roman" w:cs="Times New Roman"/>
          <w:szCs w:val="24"/>
          <w:lang w:val="es-CO" w:eastAsia="es-ES"/>
        </w:rPr>
        <w:t>por consiguiente, deberá programar nuevamente dicha vista pública</w:t>
      </w:r>
      <w:r w:rsidRPr="00C32EC8">
        <w:rPr>
          <w:rFonts w:eastAsia="Times New Roman" w:cs="Times New Roman"/>
          <w:i/>
          <w:iCs/>
          <w:szCs w:val="24"/>
          <w:lang w:val="es-CO" w:eastAsia="es-ES"/>
        </w:rPr>
        <w:t>. </w:t>
      </w:r>
      <w:r w:rsidRPr="00C32EC8">
        <w:rPr>
          <w:rFonts w:eastAsia="Times New Roman" w:cs="Times New Roman"/>
          <w:szCs w:val="24"/>
          <w:lang w:val="es-CO" w:eastAsia="es-ES"/>
        </w:rPr>
        <w:t>Este plazo se computará a partir de que el Consejo Superior de la Judicatura levante la suspensión de términos judiciales, decretada con ocasión de la pandemia Covid-19.</w:t>
      </w:r>
    </w:p>
    <w:p w14:paraId="318A6FC8"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 </w:t>
      </w:r>
    </w:p>
    <w:p w14:paraId="26EF2AF8"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TERCERO: </w:t>
      </w:r>
      <w:r w:rsidRPr="00C32EC8">
        <w:rPr>
          <w:rFonts w:eastAsia="Times New Roman" w:cs="Times New Roman"/>
          <w:szCs w:val="24"/>
          <w:lang w:val="es-CO" w:eastAsia="es-ES"/>
        </w:rPr>
        <w:t>Infórmese a los intervinientes por el medio más expedito y remítase el infolio a la Corte Constitucional para su eventual revisión.</w:t>
      </w:r>
    </w:p>
    <w:p w14:paraId="4050215E"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 </w:t>
      </w:r>
    </w:p>
    <w:p w14:paraId="5D1CF29B"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NOTIFÍQUESE Y CÚMPLASE</w:t>
      </w:r>
    </w:p>
    <w:p w14:paraId="3A940DE2"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 </w:t>
      </w:r>
    </w:p>
    <w:p w14:paraId="5CE56E51"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 </w:t>
      </w:r>
    </w:p>
    <w:p w14:paraId="68C603BF"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b/>
          <w:bCs/>
          <w:szCs w:val="24"/>
          <w:lang w:val="es-CO" w:eastAsia="es-ES"/>
        </w:rPr>
        <w:t>LUIS ARMANDO TOLOSA VILLABONA</w:t>
      </w:r>
    </w:p>
    <w:p w14:paraId="0F8AACED"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Presidente de la Sala</w:t>
      </w:r>
    </w:p>
    <w:p w14:paraId="5618C136" w14:textId="77777777" w:rsidR="00C32EC8" w:rsidRPr="00C32EC8" w:rsidRDefault="00C32EC8" w:rsidP="00C32EC8">
      <w:pPr>
        <w:spacing w:line="240" w:lineRule="auto"/>
        <w:rPr>
          <w:rFonts w:eastAsia="Times New Roman" w:cs="Times New Roman"/>
          <w:szCs w:val="24"/>
          <w:lang w:eastAsia="es-ES"/>
        </w:rPr>
      </w:pPr>
      <w:r w:rsidRPr="00C32EC8">
        <w:rPr>
          <w:rFonts w:eastAsia="Times New Roman" w:cs="Times New Roman"/>
          <w:szCs w:val="24"/>
          <w:lang w:val="es-CO" w:eastAsia="es-ES"/>
        </w:rPr>
        <w:t> </w:t>
      </w:r>
    </w:p>
    <w:p w14:paraId="6487B358" w14:textId="77777777" w:rsidR="007F5CC8" w:rsidRPr="00C32EC8" w:rsidRDefault="007F5CC8">
      <w:pPr>
        <w:rPr>
          <w:rFonts w:cs="Times New Roman"/>
          <w:szCs w:val="24"/>
        </w:rPr>
      </w:pPr>
    </w:p>
    <w:sectPr w:rsidR="007F5CC8" w:rsidRPr="00C32E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C8"/>
    <w:rsid w:val="001E311E"/>
    <w:rsid w:val="00434AE6"/>
    <w:rsid w:val="007F5CC8"/>
    <w:rsid w:val="008779BE"/>
    <w:rsid w:val="00C32EC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F9DD"/>
  <w15:chartTrackingRefBased/>
  <w15:docId w15:val="{F8BC02C8-2C15-40C0-94D7-9350533F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86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3460</Words>
  <Characters>19031</Characters>
  <Application>Microsoft Office Word</Application>
  <DocSecurity>0</DocSecurity>
  <Lines>158</Lines>
  <Paragraphs>44</Paragraphs>
  <ScaleCrop>false</ScaleCrop>
  <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2020-06-05T23:47:00Z</dcterms:created>
  <dcterms:modified xsi:type="dcterms:W3CDTF">2020-06-05T23:53:00Z</dcterms:modified>
</cp:coreProperties>
</file>