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615" w:rsidRPr="005C6615" w:rsidRDefault="005C6615" w:rsidP="005C6615">
      <w:pPr>
        <w:shd w:val="clear" w:color="auto" w:fill="FFFFFF"/>
        <w:spacing w:line="240" w:lineRule="auto"/>
        <w:rPr>
          <w:rFonts w:eastAsia="Times New Roman" w:cs="Times New Roman"/>
          <w:szCs w:val="24"/>
          <w:lang w:eastAsia="es-ES"/>
        </w:rPr>
      </w:pPr>
      <w:bookmarkStart w:id="0" w:name="_ftn5"/>
    </w:p>
    <w:p w:rsidR="005C6615" w:rsidRPr="005C6615" w:rsidRDefault="005C6615" w:rsidP="005C6615">
      <w:pPr>
        <w:shd w:val="clear" w:color="auto" w:fill="FFFFFF"/>
        <w:spacing w:line="240" w:lineRule="auto"/>
        <w:rPr>
          <w:rFonts w:eastAsia="Times New Roman" w:cs="Times New Roman"/>
          <w:szCs w:val="24"/>
          <w:lang w:eastAsia="es-ES"/>
        </w:rPr>
      </w:pPr>
    </w:p>
    <w:p w:rsidR="005C6615" w:rsidRPr="005C6615" w:rsidRDefault="005C6615" w:rsidP="005C6615">
      <w:pPr>
        <w:shd w:val="clear" w:color="auto" w:fill="FFFFFF"/>
        <w:spacing w:line="240" w:lineRule="auto"/>
        <w:rPr>
          <w:rFonts w:eastAsia="Times New Roman" w:cs="Times New Roman"/>
          <w:szCs w:val="24"/>
          <w:lang w:eastAsia="es-ES"/>
        </w:rPr>
      </w:pPr>
    </w:p>
    <w:p w:rsidR="005C6615" w:rsidRPr="005C6615" w:rsidRDefault="005C6615" w:rsidP="005C6615">
      <w:pPr>
        <w:shd w:val="clear" w:color="auto" w:fill="FFFFFF"/>
        <w:spacing w:line="240" w:lineRule="auto"/>
        <w:rPr>
          <w:rFonts w:eastAsia="Times New Roman" w:cs="Times New Roman"/>
          <w:szCs w:val="24"/>
          <w:lang w:eastAsia="es-ES"/>
        </w:rPr>
      </w:pPr>
    </w:p>
    <w:p w:rsidR="005C6615" w:rsidRPr="005C6615" w:rsidRDefault="005C6615" w:rsidP="005C6615">
      <w:pPr>
        <w:shd w:val="clear" w:color="auto" w:fill="FFFFFF"/>
        <w:spacing w:line="240" w:lineRule="auto"/>
        <w:rPr>
          <w:rFonts w:eastAsia="Times New Roman" w:cs="Times New Roman"/>
          <w:szCs w:val="24"/>
          <w:lang w:eastAsia="es-ES"/>
        </w:rPr>
      </w:pPr>
    </w:p>
    <w:p w:rsidR="005C6615" w:rsidRPr="005C6615" w:rsidRDefault="005C6615" w:rsidP="005C6615">
      <w:pPr>
        <w:spacing w:line="240" w:lineRule="auto"/>
        <w:jc w:val="center"/>
        <w:rPr>
          <w:rFonts w:eastAsia="Times New Roman" w:cs="Times New Roman"/>
          <w:szCs w:val="24"/>
          <w:lang w:eastAsia="es-ES"/>
        </w:rPr>
      </w:pPr>
      <w:r w:rsidRPr="005C6615">
        <w:rPr>
          <w:rFonts w:eastAsia="Times New Roman" w:cs="Times New Roman"/>
          <w:b/>
          <w:bCs/>
          <w:szCs w:val="24"/>
          <w:lang w:val="es-CO" w:eastAsia="es-ES"/>
        </w:rPr>
        <w:t>CONSEJO DE ESTADO</w:t>
      </w:r>
    </w:p>
    <w:p w:rsidR="005C6615" w:rsidRPr="005C6615" w:rsidRDefault="005C6615" w:rsidP="005C6615">
      <w:pPr>
        <w:spacing w:line="240" w:lineRule="auto"/>
        <w:jc w:val="center"/>
        <w:rPr>
          <w:rFonts w:eastAsia="Times New Roman" w:cs="Times New Roman"/>
          <w:szCs w:val="24"/>
          <w:lang w:eastAsia="es-ES"/>
        </w:rPr>
      </w:pPr>
      <w:r w:rsidRPr="005C6615">
        <w:rPr>
          <w:rFonts w:eastAsia="Times New Roman" w:cs="Times New Roman"/>
          <w:b/>
          <w:bCs/>
          <w:szCs w:val="24"/>
          <w:lang w:val="es-CO" w:eastAsia="es-ES"/>
        </w:rPr>
        <w:t>SALA DE LO CONTENCIOSO ADMINISTRATIVO</w:t>
      </w:r>
      <w:bookmarkStart w:id="1" w:name="_30j0zll"/>
      <w:bookmarkEnd w:id="1"/>
    </w:p>
    <w:p w:rsidR="005C6615" w:rsidRPr="005C6615" w:rsidRDefault="005C6615" w:rsidP="005C6615">
      <w:pPr>
        <w:spacing w:line="240" w:lineRule="auto"/>
        <w:jc w:val="center"/>
        <w:rPr>
          <w:rFonts w:eastAsia="Times New Roman" w:cs="Times New Roman"/>
          <w:szCs w:val="24"/>
          <w:lang w:eastAsia="es-ES"/>
        </w:rPr>
      </w:pPr>
      <w:r w:rsidRPr="005C6615">
        <w:rPr>
          <w:rFonts w:eastAsia="Times New Roman" w:cs="Times New Roman"/>
          <w:b/>
          <w:bCs/>
          <w:szCs w:val="24"/>
          <w:lang w:val="es-CO" w:eastAsia="es-ES"/>
        </w:rPr>
        <w:t>SECCIÓN CUARTA</w:t>
      </w:r>
    </w:p>
    <w:p w:rsidR="005C6615" w:rsidRPr="005C6615" w:rsidRDefault="005C6615" w:rsidP="005C6615">
      <w:pPr>
        <w:spacing w:line="240" w:lineRule="auto"/>
        <w:jc w:val="center"/>
        <w:rPr>
          <w:rFonts w:eastAsia="Times New Roman" w:cs="Times New Roman"/>
          <w:szCs w:val="24"/>
          <w:lang w:eastAsia="es-ES"/>
        </w:rPr>
      </w:pPr>
      <w:r w:rsidRPr="005C6615">
        <w:rPr>
          <w:rFonts w:eastAsia="Times New Roman" w:cs="Times New Roman"/>
          <w:b/>
          <w:bCs/>
          <w:szCs w:val="24"/>
          <w:lang w:val="es-CO" w:eastAsia="es-ES"/>
        </w:rPr>
        <w:t> </w:t>
      </w:r>
    </w:p>
    <w:p w:rsidR="005C6615" w:rsidRPr="005C6615" w:rsidRDefault="005C6615" w:rsidP="005C6615">
      <w:pPr>
        <w:spacing w:line="240" w:lineRule="auto"/>
        <w:jc w:val="center"/>
        <w:rPr>
          <w:rFonts w:eastAsia="Times New Roman" w:cs="Times New Roman"/>
          <w:szCs w:val="24"/>
          <w:lang w:eastAsia="es-ES"/>
        </w:rPr>
      </w:pPr>
      <w:r w:rsidRPr="005C6615">
        <w:rPr>
          <w:rFonts w:eastAsia="Times New Roman" w:cs="Times New Roman"/>
          <w:b/>
          <w:bCs/>
          <w:szCs w:val="24"/>
          <w:lang w:val="es-CO" w:eastAsia="es-ES"/>
        </w:rPr>
        <w:t>CONSEJERO PONENTE: JORGE OCTAVIO RAMÍREZ RAMÍREZ</w:t>
      </w:r>
      <w:bookmarkStart w:id="2" w:name="_GoBack"/>
      <w:bookmarkEnd w:id="2"/>
    </w:p>
    <w:p w:rsidR="005C6615" w:rsidRPr="005C6615" w:rsidRDefault="005C6615" w:rsidP="005C6615">
      <w:pPr>
        <w:spacing w:line="240" w:lineRule="auto"/>
        <w:jc w:val="center"/>
        <w:rPr>
          <w:rFonts w:eastAsia="Times New Roman" w:cs="Times New Roman"/>
          <w:szCs w:val="24"/>
          <w:lang w:eastAsia="es-ES"/>
        </w:rPr>
      </w:pPr>
      <w:bookmarkStart w:id="3" w:name="_1fob9te"/>
      <w:bookmarkEnd w:id="3"/>
      <w:r w:rsidRPr="005C6615">
        <w:rPr>
          <w:rFonts w:eastAsia="Times New Roman" w:cs="Times New Roman"/>
          <w:b/>
          <w:bCs/>
          <w:szCs w:val="24"/>
          <w:lang w:val="es-CO" w:eastAsia="es-ES"/>
        </w:rPr>
        <w:t>Bogotá D.C., veinticuatro (24) de febrero de dos mil veinte (2020)</w:t>
      </w:r>
    </w:p>
    <w:p w:rsidR="005C6615" w:rsidRPr="005C6615" w:rsidRDefault="005C6615" w:rsidP="005C6615">
      <w:pPr>
        <w:spacing w:line="240" w:lineRule="auto"/>
        <w:jc w:val="center"/>
        <w:rPr>
          <w:rFonts w:eastAsia="Times New Roman" w:cs="Times New Roman"/>
          <w:szCs w:val="24"/>
          <w:lang w:eastAsia="es-ES"/>
        </w:rPr>
      </w:pPr>
      <w:r w:rsidRPr="005C6615">
        <w:rPr>
          <w:rFonts w:eastAsia="Times New Roman" w:cs="Times New Roman"/>
          <w:b/>
          <w:bCs/>
          <w:szCs w:val="24"/>
          <w:lang w:val="es-CO" w:eastAsia="es-ES"/>
        </w:rPr>
        <w:t>Referencia: NULIDAD Y RESTABLECIMIENTO DEL DERECHO</w:t>
      </w:r>
    </w:p>
    <w:p w:rsidR="005C6615" w:rsidRPr="005C6615" w:rsidRDefault="005C6615" w:rsidP="005C6615">
      <w:pPr>
        <w:spacing w:line="240" w:lineRule="auto"/>
        <w:jc w:val="center"/>
        <w:rPr>
          <w:rFonts w:eastAsia="Times New Roman" w:cs="Times New Roman"/>
          <w:szCs w:val="24"/>
          <w:lang w:eastAsia="es-ES"/>
        </w:rPr>
      </w:pPr>
      <w:r w:rsidRPr="005C6615">
        <w:rPr>
          <w:rFonts w:eastAsia="Times New Roman" w:cs="Times New Roman"/>
          <w:b/>
          <w:bCs/>
          <w:szCs w:val="24"/>
          <w:lang w:val="es-CO" w:eastAsia="es-ES"/>
        </w:rPr>
        <w:t>Radicación: 05001-23-33-000-2019-01480-01 (25051)</w:t>
      </w:r>
    </w:p>
    <w:p w:rsidR="005C6615" w:rsidRPr="005C6615" w:rsidRDefault="005C6615" w:rsidP="005C6615">
      <w:pPr>
        <w:spacing w:line="240" w:lineRule="auto"/>
        <w:jc w:val="center"/>
        <w:rPr>
          <w:rFonts w:eastAsia="Times New Roman" w:cs="Times New Roman"/>
          <w:szCs w:val="24"/>
          <w:lang w:eastAsia="es-ES"/>
        </w:rPr>
      </w:pPr>
      <w:r w:rsidRPr="005C6615">
        <w:rPr>
          <w:rFonts w:eastAsia="Times New Roman" w:cs="Times New Roman"/>
          <w:b/>
          <w:bCs/>
          <w:szCs w:val="24"/>
          <w:lang w:val="es-CO" w:eastAsia="es-ES"/>
        </w:rPr>
        <w:t>Demandante: IMBOCAR S.A.S</w:t>
      </w:r>
    </w:p>
    <w:p w:rsidR="005C6615" w:rsidRPr="005C6615" w:rsidRDefault="005C6615" w:rsidP="005C6615">
      <w:pPr>
        <w:spacing w:line="240" w:lineRule="auto"/>
        <w:jc w:val="center"/>
        <w:rPr>
          <w:rFonts w:eastAsia="Times New Roman" w:cs="Times New Roman"/>
          <w:szCs w:val="24"/>
          <w:lang w:eastAsia="es-ES"/>
        </w:rPr>
      </w:pPr>
      <w:r w:rsidRPr="005C6615">
        <w:rPr>
          <w:rFonts w:eastAsia="Times New Roman" w:cs="Times New Roman"/>
          <w:b/>
          <w:bCs/>
          <w:szCs w:val="24"/>
          <w:lang w:val="es-CO" w:eastAsia="es-ES"/>
        </w:rPr>
        <w:t>Demandado: UNIDAD ADMINISTRATIVA ESPECIAL DE GESTIÓN PENSIONAL Y CONTRIBUCIONES PARAFISCALES DE LA PROTECCIÓN SOCIAL – UGPP</w:t>
      </w:r>
    </w:p>
    <w:p w:rsidR="005C6615" w:rsidRPr="005C6615" w:rsidRDefault="005C6615" w:rsidP="005C6615">
      <w:pPr>
        <w:spacing w:line="240" w:lineRule="auto"/>
        <w:jc w:val="center"/>
        <w:rPr>
          <w:rFonts w:eastAsia="Times New Roman" w:cs="Times New Roman"/>
          <w:szCs w:val="24"/>
          <w:lang w:eastAsia="es-ES"/>
        </w:rPr>
      </w:pPr>
      <w:r w:rsidRPr="005C6615">
        <w:rPr>
          <w:rFonts w:eastAsia="Times New Roman" w:cs="Times New Roman"/>
          <w:b/>
          <w:bCs/>
          <w:szCs w:val="24"/>
          <w:lang w:val="es-CO" w:eastAsia="es-ES"/>
        </w:rPr>
        <w:t>Temas: Resuelve conflicto de competencia</w:t>
      </w:r>
    </w:p>
    <w:p w:rsidR="005C6615" w:rsidRPr="005C6615" w:rsidRDefault="005C6615" w:rsidP="005C6615">
      <w:pPr>
        <w:spacing w:line="240" w:lineRule="auto"/>
        <w:jc w:val="center"/>
        <w:rPr>
          <w:rFonts w:eastAsia="Times New Roman" w:cs="Times New Roman"/>
          <w:szCs w:val="24"/>
          <w:lang w:eastAsia="es-ES"/>
        </w:rPr>
      </w:pPr>
      <w:r w:rsidRPr="005C6615">
        <w:rPr>
          <w:rFonts w:eastAsia="Times New Roman" w:cs="Times New Roman"/>
          <w:b/>
          <w:bCs/>
          <w:szCs w:val="24"/>
          <w:lang w:val="es-CO" w:eastAsia="es-ES"/>
        </w:rPr>
        <w:t> </w:t>
      </w:r>
    </w:p>
    <w:p w:rsidR="005C6615" w:rsidRPr="005C6615" w:rsidRDefault="005C6615" w:rsidP="005C6615">
      <w:pPr>
        <w:spacing w:line="240" w:lineRule="auto"/>
        <w:jc w:val="center"/>
        <w:rPr>
          <w:rFonts w:eastAsia="Times New Roman" w:cs="Times New Roman"/>
          <w:szCs w:val="24"/>
          <w:lang w:eastAsia="es-ES"/>
        </w:rPr>
      </w:pPr>
      <w:r w:rsidRPr="005C6615">
        <w:rPr>
          <w:rFonts w:eastAsia="Times New Roman" w:cs="Times New Roman"/>
          <w:b/>
          <w:bCs/>
          <w:szCs w:val="24"/>
          <w:lang w:val="es-CO" w:eastAsia="es-ES"/>
        </w:rPr>
        <w:t>AUTO INTERLOCUTORIO</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Se decide el conflicto de competencia negativo, surgido entre el Tribunal Administrativo de Cundinamarca – Sección Cuarta – Subsección B y el Tribunal Administrativo de Antioquia – Sala Segunda de Oralidad.</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jc w:val="center"/>
        <w:rPr>
          <w:rFonts w:eastAsia="Times New Roman" w:cs="Times New Roman"/>
          <w:szCs w:val="24"/>
          <w:lang w:eastAsia="es-ES"/>
        </w:rPr>
      </w:pPr>
      <w:r w:rsidRPr="005C6615">
        <w:rPr>
          <w:rFonts w:eastAsia="Times New Roman" w:cs="Times New Roman"/>
          <w:b/>
          <w:bCs/>
          <w:szCs w:val="24"/>
          <w:lang w:val="es-CO" w:eastAsia="es-ES"/>
        </w:rPr>
        <w:t>ANTECEDENTES</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b/>
          <w:bCs/>
          <w:szCs w:val="24"/>
          <w:lang w:val="es-CO" w:eastAsia="es-ES"/>
        </w:rPr>
        <w:t>1.</w:t>
      </w:r>
      <w:r w:rsidRPr="005C6615">
        <w:rPr>
          <w:rFonts w:eastAsia="Times New Roman" w:cs="Times New Roman"/>
          <w:szCs w:val="24"/>
          <w:lang w:val="es-CO" w:eastAsia="es-ES"/>
        </w:rPr>
        <w:t> </w:t>
      </w:r>
      <w:proofErr w:type="spellStart"/>
      <w:r w:rsidRPr="005C6615">
        <w:rPr>
          <w:rFonts w:eastAsia="Times New Roman" w:cs="Times New Roman"/>
          <w:szCs w:val="24"/>
          <w:lang w:val="es-CO" w:eastAsia="es-ES"/>
        </w:rPr>
        <w:t>Imbocar</w:t>
      </w:r>
      <w:proofErr w:type="spellEnd"/>
      <w:r w:rsidRPr="005C6615">
        <w:rPr>
          <w:rFonts w:eastAsia="Times New Roman" w:cs="Times New Roman"/>
          <w:szCs w:val="24"/>
          <w:lang w:val="es-CO" w:eastAsia="es-ES"/>
        </w:rPr>
        <w:t xml:space="preserve"> S.A.S., por medio de apoderado, en ejercicio del medio de control de nulidad y restablecimiento del derecho, presentó ante el Tribunal Administrativo de Cundinamarca demanda contra la UGPP, para que se declare la nulidad de la Liquidación Oficial No. RDO-781 del 18 de septiembre de 2015, proferida por la Subdirección de Determinación de Obligaciones de la Unidad Administrativa Especial de Gestión Pensional y Contribuciones Parafiscales de la Protección Social y la Resolución No. RDC-563 del 16 de septiembre de 2016, por medio de la cual la Dirección de Parafiscales de la UGPP resolvió recurso de reconsideración.</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Proceso que fue admitido mediante auto del 30 de marzo de 2017</w:t>
      </w:r>
      <w:bookmarkStart w:id="4" w:name="_ftnref1"/>
      <w:r w:rsidRPr="005C6615">
        <w:rPr>
          <w:rFonts w:eastAsia="Times New Roman" w:cs="Times New Roman"/>
          <w:szCs w:val="24"/>
          <w:lang w:val="es-CO" w:eastAsia="es-ES"/>
        </w:rPr>
        <w:fldChar w:fldCharType="begin"/>
      </w:r>
      <w:r w:rsidRPr="005C6615">
        <w:rPr>
          <w:rFonts w:eastAsia="Times New Roman" w:cs="Times New Roman"/>
          <w:szCs w:val="24"/>
          <w:lang w:val="es-CO" w:eastAsia="es-ES"/>
        </w:rPr>
        <w:instrText xml:space="preserve"> HYPERLINK "https://www.ceta.org.co/html/vista_de_un_documento.asp?DocumentoID=38468" \l "_ftn1" \o "" </w:instrText>
      </w:r>
      <w:r w:rsidRPr="005C6615">
        <w:rPr>
          <w:rFonts w:eastAsia="Times New Roman" w:cs="Times New Roman"/>
          <w:szCs w:val="24"/>
          <w:lang w:val="es-CO" w:eastAsia="es-ES"/>
        </w:rPr>
        <w:fldChar w:fldCharType="separate"/>
      </w:r>
      <w:r w:rsidRPr="005C6615">
        <w:rPr>
          <w:rFonts w:eastAsia="Times New Roman" w:cs="Times New Roman"/>
          <w:szCs w:val="24"/>
          <w:lang w:val="es-CO" w:eastAsia="es-ES"/>
        </w:rPr>
        <w:t>[1]</w:t>
      </w:r>
      <w:r w:rsidRPr="005C6615">
        <w:rPr>
          <w:rFonts w:eastAsia="Times New Roman" w:cs="Times New Roman"/>
          <w:szCs w:val="24"/>
          <w:lang w:val="es-CO" w:eastAsia="es-ES"/>
        </w:rPr>
        <w:fldChar w:fldCharType="end"/>
      </w:r>
      <w:bookmarkEnd w:id="4"/>
      <w:r w:rsidRPr="005C6615">
        <w:rPr>
          <w:rFonts w:eastAsia="Times New Roman" w:cs="Times New Roman"/>
          <w:szCs w:val="24"/>
          <w:lang w:val="es-CO" w:eastAsia="es-ES"/>
        </w:rPr>
        <w:t> por el Tribunal Administrativo de Cundinamarca – Sección Cuarta – Subsección B.</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b/>
          <w:bCs/>
          <w:szCs w:val="24"/>
          <w:lang w:val="es-CO" w:eastAsia="es-ES"/>
        </w:rPr>
        <w:t>2.</w:t>
      </w:r>
      <w:r w:rsidRPr="005C6615">
        <w:rPr>
          <w:rFonts w:eastAsia="Times New Roman" w:cs="Times New Roman"/>
          <w:szCs w:val="24"/>
          <w:lang w:val="es-CO" w:eastAsia="es-ES"/>
        </w:rPr>
        <w:t> Mediante providencia del 31 de enero de 2019 (fls.222 a 224) el Tribunal Administrativo de Cundinamarca – Sección Cuarta – Subsección B consideró que “si se tiene en cuenta que el domicilio fiscal de la parte actora (contribuyente) es la ciudad de Medellín, es en esa jurisdicción territorial donde presentaron y/o debieron presentarse las declaraciones mensuales de aportes parafiscales”. Por lo tanto, declaró la falta de competencia y dispuso remitir el expediente al Tribunal Administrativo de Antioquia, que estimó era competente para conocer el asunto.</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Contra la anterior providencia la demandante presentó recurso de reposición, el cual fue resuelto por el Tribunal Administrativo de Cundinamarca mediante auto del 21 de marzo de 2019</w:t>
      </w:r>
      <w:bookmarkStart w:id="5" w:name="_ftnref2"/>
      <w:r w:rsidRPr="005C6615">
        <w:rPr>
          <w:rFonts w:eastAsia="Times New Roman" w:cs="Times New Roman"/>
          <w:szCs w:val="24"/>
          <w:lang w:val="es-CO" w:eastAsia="es-ES"/>
        </w:rPr>
        <w:fldChar w:fldCharType="begin"/>
      </w:r>
      <w:r w:rsidRPr="005C6615">
        <w:rPr>
          <w:rFonts w:eastAsia="Times New Roman" w:cs="Times New Roman"/>
          <w:szCs w:val="24"/>
          <w:lang w:val="es-CO" w:eastAsia="es-ES"/>
        </w:rPr>
        <w:instrText xml:space="preserve"> HYPERLINK "https://www.ceta.org.co/html/vista_de_un_documento.asp?DocumentoID=38468" \l "_ftn2" \o "" </w:instrText>
      </w:r>
      <w:r w:rsidRPr="005C6615">
        <w:rPr>
          <w:rFonts w:eastAsia="Times New Roman" w:cs="Times New Roman"/>
          <w:szCs w:val="24"/>
          <w:lang w:val="es-CO" w:eastAsia="es-ES"/>
        </w:rPr>
        <w:fldChar w:fldCharType="separate"/>
      </w:r>
      <w:r w:rsidRPr="005C6615">
        <w:rPr>
          <w:rFonts w:eastAsia="Times New Roman" w:cs="Times New Roman"/>
          <w:szCs w:val="24"/>
          <w:lang w:val="es-CO" w:eastAsia="es-ES"/>
        </w:rPr>
        <w:t>[2]</w:t>
      </w:r>
      <w:r w:rsidRPr="005C6615">
        <w:rPr>
          <w:rFonts w:eastAsia="Times New Roman" w:cs="Times New Roman"/>
          <w:szCs w:val="24"/>
          <w:lang w:val="es-CO" w:eastAsia="es-ES"/>
        </w:rPr>
        <w:fldChar w:fldCharType="end"/>
      </w:r>
      <w:bookmarkEnd w:id="5"/>
      <w:r w:rsidRPr="005C6615">
        <w:rPr>
          <w:rFonts w:eastAsia="Times New Roman" w:cs="Times New Roman"/>
          <w:szCs w:val="24"/>
          <w:lang w:val="es-CO" w:eastAsia="es-ES"/>
        </w:rPr>
        <w:t>, en el que se decide no reponer.</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b/>
          <w:bCs/>
          <w:szCs w:val="24"/>
          <w:lang w:val="es-CO" w:eastAsia="es-ES"/>
        </w:rPr>
        <w:t>3.</w:t>
      </w:r>
      <w:r w:rsidRPr="005C6615">
        <w:rPr>
          <w:rFonts w:eastAsia="Times New Roman" w:cs="Times New Roman"/>
          <w:szCs w:val="24"/>
          <w:lang w:val="es-CO" w:eastAsia="es-ES"/>
        </w:rPr>
        <w:t> Mediante providencia del 12 de septiembre de 2019 (fls.257 a 260), el Tribunal Administrativo de Antioquia – Sala Segunda de Oralidad, declaró que no era el competente para conocer del presente caso, sino el Tribunal Administrativo de Cundinamarca porque, (i) en primer lugar, fue en la ciudad de Bogotá donde se profirió la Liquidación Oficial y la Resolución que la confirmó, y (</w:t>
      </w:r>
      <w:proofErr w:type="spellStart"/>
      <w:r w:rsidRPr="005C6615">
        <w:rPr>
          <w:rFonts w:eastAsia="Times New Roman" w:cs="Times New Roman"/>
          <w:szCs w:val="24"/>
          <w:lang w:val="es-CO" w:eastAsia="es-ES"/>
        </w:rPr>
        <w:t>ii</w:t>
      </w:r>
      <w:proofErr w:type="spellEnd"/>
      <w:r w:rsidRPr="005C6615">
        <w:rPr>
          <w:rFonts w:eastAsia="Times New Roman" w:cs="Times New Roman"/>
          <w:szCs w:val="24"/>
          <w:lang w:val="es-CO" w:eastAsia="es-ES"/>
        </w:rPr>
        <w:t>) en segundo lugar, se trabo la litis y las partes no alegaron la falta de competencia “por lo que la competencia quedó radicada en cabeza del juez que inició su conocimiento”. Lo anterior, porque la falta de competencia por factores distintos del subjetivo y funcional, es prorrogable cuando no se reclame en tiempo, de conformidad con el artículo 16 del CGP.</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lastRenderedPageBreak/>
        <w:t>Motivo por el cual, remitió el expediente al Consejo de Estado para que definiera el conflicto de competencia negativo.</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b/>
          <w:bCs/>
          <w:szCs w:val="24"/>
          <w:lang w:val="es-CO" w:eastAsia="es-ES"/>
        </w:rPr>
        <w:t>4.</w:t>
      </w:r>
      <w:r w:rsidRPr="005C6615">
        <w:rPr>
          <w:rFonts w:eastAsia="Times New Roman" w:cs="Times New Roman"/>
          <w:szCs w:val="24"/>
          <w:lang w:val="es-CO" w:eastAsia="es-ES"/>
        </w:rPr>
        <w:t>  Una vez recibido el proceso en esta Corporación, mediante proveído del 9 de diciembre de 2019 se ordenó correr traslado a las partes para que presentaran sus alegatos, según lo dispuesto en el artículo 158 del CPACA (fl.267).</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jc w:val="center"/>
        <w:rPr>
          <w:rFonts w:eastAsia="Times New Roman" w:cs="Times New Roman"/>
          <w:szCs w:val="24"/>
          <w:lang w:eastAsia="es-ES"/>
        </w:rPr>
      </w:pPr>
      <w:r w:rsidRPr="005C6615">
        <w:rPr>
          <w:rFonts w:eastAsia="Times New Roman" w:cs="Times New Roman"/>
          <w:b/>
          <w:bCs/>
          <w:szCs w:val="24"/>
          <w:lang w:val="es-CO" w:eastAsia="es-ES"/>
        </w:rPr>
        <w:t>CONSIDERACIONES</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1. El conflicto de competencia suscitado entre los dos Tribunales se centra en que, el Tribunal Administrativo de Cundinamarca considera que la competencia, por razón del territorio, se determina en este asunto por el lugar donde se presentó o debieron presentar las declaraciones, en este caso, la ciudad de Medellín; entre tanto, el Tribunal Administrativo de Antioquia, estima que el competente es el Juez que admitió y conoció inicialmente del proceso, es decir, el Tribunal Administrativo de Cundinamarca.</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2. Como en el presente caso se trata de un tributo, la norma expresamente aplicable para determinar la competencia territorial es el numeral 7 del artículo 156 del CPACA, que dispone:</w:t>
      </w:r>
      <w:bookmarkStart w:id="6" w:name="3znysh7"/>
      <w:bookmarkEnd w:id="6"/>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ind w:left="284"/>
        <w:rPr>
          <w:rFonts w:eastAsia="Times New Roman" w:cs="Times New Roman"/>
          <w:szCs w:val="24"/>
          <w:lang w:eastAsia="es-ES"/>
        </w:rPr>
      </w:pPr>
      <w:r w:rsidRPr="005C6615">
        <w:rPr>
          <w:rFonts w:eastAsia="Times New Roman" w:cs="Times New Roman"/>
          <w:i/>
          <w:iCs/>
          <w:szCs w:val="24"/>
          <w:lang w:val="es-CO" w:eastAsia="es-ES"/>
        </w:rPr>
        <w:t>“</w:t>
      </w:r>
      <w:r w:rsidRPr="005C6615">
        <w:rPr>
          <w:rFonts w:eastAsia="Times New Roman" w:cs="Times New Roman"/>
          <w:b/>
          <w:bCs/>
          <w:i/>
          <w:iCs/>
          <w:szCs w:val="24"/>
          <w:lang w:val="es-CO" w:eastAsia="es-ES"/>
        </w:rPr>
        <w:t>ARTÍCULO 156. COMPETENCIA POR RAZÓN DEL TERRITORIO.</w:t>
      </w:r>
      <w:r w:rsidRPr="005C6615">
        <w:rPr>
          <w:rFonts w:eastAsia="Times New Roman" w:cs="Times New Roman"/>
          <w:i/>
          <w:iCs/>
          <w:szCs w:val="24"/>
          <w:lang w:val="es-CO" w:eastAsia="es-ES"/>
        </w:rPr>
        <w:t> Para la determinación de la competencia por razón del territorio, se observarán las siguientes reglas:</w:t>
      </w:r>
    </w:p>
    <w:p w:rsidR="005C6615" w:rsidRPr="005C6615" w:rsidRDefault="005C6615" w:rsidP="005C6615">
      <w:pPr>
        <w:spacing w:line="240" w:lineRule="auto"/>
        <w:ind w:left="284"/>
        <w:rPr>
          <w:rFonts w:eastAsia="Times New Roman" w:cs="Times New Roman"/>
          <w:szCs w:val="24"/>
          <w:lang w:eastAsia="es-ES"/>
        </w:rPr>
      </w:pPr>
      <w:r w:rsidRPr="005C6615">
        <w:rPr>
          <w:rFonts w:eastAsia="Times New Roman" w:cs="Times New Roman"/>
          <w:i/>
          <w:iCs/>
          <w:szCs w:val="24"/>
          <w:lang w:val="es-CO" w:eastAsia="es-ES"/>
        </w:rPr>
        <w:t>(…)</w:t>
      </w:r>
    </w:p>
    <w:p w:rsidR="005C6615" w:rsidRPr="005C6615" w:rsidRDefault="005C6615" w:rsidP="005C6615">
      <w:pPr>
        <w:spacing w:line="240" w:lineRule="auto"/>
        <w:ind w:left="284"/>
        <w:rPr>
          <w:rFonts w:eastAsia="Times New Roman" w:cs="Times New Roman"/>
          <w:szCs w:val="24"/>
          <w:lang w:eastAsia="es-ES"/>
        </w:rPr>
      </w:pPr>
      <w:r w:rsidRPr="005C6615">
        <w:rPr>
          <w:rFonts w:eastAsia="Times New Roman" w:cs="Times New Roman"/>
          <w:i/>
          <w:iCs/>
          <w:szCs w:val="24"/>
          <w:lang w:val="es-CO" w:eastAsia="es-ES"/>
        </w:rPr>
        <w:t>7. En los que se promuevan sobre el monto, distribución o asignación de impuestos, tasas y contribuciones nacionales, departamentales, municipales o distritales, se determinará por el lugar donde se presentó o debió presentarse la declaración, en los casos en que esta proceda; en los demás casos, donde se practicó la liquidación.”</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De esa norma se establece que la competencia por el factor territorial en materia tributaria se determina por el lugar donde se presentó o debió presentarse la declaración, en los casos en que esta proceda. En los demás casos, donde se practicó la liquidación.</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De conformidad con el artículo 7 del Decreto 3033 de 2013</w:t>
      </w:r>
      <w:bookmarkStart w:id="7" w:name="_ftnref3"/>
      <w:r w:rsidRPr="005C6615">
        <w:rPr>
          <w:rFonts w:eastAsia="Times New Roman" w:cs="Times New Roman"/>
          <w:szCs w:val="24"/>
          <w:lang w:val="es-CO" w:eastAsia="es-ES"/>
        </w:rPr>
        <w:fldChar w:fldCharType="begin"/>
      </w:r>
      <w:r w:rsidRPr="005C6615">
        <w:rPr>
          <w:rFonts w:eastAsia="Times New Roman" w:cs="Times New Roman"/>
          <w:szCs w:val="24"/>
          <w:lang w:val="es-CO" w:eastAsia="es-ES"/>
        </w:rPr>
        <w:instrText xml:space="preserve"> HYPERLINK "https://www.ceta.org.co/html/vista_de_un_documento.asp?DocumentoID=38468" \l "_ftn3" \o "" </w:instrText>
      </w:r>
      <w:r w:rsidRPr="005C6615">
        <w:rPr>
          <w:rFonts w:eastAsia="Times New Roman" w:cs="Times New Roman"/>
          <w:szCs w:val="24"/>
          <w:lang w:val="es-CO" w:eastAsia="es-ES"/>
        </w:rPr>
        <w:fldChar w:fldCharType="separate"/>
      </w:r>
      <w:r w:rsidRPr="005C6615">
        <w:rPr>
          <w:rFonts w:eastAsia="Times New Roman" w:cs="Times New Roman"/>
          <w:szCs w:val="24"/>
          <w:lang w:val="es-CO" w:eastAsia="es-ES"/>
        </w:rPr>
        <w:t>[3]</w:t>
      </w:r>
      <w:r w:rsidRPr="005C6615">
        <w:rPr>
          <w:rFonts w:eastAsia="Times New Roman" w:cs="Times New Roman"/>
          <w:szCs w:val="24"/>
          <w:lang w:val="es-CO" w:eastAsia="es-ES"/>
        </w:rPr>
        <w:fldChar w:fldCharType="end"/>
      </w:r>
      <w:bookmarkEnd w:id="7"/>
      <w:r w:rsidRPr="005C6615">
        <w:rPr>
          <w:rFonts w:eastAsia="Times New Roman" w:cs="Times New Roman"/>
          <w:szCs w:val="24"/>
          <w:lang w:val="es-CO" w:eastAsia="es-ES"/>
        </w:rPr>
        <w:t xml:space="preserve">, la declaración tributaria para las autoliquidaciones y pagos de los aportes al sistema de protección social, corresponde a la Planilla Integrada de Liquidación de Aportes –PILA-. El artículo 3º del Decreto 3667 de 2004 señala que la presentación de la planilla puede efectuarse de forma física o a través de medios electrónicos y, </w:t>
      </w:r>
      <w:proofErr w:type="gramStart"/>
      <w:r w:rsidRPr="005C6615">
        <w:rPr>
          <w:rFonts w:eastAsia="Times New Roman" w:cs="Times New Roman"/>
          <w:szCs w:val="24"/>
          <w:lang w:val="es-CO" w:eastAsia="es-ES"/>
        </w:rPr>
        <w:t>que</w:t>
      </w:r>
      <w:proofErr w:type="gramEnd"/>
      <w:r w:rsidRPr="005C6615">
        <w:rPr>
          <w:rFonts w:eastAsia="Times New Roman" w:cs="Times New Roman"/>
          <w:szCs w:val="24"/>
          <w:lang w:val="es-CO" w:eastAsia="es-ES"/>
        </w:rPr>
        <w:t xml:space="preserve"> en este último caso, debe ajustarse a lo dispuesto por la Ley 527 de 1999.</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El artículo 25 de la Ley 527 de 1999</w:t>
      </w:r>
      <w:bookmarkStart w:id="8" w:name="_ftnref4"/>
      <w:r w:rsidRPr="005C6615">
        <w:rPr>
          <w:rFonts w:eastAsia="Times New Roman" w:cs="Times New Roman"/>
          <w:szCs w:val="24"/>
          <w:lang w:val="es-CO" w:eastAsia="es-ES"/>
        </w:rPr>
        <w:fldChar w:fldCharType="begin"/>
      </w:r>
      <w:r w:rsidRPr="005C6615">
        <w:rPr>
          <w:rFonts w:eastAsia="Times New Roman" w:cs="Times New Roman"/>
          <w:szCs w:val="24"/>
          <w:lang w:val="es-CO" w:eastAsia="es-ES"/>
        </w:rPr>
        <w:instrText xml:space="preserve"> HYPERLINK "https://www.ceta.org.co/html/vista_de_un_documento.asp?DocumentoID=38468" \l "_ftn4" \o "" </w:instrText>
      </w:r>
      <w:r w:rsidRPr="005C6615">
        <w:rPr>
          <w:rFonts w:eastAsia="Times New Roman" w:cs="Times New Roman"/>
          <w:szCs w:val="24"/>
          <w:lang w:val="es-CO" w:eastAsia="es-ES"/>
        </w:rPr>
        <w:fldChar w:fldCharType="separate"/>
      </w:r>
      <w:r w:rsidRPr="005C6615">
        <w:rPr>
          <w:rFonts w:eastAsia="Times New Roman" w:cs="Times New Roman"/>
          <w:szCs w:val="24"/>
          <w:lang w:val="es-CO" w:eastAsia="es-ES"/>
        </w:rPr>
        <w:t>[4]</w:t>
      </w:r>
      <w:r w:rsidRPr="005C6615">
        <w:rPr>
          <w:rFonts w:eastAsia="Times New Roman" w:cs="Times New Roman"/>
          <w:szCs w:val="24"/>
          <w:lang w:val="es-CO" w:eastAsia="es-ES"/>
        </w:rPr>
        <w:fldChar w:fldCharType="end"/>
      </w:r>
      <w:bookmarkEnd w:id="8"/>
      <w:r w:rsidRPr="005C6615">
        <w:rPr>
          <w:rFonts w:eastAsia="Times New Roman" w:cs="Times New Roman"/>
          <w:szCs w:val="24"/>
          <w:lang w:val="es-CO" w:eastAsia="es-ES"/>
        </w:rPr>
        <w:t> dispone que el mensaje de datos se tiene por expedido en el lugar donde el iniciador tenga su establecimiento y por recibo en el lugar donde el destinatario tenga el suyo.</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Establecido lo anterior, se observa que la UGPP en el procedimiento de fiscalización revisó las declaraciones presentadas por el contribuyente a través de la Planilla Integrada de Liquidación de Aportes (PILA)</w:t>
      </w:r>
      <w:bookmarkStart w:id="9" w:name="_ftnref5"/>
      <w:r w:rsidRPr="005C6615">
        <w:rPr>
          <w:rFonts w:eastAsia="Times New Roman" w:cs="Times New Roman"/>
          <w:szCs w:val="24"/>
          <w:lang w:val="es-CO" w:eastAsia="es-ES"/>
        </w:rPr>
        <w:fldChar w:fldCharType="begin"/>
      </w:r>
      <w:r w:rsidRPr="005C6615">
        <w:rPr>
          <w:rFonts w:eastAsia="Times New Roman" w:cs="Times New Roman"/>
          <w:szCs w:val="24"/>
          <w:lang w:val="es-CO" w:eastAsia="es-ES"/>
        </w:rPr>
        <w:instrText xml:space="preserve"> HYPERLINK "https://www.ceta.org.co/html/vista_de_un_documento.asp?DocumentoID=38468" \l "_ftn5" \o "" </w:instrText>
      </w:r>
      <w:r w:rsidRPr="005C6615">
        <w:rPr>
          <w:rFonts w:eastAsia="Times New Roman" w:cs="Times New Roman"/>
          <w:szCs w:val="24"/>
          <w:lang w:val="es-CO" w:eastAsia="es-ES"/>
        </w:rPr>
        <w:fldChar w:fldCharType="separate"/>
      </w:r>
      <w:r w:rsidRPr="005C6615">
        <w:rPr>
          <w:rFonts w:eastAsia="Times New Roman" w:cs="Times New Roman"/>
          <w:szCs w:val="24"/>
          <w:lang w:val="es-CO" w:eastAsia="es-ES"/>
        </w:rPr>
        <w:t>[5]</w:t>
      </w:r>
      <w:r w:rsidRPr="005C6615">
        <w:rPr>
          <w:rFonts w:eastAsia="Times New Roman" w:cs="Times New Roman"/>
          <w:szCs w:val="24"/>
          <w:lang w:val="es-CO" w:eastAsia="es-ES"/>
        </w:rPr>
        <w:fldChar w:fldCharType="end"/>
      </w:r>
      <w:bookmarkEnd w:id="9"/>
      <w:r w:rsidRPr="005C6615">
        <w:rPr>
          <w:rFonts w:eastAsia="Times New Roman" w:cs="Times New Roman"/>
          <w:szCs w:val="24"/>
          <w:lang w:val="es-CO" w:eastAsia="es-ES"/>
        </w:rPr>
        <w:t>.</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Así las cosas, toda vez que la demandante tiene su domicilio en Medellín</w:t>
      </w:r>
      <w:bookmarkStart w:id="10" w:name="_ftnref6"/>
      <w:r w:rsidRPr="005C6615">
        <w:rPr>
          <w:rFonts w:eastAsia="Times New Roman" w:cs="Times New Roman"/>
          <w:szCs w:val="24"/>
          <w:lang w:val="es-CO" w:eastAsia="es-ES"/>
        </w:rPr>
        <w:fldChar w:fldCharType="begin"/>
      </w:r>
      <w:r w:rsidRPr="005C6615">
        <w:rPr>
          <w:rFonts w:eastAsia="Times New Roman" w:cs="Times New Roman"/>
          <w:szCs w:val="24"/>
          <w:lang w:val="es-CO" w:eastAsia="es-ES"/>
        </w:rPr>
        <w:instrText xml:space="preserve"> HYPERLINK "https://www.ceta.org.co/html/vista_de_un_documento.asp?DocumentoID=38468" \l "_ftn6" \o "" </w:instrText>
      </w:r>
      <w:r w:rsidRPr="005C6615">
        <w:rPr>
          <w:rFonts w:eastAsia="Times New Roman" w:cs="Times New Roman"/>
          <w:szCs w:val="24"/>
          <w:lang w:val="es-CO" w:eastAsia="es-ES"/>
        </w:rPr>
        <w:fldChar w:fldCharType="separate"/>
      </w:r>
      <w:r w:rsidRPr="005C6615">
        <w:rPr>
          <w:rFonts w:eastAsia="Times New Roman" w:cs="Times New Roman"/>
          <w:szCs w:val="24"/>
          <w:lang w:val="es-CO" w:eastAsia="es-ES"/>
        </w:rPr>
        <w:t>[6]</w:t>
      </w:r>
      <w:r w:rsidRPr="005C6615">
        <w:rPr>
          <w:rFonts w:eastAsia="Times New Roman" w:cs="Times New Roman"/>
          <w:szCs w:val="24"/>
          <w:lang w:val="es-CO" w:eastAsia="es-ES"/>
        </w:rPr>
        <w:fldChar w:fldCharType="end"/>
      </w:r>
      <w:bookmarkEnd w:id="10"/>
      <w:r w:rsidRPr="005C6615">
        <w:rPr>
          <w:rFonts w:eastAsia="Times New Roman" w:cs="Times New Roman"/>
          <w:szCs w:val="24"/>
          <w:lang w:val="es-CO" w:eastAsia="es-ES"/>
        </w:rPr>
        <w:t>, se concluye que las declaraciones presentadas en forma electrónica, fueron expedidas desde esa ciudad según el artículo 25 de la Ley 527 de 1999</w:t>
      </w:r>
      <w:bookmarkStart w:id="11" w:name="_ftnref7"/>
      <w:r w:rsidRPr="005C6615">
        <w:rPr>
          <w:rFonts w:eastAsia="Times New Roman" w:cs="Times New Roman"/>
          <w:szCs w:val="24"/>
          <w:lang w:val="es-CO" w:eastAsia="es-ES"/>
        </w:rPr>
        <w:fldChar w:fldCharType="begin"/>
      </w:r>
      <w:r w:rsidRPr="005C6615">
        <w:rPr>
          <w:rFonts w:eastAsia="Times New Roman" w:cs="Times New Roman"/>
          <w:szCs w:val="24"/>
          <w:lang w:val="es-CO" w:eastAsia="es-ES"/>
        </w:rPr>
        <w:instrText xml:space="preserve"> HYPERLINK "https://www.ceta.org.co/html/vista_de_un_documento.asp?DocumentoID=38468" \l "_ftn7" \o "" </w:instrText>
      </w:r>
      <w:r w:rsidRPr="005C6615">
        <w:rPr>
          <w:rFonts w:eastAsia="Times New Roman" w:cs="Times New Roman"/>
          <w:szCs w:val="24"/>
          <w:lang w:val="es-CO" w:eastAsia="es-ES"/>
        </w:rPr>
        <w:fldChar w:fldCharType="separate"/>
      </w:r>
      <w:r w:rsidRPr="005C6615">
        <w:rPr>
          <w:rFonts w:eastAsia="Times New Roman" w:cs="Times New Roman"/>
          <w:szCs w:val="24"/>
          <w:lang w:val="es-CO" w:eastAsia="es-ES"/>
        </w:rPr>
        <w:t>[7]</w:t>
      </w:r>
      <w:r w:rsidRPr="005C6615">
        <w:rPr>
          <w:rFonts w:eastAsia="Times New Roman" w:cs="Times New Roman"/>
          <w:szCs w:val="24"/>
          <w:lang w:val="es-CO" w:eastAsia="es-ES"/>
        </w:rPr>
        <w:fldChar w:fldCharType="end"/>
      </w:r>
      <w:bookmarkEnd w:id="11"/>
      <w:r w:rsidRPr="005C6615">
        <w:rPr>
          <w:rFonts w:eastAsia="Times New Roman" w:cs="Times New Roman"/>
          <w:szCs w:val="24"/>
          <w:lang w:val="es-CO" w:eastAsia="es-ES"/>
        </w:rPr>
        <w:t>.</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Por eso, la competencia por razón del territorio se determina por el lugar donde se presentó la declaración o debió presentarse la misma, esto es, la ciudad de Medellín.</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xml:space="preserve">Es cierto que en esta materia se aplica el principio de la </w:t>
      </w:r>
      <w:proofErr w:type="spellStart"/>
      <w:r w:rsidRPr="005C6615">
        <w:rPr>
          <w:rFonts w:eastAsia="Times New Roman" w:cs="Times New Roman"/>
          <w:szCs w:val="24"/>
          <w:lang w:val="es-CO" w:eastAsia="es-ES"/>
        </w:rPr>
        <w:t>prorrogabilidad</w:t>
      </w:r>
      <w:proofErr w:type="spellEnd"/>
      <w:r w:rsidRPr="005C6615">
        <w:rPr>
          <w:rFonts w:eastAsia="Times New Roman" w:cs="Times New Roman"/>
          <w:szCs w:val="24"/>
          <w:lang w:val="es-CO" w:eastAsia="es-ES"/>
        </w:rPr>
        <w:t xml:space="preserve"> de la competencia previsto en el artículo 16 del CGP respecto del factor territorial. Pero no es menos cierto que “reclamar en tiempo” la competencia por dicho factor supone que la oportunidad precluye celebrada la audiencia inicial, toda vez que en ella el juez de oficio puede declararla. Eso explica </w:t>
      </w:r>
      <w:proofErr w:type="gramStart"/>
      <w:r w:rsidRPr="005C6615">
        <w:rPr>
          <w:rFonts w:eastAsia="Times New Roman" w:cs="Times New Roman"/>
          <w:szCs w:val="24"/>
          <w:lang w:val="es-CO" w:eastAsia="es-ES"/>
        </w:rPr>
        <w:t>que</w:t>
      </w:r>
      <w:proofErr w:type="gramEnd"/>
      <w:r w:rsidRPr="005C6615">
        <w:rPr>
          <w:rFonts w:eastAsia="Times New Roman" w:cs="Times New Roman"/>
          <w:szCs w:val="24"/>
          <w:lang w:val="es-CO" w:eastAsia="es-ES"/>
        </w:rPr>
        <w:t xml:space="preserve"> atendiendo las circunstancias fácticas de este caso, se radique la competencia en el Tribunal Administrativo de Antioquia.</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lastRenderedPageBreak/>
        <w:t>3. Por lo anterior, el Tribunal Administrativo competente para conocer del medio de control de nulidad y restablecimiento del derecho de la referencia, es el de Antioquia, en concordancia con la regla de competencia territorial prevista en el numeral 7 del artículo 156 del CPACA, y la jurisprudencia de esta Corporación.</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En mérito de lo expuesto, el Despacho </w:t>
      </w:r>
      <w:r w:rsidRPr="005C6615">
        <w:rPr>
          <w:rFonts w:eastAsia="Times New Roman" w:cs="Times New Roman"/>
          <w:b/>
          <w:bCs/>
          <w:szCs w:val="24"/>
          <w:lang w:val="es-CO" w:eastAsia="es-ES"/>
        </w:rPr>
        <w:t>resuelve:</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b/>
          <w:bCs/>
          <w:szCs w:val="24"/>
          <w:lang w:val="es-CO" w:eastAsia="es-ES"/>
        </w:rPr>
        <w:t>1. Declarar </w:t>
      </w:r>
      <w:r w:rsidRPr="005C6615">
        <w:rPr>
          <w:rFonts w:eastAsia="Times New Roman" w:cs="Times New Roman"/>
          <w:szCs w:val="24"/>
          <w:lang w:val="es-CO" w:eastAsia="es-ES"/>
        </w:rPr>
        <w:t xml:space="preserve">que el competente para conocer del medio de control de nulidad y restablecimiento del derecho de la referencia, promovido por </w:t>
      </w:r>
      <w:proofErr w:type="spellStart"/>
      <w:r w:rsidRPr="005C6615">
        <w:rPr>
          <w:rFonts w:eastAsia="Times New Roman" w:cs="Times New Roman"/>
          <w:szCs w:val="24"/>
          <w:lang w:val="es-CO" w:eastAsia="es-ES"/>
        </w:rPr>
        <w:t>Imbocar</w:t>
      </w:r>
      <w:proofErr w:type="spellEnd"/>
      <w:r w:rsidRPr="005C6615">
        <w:rPr>
          <w:rFonts w:eastAsia="Times New Roman" w:cs="Times New Roman"/>
          <w:szCs w:val="24"/>
          <w:lang w:val="es-CO" w:eastAsia="es-ES"/>
        </w:rPr>
        <w:t xml:space="preserve"> S.A.S., es el Tribunal Administrativo de Antioquia – Sala Segunda de Oralidad.</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b/>
          <w:bCs/>
          <w:szCs w:val="24"/>
          <w:lang w:val="es-CO" w:eastAsia="es-ES"/>
        </w:rPr>
        <w:t>2.</w:t>
      </w:r>
      <w:r w:rsidRPr="005C6615">
        <w:rPr>
          <w:rFonts w:eastAsia="Times New Roman" w:cs="Times New Roman"/>
          <w:szCs w:val="24"/>
          <w:lang w:val="es-CO" w:eastAsia="es-ES"/>
        </w:rPr>
        <w:t> </w:t>
      </w:r>
      <w:r w:rsidRPr="005C6615">
        <w:rPr>
          <w:rFonts w:eastAsia="Times New Roman" w:cs="Times New Roman"/>
          <w:b/>
          <w:bCs/>
          <w:szCs w:val="24"/>
          <w:lang w:val="es-CO" w:eastAsia="es-ES"/>
        </w:rPr>
        <w:t>Remitir</w:t>
      </w:r>
      <w:r w:rsidRPr="005C6615">
        <w:rPr>
          <w:rFonts w:eastAsia="Times New Roman" w:cs="Times New Roman"/>
          <w:szCs w:val="24"/>
          <w:lang w:val="es-CO" w:eastAsia="es-ES"/>
        </w:rPr>
        <w:t> por Secretaría el expediente al Tribunal Administrativo de Antioquia – Sala Segunda de Oralidad, para lo de su cargo; y enviar copia de esta providencia al Tribunal Administrativo de Cundinamarca – Sección Cuarta – Subsección B, para su información.</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b/>
          <w:bCs/>
          <w:szCs w:val="24"/>
          <w:lang w:val="es-CO" w:eastAsia="es-ES"/>
        </w:rPr>
        <w:t>Notifíquese y cúmplase,</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b/>
          <w:bCs/>
          <w:szCs w:val="24"/>
          <w:lang w:val="es-CO" w:eastAsia="es-ES"/>
        </w:rPr>
        <w:t xml:space="preserve">JORGE OCTAVIO RAMÍREZ </w:t>
      </w:r>
      <w:proofErr w:type="spellStart"/>
      <w:r w:rsidRPr="005C6615">
        <w:rPr>
          <w:rFonts w:eastAsia="Times New Roman" w:cs="Times New Roman"/>
          <w:b/>
          <w:bCs/>
          <w:szCs w:val="24"/>
          <w:lang w:val="es-CO" w:eastAsia="es-ES"/>
        </w:rPr>
        <w:t>RAMÍREZ</w:t>
      </w:r>
      <w:proofErr w:type="spellEnd"/>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eastAsia="es-ES"/>
        </w:rPr>
        <w:br w:type="textWrapping" w:clear="all"/>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eastAsia="es-ES"/>
        </w:rPr>
        <w:pict>
          <v:rect id="_x0000_i1052" style="width:154.35pt;height:.6pt" o:hrpct="330" o:hrstd="t" o:hr="t" fillcolor="#a0a0a0" stroked="f"/>
        </w:pict>
      </w:r>
    </w:p>
    <w:bookmarkStart w:id="12" w:name="_ftn1"/>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eastAsia="es-ES"/>
        </w:rPr>
        <w:fldChar w:fldCharType="begin"/>
      </w:r>
      <w:r w:rsidRPr="005C6615">
        <w:rPr>
          <w:rFonts w:eastAsia="Times New Roman" w:cs="Times New Roman"/>
          <w:szCs w:val="24"/>
          <w:lang w:eastAsia="es-ES"/>
        </w:rPr>
        <w:instrText xml:space="preserve"> HYPERLINK "https://www.ceta.org.co/html/vista_de_un_documento.asp?DocumentoID=38468" \l "_ftnref1" \o "" </w:instrText>
      </w:r>
      <w:r w:rsidRPr="005C6615">
        <w:rPr>
          <w:rFonts w:eastAsia="Times New Roman" w:cs="Times New Roman"/>
          <w:szCs w:val="24"/>
          <w:lang w:eastAsia="es-ES"/>
        </w:rPr>
        <w:fldChar w:fldCharType="separate"/>
      </w:r>
      <w:r w:rsidRPr="005C6615">
        <w:rPr>
          <w:rFonts w:eastAsia="Times New Roman" w:cs="Times New Roman"/>
          <w:szCs w:val="24"/>
          <w:lang w:val="es-CO" w:eastAsia="es-ES"/>
        </w:rPr>
        <w:t>[1]</w:t>
      </w:r>
      <w:r w:rsidRPr="005C6615">
        <w:rPr>
          <w:rFonts w:eastAsia="Times New Roman" w:cs="Times New Roman"/>
          <w:szCs w:val="24"/>
          <w:lang w:eastAsia="es-ES"/>
        </w:rPr>
        <w:fldChar w:fldCharType="end"/>
      </w:r>
      <w:bookmarkEnd w:id="12"/>
      <w:r w:rsidRPr="005C6615">
        <w:rPr>
          <w:rFonts w:eastAsia="Times New Roman" w:cs="Times New Roman"/>
          <w:szCs w:val="24"/>
          <w:lang w:val="es-CO" w:eastAsia="es-ES"/>
        </w:rPr>
        <w:t> Folios 138 y 139 del expediente.</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bookmarkStart w:id="13" w:name="_ftn2"/>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eastAsia="es-ES"/>
        </w:rPr>
        <w:fldChar w:fldCharType="begin"/>
      </w:r>
      <w:r w:rsidRPr="005C6615">
        <w:rPr>
          <w:rFonts w:eastAsia="Times New Roman" w:cs="Times New Roman"/>
          <w:szCs w:val="24"/>
          <w:lang w:eastAsia="es-ES"/>
        </w:rPr>
        <w:instrText xml:space="preserve"> HYPERLINK "https://www.ceta.org.co/html/vista_de_un_documento.asp?DocumentoID=38468" \l "_ftnref2" \o "" </w:instrText>
      </w:r>
      <w:r w:rsidRPr="005C6615">
        <w:rPr>
          <w:rFonts w:eastAsia="Times New Roman" w:cs="Times New Roman"/>
          <w:szCs w:val="24"/>
          <w:lang w:eastAsia="es-ES"/>
        </w:rPr>
        <w:fldChar w:fldCharType="separate"/>
      </w:r>
      <w:r w:rsidRPr="005C6615">
        <w:rPr>
          <w:rFonts w:eastAsia="Times New Roman" w:cs="Times New Roman"/>
          <w:szCs w:val="24"/>
          <w:lang w:val="es-CO" w:eastAsia="es-ES"/>
        </w:rPr>
        <w:t>[2]</w:t>
      </w:r>
      <w:r w:rsidRPr="005C6615">
        <w:rPr>
          <w:rFonts w:eastAsia="Times New Roman" w:cs="Times New Roman"/>
          <w:szCs w:val="24"/>
          <w:lang w:eastAsia="es-ES"/>
        </w:rPr>
        <w:fldChar w:fldCharType="end"/>
      </w:r>
      <w:bookmarkEnd w:id="13"/>
      <w:r w:rsidRPr="005C6615">
        <w:rPr>
          <w:rFonts w:eastAsia="Times New Roman" w:cs="Times New Roman"/>
          <w:szCs w:val="24"/>
          <w:lang w:val="es-CO" w:eastAsia="es-ES"/>
        </w:rPr>
        <w:t> Folios 243 a 246 del expediente.</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bookmarkStart w:id="14" w:name="_ftn3"/>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eastAsia="es-ES"/>
        </w:rPr>
        <w:fldChar w:fldCharType="begin"/>
      </w:r>
      <w:r w:rsidRPr="005C6615">
        <w:rPr>
          <w:rFonts w:eastAsia="Times New Roman" w:cs="Times New Roman"/>
          <w:szCs w:val="24"/>
          <w:lang w:eastAsia="es-ES"/>
        </w:rPr>
        <w:instrText xml:space="preserve"> HYPERLINK "https://www.ceta.org.co/html/vista_de_un_documento.asp?DocumentoID=38468" \l "_ftnref3" \o "" </w:instrText>
      </w:r>
      <w:r w:rsidRPr="005C6615">
        <w:rPr>
          <w:rFonts w:eastAsia="Times New Roman" w:cs="Times New Roman"/>
          <w:szCs w:val="24"/>
          <w:lang w:eastAsia="es-ES"/>
        </w:rPr>
        <w:fldChar w:fldCharType="separate"/>
      </w:r>
      <w:r w:rsidRPr="005C6615">
        <w:rPr>
          <w:rFonts w:eastAsia="Times New Roman" w:cs="Times New Roman"/>
          <w:szCs w:val="24"/>
          <w:lang w:val="es-CO" w:eastAsia="es-ES"/>
        </w:rPr>
        <w:t>[3]</w:t>
      </w:r>
      <w:r w:rsidRPr="005C6615">
        <w:rPr>
          <w:rFonts w:eastAsia="Times New Roman" w:cs="Times New Roman"/>
          <w:szCs w:val="24"/>
          <w:lang w:eastAsia="es-ES"/>
        </w:rPr>
        <w:fldChar w:fldCharType="end"/>
      </w:r>
      <w:bookmarkEnd w:id="14"/>
      <w:r w:rsidRPr="005C6615">
        <w:rPr>
          <w:rFonts w:eastAsia="Times New Roman" w:cs="Times New Roman"/>
          <w:szCs w:val="24"/>
          <w:lang w:val="es-CO" w:eastAsia="es-ES"/>
        </w:rPr>
        <w:t>  </w:t>
      </w:r>
      <w:r w:rsidRPr="005C6615">
        <w:rPr>
          <w:rFonts w:eastAsia="Times New Roman" w:cs="Times New Roman"/>
          <w:b/>
          <w:bCs/>
          <w:szCs w:val="24"/>
          <w:shd w:val="clear" w:color="auto" w:fill="FFFFFF"/>
          <w:lang w:val="es-CO" w:eastAsia="es-ES"/>
        </w:rPr>
        <w:t>Artículo 7°. </w:t>
      </w:r>
      <w:r w:rsidRPr="005C6615">
        <w:rPr>
          <w:rFonts w:eastAsia="Times New Roman" w:cs="Times New Roman"/>
          <w:szCs w:val="24"/>
          <w:shd w:val="clear" w:color="auto" w:fill="FFFFFF"/>
          <w:lang w:val="es-CO" w:eastAsia="es-ES"/>
        </w:rPr>
        <w:t>Mecanismo de pago de las Contribuciones Parafiscales de la Protección Social.</w:t>
      </w:r>
      <w:r w:rsidRPr="005C6615">
        <w:rPr>
          <w:rFonts w:eastAsia="Times New Roman" w:cs="Times New Roman"/>
          <w:b/>
          <w:bCs/>
          <w:szCs w:val="24"/>
          <w:shd w:val="clear" w:color="auto" w:fill="FFFFFF"/>
          <w:lang w:val="es-CO" w:eastAsia="es-ES"/>
        </w:rPr>
        <w:t>  </w:t>
      </w:r>
      <w:r w:rsidRPr="005C6615">
        <w:rPr>
          <w:rFonts w:eastAsia="Times New Roman" w:cs="Times New Roman"/>
          <w:szCs w:val="24"/>
          <w:lang w:val="es-CO" w:eastAsia="es-ES"/>
        </w:rPr>
        <w:t>Artículo compilado en el artículo 2.12.1.7 del Decreto Único Reglamentario 1068 de 2015. </w:t>
      </w:r>
      <w:r w:rsidRPr="005C6615">
        <w:rPr>
          <w:rFonts w:eastAsia="Times New Roman" w:cs="Times New Roman"/>
          <w:szCs w:val="24"/>
          <w:shd w:val="clear" w:color="auto" w:fill="FFFFFF"/>
          <w:lang w:val="es-CO" w:eastAsia="es-ES"/>
        </w:rPr>
        <w:t>El pago de los recursos correspondientes a las Contribuciones Parafiscales de la Protección Social y las sanciones correspondientes se realizará haciendo uso de la Planilla Integrada de Liquidación de Aportes (PILA). La entidad que tenga a su cargo la administración de la planilla, debe implementar los ajustes y cambios solicitados, a más tardar dentro de los treinta (30) días calendario siguiente a la fecha de radicación de la respectiva solicitud por parte de la UGPP.</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bookmarkStart w:id="15" w:name="_ftn4"/>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eastAsia="es-ES"/>
        </w:rPr>
        <w:fldChar w:fldCharType="begin"/>
      </w:r>
      <w:r w:rsidRPr="005C6615">
        <w:rPr>
          <w:rFonts w:eastAsia="Times New Roman" w:cs="Times New Roman"/>
          <w:szCs w:val="24"/>
          <w:lang w:eastAsia="es-ES"/>
        </w:rPr>
        <w:instrText xml:space="preserve"> HYPERLINK "https://www.ceta.org.co/html/vista_de_un_documento.asp?DocumentoID=38468" \l "_ftnref4" \o "" </w:instrText>
      </w:r>
      <w:r w:rsidRPr="005C6615">
        <w:rPr>
          <w:rFonts w:eastAsia="Times New Roman" w:cs="Times New Roman"/>
          <w:szCs w:val="24"/>
          <w:lang w:eastAsia="es-ES"/>
        </w:rPr>
        <w:fldChar w:fldCharType="separate"/>
      </w:r>
      <w:r w:rsidRPr="005C6615">
        <w:rPr>
          <w:rFonts w:eastAsia="Times New Roman" w:cs="Times New Roman"/>
          <w:szCs w:val="24"/>
          <w:lang w:val="es-CO" w:eastAsia="es-ES"/>
        </w:rPr>
        <w:t>[4]</w:t>
      </w:r>
      <w:r w:rsidRPr="005C6615">
        <w:rPr>
          <w:rFonts w:eastAsia="Times New Roman" w:cs="Times New Roman"/>
          <w:szCs w:val="24"/>
          <w:lang w:eastAsia="es-ES"/>
        </w:rPr>
        <w:fldChar w:fldCharType="end"/>
      </w:r>
      <w:bookmarkEnd w:id="15"/>
      <w:r w:rsidRPr="005C6615">
        <w:rPr>
          <w:rFonts w:eastAsia="Times New Roman" w:cs="Times New Roman"/>
          <w:szCs w:val="24"/>
          <w:lang w:val="es-CO" w:eastAsia="es-ES"/>
        </w:rPr>
        <w:t> </w:t>
      </w:r>
      <w:r w:rsidRPr="005C6615">
        <w:rPr>
          <w:rFonts w:eastAsia="Times New Roman" w:cs="Times New Roman"/>
          <w:b/>
          <w:bCs/>
          <w:szCs w:val="24"/>
          <w:lang w:val="es-CO" w:eastAsia="es-ES"/>
        </w:rPr>
        <w:t>Artículo 25.</w:t>
      </w:r>
      <w:r w:rsidRPr="005C6615">
        <w:rPr>
          <w:rFonts w:eastAsia="Times New Roman" w:cs="Times New Roman"/>
          <w:szCs w:val="24"/>
          <w:lang w:val="es-CO" w:eastAsia="es-ES"/>
        </w:rPr>
        <w:t> De no convenir otra cosa el iniciador y el destinatario, el mensaje de datos se tendrá por expedido en el </w:t>
      </w:r>
      <w:r w:rsidRPr="005C6615">
        <w:rPr>
          <w:rFonts w:eastAsia="Times New Roman" w:cs="Times New Roman"/>
          <w:szCs w:val="24"/>
          <w:u w:val="single"/>
          <w:lang w:val="es-CO" w:eastAsia="es-ES"/>
        </w:rPr>
        <w:t>lugar donde el iniciador tenga su establecimiento</w:t>
      </w:r>
      <w:r w:rsidRPr="005C6615">
        <w:rPr>
          <w:rFonts w:eastAsia="Times New Roman" w:cs="Times New Roman"/>
          <w:szCs w:val="24"/>
          <w:lang w:val="es-CO" w:eastAsia="es-ES"/>
        </w:rPr>
        <w:t> y por recibido en el lugar donde el destinatario tenga el suyo. Para los fines del presente artículo:</w:t>
      </w:r>
    </w:p>
    <w:p w:rsidR="005C6615" w:rsidRPr="005C6615" w:rsidRDefault="005C6615" w:rsidP="005C6615">
      <w:pPr>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ind w:left="284"/>
        <w:rPr>
          <w:rFonts w:eastAsia="Times New Roman" w:cs="Times New Roman"/>
          <w:szCs w:val="24"/>
          <w:lang w:eastAsia="es-ES"/>
        </w:rPr>
      </w:pPr>
      <w:r w:rsidRPr="005C6615">
        <w:rPr>
          <w:rFonts w:eastAsia="Times New Roman" w:cs="Times New Roman"/>
          <w:szCs w:val="24"/>
          <w:lang w:val="es-CO" w:eastAsia="es-ES"/>
        </w:rPr>
        <w:t>a) Si el iniciador o destinatario tienen más de un establecimiento, su establecimiento será el que guarde una relación más estrecha con la operación subyacente o, de no haber una operación subyacente, su establecimiento principal;</w:t>
      </w:r>
    </w:p>
    <w:p w:rsidR="005C6615" w:rsidRPr="005C6615" w:rsidRDefault="005C6615" w:rsidP="005C6615">
      <w:pPr>
        <w:spacing w:line="240" w:lineRule="auto"/>
        <w:ind w:left="284"/>
        <w:rPr>
          <w:rFonts w:eastAsia="Times New Roman" w:cs="Times New Roman"/>
          <w:szCs w:val="24"/>
          <w:lang w:eastAsia="es-ES"/>
        </w:rPr>
      </w:pPr>
      <w:r w:rsidRPr="005C6615">
        <w:rPr>
          <w:rFonts w:eastAsia="Times New Roman" w:cs="Times New Roman"/>
          <w:szCs w:val="24"/>
          <w:lang w:val="es-CO" w:eastAsia="es-ES"/>
        </w:rPr>
        <w:t> </w:t>
      </w:r>
    </w:p>
    <w:p w:rsidR="005C6615" w:rsidRPr="005C6615" w:rsidRDefault="005C6615" w:rsidP="005C6615">
      <w:pPr>
        <w:spacing w:line="240" w:lineRule="auto"/>
        <w:ind w:left="284"/>
        <w:rPr>
          <w:rFonts w:eastAsia="Times New Roman" w:cs="Times New Roman"/>
          <w:szCs w:val="24"/>
          <w:lang w:eastAsia="es-ES"/>
        </w:rPr>
      </w:pPr>
      <w:r w:rsidRPr="005C6615">
        <w:rPr>
          <w:rFonts w:eastAsia="Times New Roman" w:cs="Times New Roman"/>
          <w:szCs w:val="24"/>
          <w:lang w:val="es-CO" w:eastAsia="es-ES"/>
        </w:rPr>
        <w:t>b) Si el iniciador o el destinatario no tienen establecimiento, se tendrá en cuenta su lugar de residencia habitual.</w:t>
      </w:r>
    </w:p>
    <w:p w:rsidR="005C6615" w:rsidRPr="005C6615" w:rsidRDefault="005C6615" w:rsidP="005C6615">
      <w:pPr>
        <w:shd w:val="clear" w:color="auto" w:fill="FFFFFF"/>
        <w:spacing w:line="240" w:lineRule="auto"/>
        <w:rPr>
          <w:rFonts w:eastAsia="Times New Roman" w:cs="Times New Roman"/>
          <w:szCs w:val="24"/>
          <w:lang w:eastAsia="es-ES"/>
        </w:rPr>
      </w:pPr>
    </w:p>
    <w:p w:rsidR="005C6615" w:rsidRPr="005C6615" w:rsidRDefault="005C6615" w:rsidP="005C6615">
      <w:pPr>
        <w:shd w:val="clear" w:color="auto" w:fill="FFFFFF"/>
        <w:spacing w:line="240" w:lineRule="auto"/>
        <w:rPr>
          <w:rFonts w:eastAsia="Times New Roman" w:cs="Times New Roman"/>
          <w:szCs w:val="24"/>
          <w:lang w:eastAsia="es-ES"/>
        </w:rPr>
      </w:pPr>
    </w:p>
    <w:p w:rsidR="005C6615" w:rsidRPr="005C6615" w:rsidRDefault="005C6615" w:rsidP="005C6615">
      <w:pPr>
        <w:shd w:val="clear" w:color="auto" w:fill="FFFFFF"/>
        <w:spacing w:line="240" w:lineRule="auto"/>
        <w:rPr>
          <w:rFonts w:eastAsia="Times New Roman" w:cs="Times New Roman"/>
          <w:szCs w:val="24"/>
          <w:lang w:eastAsia="es-ES"/>
        </w:rPr>
      </w:pPr>
      <w:hyperlink r:id="rId4" w:anchor="_ftnref5" w:history="1">
        <w:r w:rsidRPr="005C6615">
          <w:rPr>
            <w:rFonts w:eastAsia="Times New Roman" w:cs="Times New Roman"/>
            <w:szCs w:val="24"/>
            <w:lang w:val="es-CO" w:eastAsia="es-ES"/>
          </w:rPr>
          <w:t>[5]</w:t>
        </w:r>
      </w:hyperlink>
      <w:bookmarkEnd w:id="0"/>
      <w:r w:rsidRPr="005C6615">
        <w:rPr>
          <w:rFonts w:eastAsia="Times New Roman" w:cs="Times New Roman"/>
          <w:szCs w:val="24"/>
          <w:lang w:val="es-CO" w:eastAsia="es-ES"/>
        </w:rPr>
        <w:t> Folio 92 del expediente.</w:t>
      </w:r>
    </w:p>
    <w:p w:rsidR="005C6615" w:rsidRPr="005C6615" w:rsidRDefault="005C6615" w:rsidP="005C6615">
      <w:pPr>
        <w:shd w:val="clear" w:color="auto" w:fill="FFFFFF"/>
        <w:spacing w:line="240" w:lineRule="auto"/>
        <w:rPr>
          <w:rFonts w:eastAsia="Times New Roman" w:cs="Times New Roman"/>
          <w:szCs w:val="24"/>
          <w:lang w:eastAsia="es-ES"/>
        </w:rPr>
      </w:pPr>
      <w:r w:rsidRPr="005C6615">
        <w:rPr>
          <w:rFonts w:eastAsia="Times New Roman" w:cs="Times New Roman"/>
          <w:szCs w:val="24"/>
          <w:lang w:val="es-CO" w:eastAsia="es-ES"/>
        </w:rPr>
        <w:t> </w:t>
      </w:r>
    </w:p>
    <w:bookmarkStart w:id="16" w:name="_ftn6"/>
    <w:p w:rsidR="005C6615" w:rsidRPr="005C6615" w:rsidRDefault="005C6615" w:rsidP="005C6615">
      <w:pPr>
        <w:shd w:val="clear" w:color="auto" w:fill="FFFFFF"/>
        <w:spacing w:line="240" w:lineRule="auto"/>
        <w:rPr>
          <w:rFonts w:eastAsia="Times New Roman" w:cs="Times New Roman"/>
          <w:szCs w:val="24"/>
          <w:lang w:eastAsia="es-ES"/>
        </w:rPr>
      </w:pPr>
      <w:r w:rsidRPr="005C6615">
        <w:rPr>
          <w:rFonts w:eastAsia="Times New Roman" w:cs="Times New Roman"/>
          <w:szCs w:val="24"/>
          <w:lang w:eastAsia="es-ES"/>
        </w:rPr>
        <w:fldChar w:fldCharType="begin"/>
      </w:r>
      <w:r w:rsidRPr="005C6615">
        <w:rPr>
          <w:rFonts w:eastAsia="Times New Roman" w:cs="Times New Roman"/>
          <w:szCs w:val="24"/>
          <w:lang w:eastAsia="es-ES"/>
        </w:rPr>
        <w:instrText xml:space="preserve"> HYPERLINK "https://www.ceta.org.co/html/vista_de_un_documento.asp?DocumentoID=38468" \l "_ftnref6" \o "" </w:instrText>
      </w:r>
      <w:r w:rsidRPr="005C6615">
        <w:rPr>
          <w:rFonts w:eastAsia="Times New Roman" w:cs="Times New Roman"/>
          <w:szCs w:val="24"/>
          <w:lang w:eastAsia="es-ES"/>
        </w:rPr>
        <w:fldChar w:fldCharType="separate"/>
      </w:r>
      <w:r w:rsidRPr="005C6615">
        <w:rPr>
          <w:rFonts w:eastAsia="Times New Roman" w:cs="Times New Roman"/>
          <w:szCs w:val="24"/>
          <w:lang w:val="es-CO" w:eastAsia="es-ES"/>
        </w:rPr>
        <w:t>[6]</w:t>
      </w:r>
      <w:r w:rsidRPr="005C6615">
        <w:rPr>
          <w:rFonts w:eastAsia="Times New Roman" w:cs="Times New Roman"/>
          <w:szCs w:val="24"/>
          <w:lang w:eastAsia="es-ES"/>
        </w:rPr>
        <w:fldChar w:fldCharType="end"/>
      </w:r>
      <w:bookmarkEnd w:id="16"/>
      <w:r w:rsidRPr="005C6615">
        <w:rPr>
          <w:rFonts w:eastAsia="Times New Roman" w:cs="Times New Roman"/>
          <w:szCs w:val="24"/>
          <w:lang w:val="es-CO" w:eastAsia="es-ES"/>
        </w:rPr>
        <w:t> De conformidad con el Registro Único Tributario – RUT aportado en la demanda (</w:t>
      </w:r>
      <w:proofErr w:type="spellStart"/>
      <w:r w:rsidRPr="005C6615">
        <w:rPr>
          <w:rFonts w:eastAsia="Times New Roman" w:cs="Times New Roman"/>
          <w:szCs w:val="24"/>
          <w:lang w:val="es-CO" w:eastAsia="es-ES"/>
        </w:rPr>
        <w:t>fl</w:t>
      </w:r>
      <w:proofErr w:type="spellEnd"/>
      <w:r w:rsidRPr="005C6615">
        <w:rPr>
          <w:rFonts w:eastAsia="Times New Roman" w:cs="Times New Roman"/>
          <w:szCs w:val="24"/>
          <w:lang w:val="es-CO" w:eastAsia="es-ES"/>
        </w:rPr>
        <w:t>. 36)</w:t>
      </w:r>
    </w:p>
    <w:p w:rsidR="005C6615" w:rsidRPr="005C6615" w:rsidRDefault="005C6615" w:rsidP="005C6615">
      <w:pPr>
        <w:shd w:val="clear" w:color="auto" w:fill="FFFFFF"/>
        <w:spacing w:line="240" w:lineRule="auto"/>
        <w:rPr>
          <w:rFonts w:eastAsia="Times New Roman" w:cs="Times New Roman"/>
          <w:szCs w:val="24"/>
          <w:lang w:eastAsia="es-ES"/>
        </w:rPr>
      </w:pPr>
      <w:r w:rsidRPr="005C6615">
        <w:rPr>
          <w:rFonts w:eastAsia="Times New Roman" w:cs="Times New Roman"/>
          <w:szCs w:val="24"/>
          <w:lang w:val="es-CO" w:eastAsia="es-ES"/>
        </w:rPr>
        <w:t> </w:t>
      </w:r>
    </w:p>
    <w:bookmarkStart w:id="17" w:name="_ftn7"/>
    <w:p w:rsidR="005C6615" w:rsidRPr="005C6615" w:rsidRDefault="005C6615" w:rsidP="005C6615">
      <w:pPr>
        <w:shd w:val="clear" w:color="auto" w:fill="FFFFFF"/>
        <w:spacing w:line="240" w:lineRule="auto"/>
        <w:rPr>
          <w:rFonts w:eastAsia="Times New Roman" w:cs="Times New Roman"/>
          <w:szCs w:val="24"/>
          <w:lang w:eastAsia="es-ES"/>
        </w:rPr>
      </w:pPr>
      <w:r w:rsidRPr="005C6615">
        <w:rPr>
          <w:rFonts w:eastAsia="Times New Roman" w:cs="Times New Roman"/>
          <w:szCs w:val="24"/>
          <w:lang w:eastAsia="es-ES"/>
        </w:rPr>
        <w:fldChar w:fldCharType="begin"/>
      </w:r>
      <w:r w:rsidRPr="005C6615">
        <w:rPr>
          <w:rFonts w:eastAsia="Times New Roman" w:cs="Times New Roman"/>
          <w:szCs w:val="24"/>
          <w:lang w:eastAsia="es-ES"/>
        </w:rPr>
        <w:instrText xml:space="preserve"> HYPERLINK "https://www.ceta.org.co/html/vista_de_un_documento.asp?DocumentoID=38468" \l "_ftnref7" \o "" </w:instrText>
      </w:r>
      <w:r w:rsidRPr="005C6615">
        <w:rPr>
          <w:rFonts w:eastAsia="Times New Roman" w:cs="Times New Roman"/>
          <w:szCs w:val="24"/>
          <w:lang w:eastAsia="es-ES"/>
        </w:rPr>
        <w:fldChar w:fldCharType="separate"/>
      </w:r>
      <w:r w:rsidRPr="005C6615">
        <w:rPr>
          <w:rFonts w:eastAsia="Times New Roman" w:cs="Times New Roman"/>
          <w:szCs w:val="24"/>
          <w:lang w:val="es-CO" w:eastAsia="es-ES"/>
        </w:rPr>
        <w:t>[7]</w:t>
      </w:r>
      <w:r w:rsidRPr="005C6615">
        <w:rPr>
          <w:rFonts w:eastAsia="Times New Roman" w:cs="Times New Roman"/>
          <w:szCs w:val="24"/>
          <w:lang w:eastAsia="es-ES"/>
        </w:rPr>
        <w:fldChar w:fldCharType="end"/>
      </w:r>
      <w:bookmarkEnd w:id="17"/>
      <w:r w:rsidRPr="005C6615">
        <w:rPr>
          <w:rFonts w:eastAsia="Times New Roman" w:cs="Times New Roman"/>
          <w:szCs w:val="24"/>
          <w:lang w:val="es-CO" w:eastAsia="es-ES"/>
        </w:rPr>
        <w:t xml:space="preserve"> Se reitera el criterio expuesto por esta corporación en auto del 29 de marzo de 2019, </w:t>
      </w:r>
      <w:proofErr w:type="spellStart"/>
      <w:r w:rsidRPr="005C6615">
        <w:rPr>
          <w:rFonts w:eastAsia="Times New Roman" w:cs="Times New Roman"/>
          <w:szCs w:val="24"/>
          <w:lang w:val="es-CO" w:eastAsia="es-ES"/>
        </w:rPr>
        <w:t>exp</w:t>
      </w:r>
      <w:proofErr w:type="spellEnd"/>
      <w:r w:rsidRPr="005C6615">
        <w:rPr>
          <w:rFonts w:eastAsia="Times New Roman" w:cs="Times New Roman"/>
          <w:szCs w:val="24"/>
          <w:lang w:val="es-CO" w:eastAsia="es-ES"/>
        </w:rPr>
        <w:t>. 24287 C.P. Stella Jeannette Carvajal Basto.</w:t>
      </w:r>
    </w:p>
    <w:p w:rsidR="005C6615" w:rsidRPr="005C6615" w:rsidRDefault="005C6615" w:rsidP="005C6615">
      <w:pPr>
        <w:shd w:val="clear" w:color="auto" w:fill="FFFFFF"/>
        <w:spacing w:line="240" w:lineRule="auto"/>
        <w:rPr>
          <w:rFonts w:eastAsia="Times New Roman" w:cs="Times New Roman"/>
          <w:szCs w:val="24"/>
          <w:lang w:eastAsia="es-ES"/>
        </w:rPr>
      </w:pPr>
      <w:r w:rsidRPr="005C6615">
        <w:rPr>
          <w:rFonts w:eastAsia="Times New Roman" w:cs="Times New Roman"/>
          <w:szCs w:val="24"/>
          <w:lang w:val="es-CO" w:eastAsia="es-ES"/>
        </w:rPr>
        <w:t> </w:t>
      </w:r>
    </w:p>
    <w:p w:rsidR="007F5CC8" w:rsidRPr="005C6615" w:rsidRDefault="007F5CC8">
      <w:pPr>
        <w:rPr>
          <w:rFonts w:cs="Times New Roman"/>
          <w:szCs w:val="24"/>
        </w:rPr>
      </w:pPr>
    </w:p>
    <w:sectPr w:rsidR="007F5CC8" w:rsidRPr="005C6615"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15"/>
    <w:rsid w:val="001E311E"/>
    <w:rsid w:val="00434AE6"/>
    <w:rsid w:val="005C6615"/>
    <w:rsid w:val="007F5CC8"/>
    <w:rsid w:val="008779BE"/>
    <w:rsid w:val="00C6531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DD67"/>
  <w15:chartTrackingRefBased/>
  <w15:docId w15:val="{44DE11DB-B0B2-44CB-8EC0-9623F190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618646">
      <w:bodyDiv w:val="1"/>
      <w:marLeft w:val="0"/>
      <w:marRight w:val="0"/>
      <w:marTop w:val="0"/>
      <w:marBottom w:val="0"/>
      <w:divBdr>
        <w:top w:val="none" w:sz="0" w:space="0" w:color="auto"/>
        <w:left w:val="none" w:sz="0" w:space="0" w:color="auto"/>
        <w:bottom w:val="none" w:sz="0" w:space="0" w:color="auto"/>
        <w:right w:val="none" w:sz="0" w:space="0" w:color="auto"/>
      </w:divBdr>
    </w:div>
    <w:div w:id="915434352">
      <w:bodyDiv w:val="1"/>
      <w:marLeft w:val="0"/>
      <w:marRight w:val="0"/>
      <w:marTop w:val="0"/>
      <w:marBottom w:val="0"/>
      <w:divBdr>
        <w:top w:val="none" w:sz="0" w:space="0" w:color="auto"/>
        <w:left w:val="none" w:sz="0" w:space="0" w:color="auto"/>
        <w:bottom w:val="none" w:sz="0" w:space="0" w:color="auto"/>
        <w:right w:val="none" w:sz="0" w:space="0" w:color="auto"/>
      </w:divBdr>
      <w:divsChild>
        <w:div w:id="1215506101">
          <w:marLeft w:val="0"/>
          <w:marRight w:val="0"/>
          <w:marTop w:val="0"/>
          <w:marBottom w:val="0"/>
          <w:divBdr>
            <w:top w:val="none" w:sz="0" w:space="0" w:color="auto"/>
            <w:left w:val="none" w:sz="0" w:space="0" w:color="auto"/>
            <w:bottom w:val="none" w:sz="0" w:space="0" w:color="auto"/>
            <w:right w:val="none" w:sz="0" w:space="0" w:color="auto"/>
          </w:divBdr>
        </w:div>
        <w:div w:id="306471981">
          <w:marLeft w:val="0"/>
          <w:marRight w:val="0"/>
          <w:marTop w:val="0"/>
          <w:marBottom w:val="0"/>
          <w:divBdr>
            <w:top w:val="none" w:sz="0" w:space="0" w:color="auto"/>
            <w:left w:val="none" w:sz="0" w:space="0" w:color="auto"/>
            <w:bottom w:val="none" w:sz="0" w:space="0" w:color="auto"/>
            <w:right w:val="none" w:sz="0" w:space="0" w:color="auto"/>
          </w:divBdr>
        </w:div>
        <w:div w:id="1149902007">
          <w:marLeft w:val="0"/>
          <w:marRight w:val="0"/>
          <w:marTop w:val="0"/>
          <w:marBottom w:val="0"/>
          <w:divBdr>
            <w:top w:val="none" w:sz="0" w:space="0" w:color="auto"/>
            <w:left w:val="none" w:sz="0" w:space="0" w:color="auto"/>
            <w:bottom w:val="none" w:sz="0" w:space="0" w:color="auto"/>
            <w:right w:val="none" w:sz="0" w:space="0" w:color="auto"/>
          </w:divBdr>
        </w:div>
        <w:div w:id="959796331">
          <w:marLeft w:val="0"/>
          <w:marRight w:val="0"/>
          <w:marTop w:val="0"/>
          <w:marBottom w:val="0"/>
          <w:divBdr>
            <w:top w:val="none" w:sz="0" w:space="0" w:color="auto"/>
            <w:left w:val="none" w:sz="0" w:space="0" w:color="auto"/>
            <w:bottom w:val="none" w:sz="0" w:space="0" w:color="auto"/>
            <w:right w:val="none" w:sz="0" w:space="0" w:color="auto"/>
          </w:divBdr>
        </w:div>
      </w:divsChild>
    </w:div>
    <w:div w:id="1063332023">
      <w:bodyDiv w:val="1"/>
      <w:marLeft w:val="0"/>
      <w:marRight w:val="0"/>
      <w:marTop w:val="0"/>
      <w:marBottom w:val="0"/>
      <w:divBdr>
        <w:top w:val="none" w:sz="0" w:space="0" w:color="auto"/>
        <w:left w:val="none" w:sz="0" w:space="0" w:color="auto"/>
        <w:bottom w:val="none" w:sz="0" w:space="0" w:color="auto"/>
        <w:right w:val="none" w:sz="0" w:space="0" w:color="auto"/>
      </w:divBdr>
      <w:divsChild>
        <w:div w:id="1560706370">
          <w:marLeft w:val="0"/>
          <w:marRight w:val="0"/>
          <w:marTop w:val="0"/>
          <w:marBottom w:val="0"/>
          <w:divBdr>
            <w:top w:val="none" w:sz="0" w:space="0" w:color="auto"/>
            <w:left w:val="none" w:sz="0" w:space="0" w:color="auto"/>
            <w:bottom w:val="none" w:sz="0" w:space="0" w:color="auto"/>
            <w:right w:val="none" w:sz="0" w:space="0" w:color="auto"/>
          </w:divBdr>
          <w:divsChild>
            <w:div w:id="1774472049">
              <w:marLeft w:val="0"/>
              <w:marRight w:val="0"/>
              <w:marTop w:val="0"/>
              <w:marBottom w:val="0"/>
              <w:divBdr>
                <w:top w:val="none" w:sz="0" w:space="0" w:color="auto"/>
                <w:left w:val="none" w:sz="0" w:space="0" w:color="auto"/>
                <w:bottom w:val="none" w:sz="0" w:space="0" w:color="auto"/>
                <w:right w:val="none" w:sz="0" w:space="0" w:color="auto"/>
              </w:divBdr>
            </w:div>
            <w:div w:id="1520703942">
              <w:marLeft w:val="0"/>
              <w:marRight w:val="0"/>
              <w:marTop w:val="0"/>
              <w:marBottom w:val="0"/>
              <w:divBdr>
                <w:top w:val="none" w:sz="0" w:space="0" w:color="auto"/>
                <w:left w:val="none" w:sz="0" w:space="0" w:color="auto"/>
                <w:bottom w:val="none" w:sz="0" w:space="0" w:color="auto"/>
                <w:right w:val="none" w:sz="0" w:space="0" w:color="auto"/>
              </w:divBdr>
            </w:div>
            <w:div w:id="1268342825">
              <w:marLeft w:val="0"/>
              <w:marRight w:val="0"/>
              <w:marTop w:val="0"/>
              <w:marBottom w:val="0"/>
              <w:divBdr>
                <w:top w:val="none" w:sz="0" w:space="0" w:color="auto"/>
                <w:left w:val="none" w:sz="0" w:space="0" w:color="auto"/>
                <w:bottom w:val="none" w:sz="0" w:space="0" w:color="auto"/>
                <w:right w:val="none" w:sz="0" w:space="0" w:color="auto"/>
              </w:divBdr>
            </w:div>
            <w:div w:id="750664629">
              <w:marLeft w:val="0"/>
              <w:marRight w:val="0"/>
              <w:marTop w:val="0"/>
              <w:marBottom w:val="0"/>
              <w:divBdr>
                <w:top w:val="none" w:sz="0" w:space="0" w:color="auto"/>
                <w:left w:val="none" w:sz="0" w:space="0" w:color="auto"/>
                <w:bottom w:val="none" w:sz="0" w:space="0" w:color="auto"/>
                <w:right w:val="none" w:sz="0" w:space="0" w:color="auto"/>
              </w:divBdr>
            </w:div>
            <w:div w:id="726564758">
              <w:marLeft w:val="0"/>
              <w:marRight w:val="0"/>
              <w:marTop w:val="0"/>
              <w:marBottom w:val="0"/>
              <w:divBdr>
                <w:top w:val="none" w:sz="0" w:space="0" w:color="auto"/>
                <w:left w:val="none" w:sz="0" w:space="0" w:color="auto"/>
                <w:bottom w:val="none" w:sz="0" w:space="0" w:color="auto"/>
                <w:right w:val="none" w:sz="0" w:space="0" w:color="auto"/>
              </w:divBdr>
            </w:div>
            <w:div w:id="1191144013">
              <w:marLeft w:val="0"/>
              <w:marRight w:val="0"/>
              <w:marTop w:val="0"/>
              <w:marBottom w:val="0"/>
              <w:divBdr>
                <w:top w:val="none" w:sz="0" w:space="0" w:color="auto"/>
                <w:left w:val="none" w:sz="0" w:space="0" w:color="auto"/>
                <w:bottom w:val="none" w:sz="0" w:space="0" w:color="auto"/>
                <w:right w:val="none" w:sz="0" w:space="0" w:color="auto"/>
              </w:divBdr>
            </w:div>
            <w:div w:id="11458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documento.asp?DocumentoID=384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1654</Words>
  <Characters>9103</Characters>
  <Application>Microsoft Office Word</Application>
  <DocSecurity>0</DocSecurity>
  <Lines>75</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2020-03-14T00:35:00Z</dcterms:created>
  <dcterms:modified xsi:type="dcterms:W3CDTF">2020-03-14T00:35:00Z</dcterms:modified>
</cp:coreProperties>
</file>