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EF30C" w14:textId="77777777" w:rsidR="00B34144" w:rsidRPr="00255307" w:rsidRDefault="00B34144" w:rsidP="00B34144">
      <w:pPr>
        <w:spacing w:line="240" w:lineRule="auto"/>
        <w:jc w:val="center"/>
        <w:rPr>
          <w:rFonts w:eastAsia="Times New Roman"/>
          <w:szCs w:val="24"/>
          <w:lang w:eastAsia="es-CO"/>
        </w:rPr>
      </w:pPr>
      <w:r w:rsidRPr="00255307">
        <w:rPr>
          <w:rFonts w:eastAsia="Times New Roman"/>
          <w:b/>
          <w:bCs/>
          <w:szCs w:val="24"/>
          <w:lang w:eastAsia="es-CO"/>
        </w:rPr>
        <w:t xml:space="preserve">OFICIO </w:t>
      </w:r>
      <w:proofErr w:type="spellStart"/>
      <w:r w:rsidRPr="00255307">
        <w:rPr>
          <w:rFonts w:eastAsia="Times New Roman"/>
          <w:b/>
          <w:bCs/>
          <w:szCs w:val="24"/>
          <w:lang w:eastAsia="es-CO"/>
        </w:rPr>
        <w:t>Nº</w:t>
      </w:r>
      <w:proofErr w:type="spellEnd"/>
      <w:r w:rsidRPr="00255307">
        <w:rPr>
          <w:rFonts w:eastAsia="Times New Roman"/>
          <w:b/>
          <w:bCs/>
          <w:szCs w:val="24"/>
          <w:lang w:eastAsia="es-CO"/>
        </w:rPr>
        <w:t xml:space="preserve"> 2474 [026374]</w:t>
      </w:r>
    </w:p>
    <w:p w14:paraId="35EEF6CB" w14:textId="77777777" w:rsidR="00B34144" w:rsidRPr="00255307" w:rsidRDefault="00B34144" w:rsidP="00B34144">
      <w:pPr>
        <w:spacing w:line="240" w:lineRule="auto"/>
        <w:jc w:val="center"/>
        <w:rPr>
          <w:rFonts w:eastAsia="Times New Roman"/>
          <w:szCs w:val="24"/>
          <w:lang w:eastAsia="es-CO"/>
        </w:rPr>
      </w:pPr>
      <w:r w:rsidRPr="00255307">
        <w:rPr>
          <w:rFonts w:eastAsia="Times New Roman"/>
          <w:b/>
          <w:bCs/>
          <w:szCs w:val="24"/>
          <w:lang w:eastAsia="es-CO"/>
        </w:rPr>
        <w:t>21-10-2019</w:t>
      </w:r>
    </w:p>
    <w:p w14:paraId="2B7E8A1C" w14:textId="77777777" w:rsidR="00B34144" w:rsidRPr="00255307" w:rsidRDefault="00B34144" w:rsidP="00B34144">
      <w:pPr>
        <w:spacing w:line="240" w:lineRule="auto"/>
        <w:jc w:val="center"/>
        <w:rPr>
          <w:rFonts w:eastAsia="Times New Roman"/>
          <w:szCs w:val="24"/>
          <w:lang w:eastAsia="es-CO"/>
        </w:rPr>
      </w:pPr>
      <w:r w:rsidRPr="00255307">
        <w:rPr>
          <w:rFonts w:eastAsia="Times New Roman"/>
          <w:b/>
          <w:bCs/>
          <w:szCs w:val="24"/>
          <w:lang w:eastAsia="es-CO"/>
        </w:rPr>
        <w:t>DIAN</w:t>
      </w:r>
    </w:p>
    <w:p w14:paraId="30852F2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006E18D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1ABB189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Subdirección de Gestión Normativa y Doctrina</w:t>
      </w:r>
    </w:p>
    <w:p w14:paraId="16AB2CB4"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Bogotá, D.C.</w:t>
      </w:r>
    </w:p>
    <w:p w14:paraId="3FDEBE2F"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100208221– 002474</w:t>
      </w:r>
    </w:p>
    <w:p w14:paraId="5F32E987"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3F35B71C" w14:textId="77777777" w:rsidR="00B34144" w:rsidRPr="00255307" w:rsidRDefault="00B34144" w:rsidP="00B34144">
      <w:pPr>
        <w:spacing w:line="240" w:lineRule="auto"/>
        <w:rPr>
          <w:rFonts w:eastAsia="Times New Roman"/>
          <w:szCs w:val="24"/>
          <w:lang w:eastAsia="es-CO"/>
        </w:rPr>
      </w:pPr>
      <w:proofErr w:type="spellStart"/>
      <w:r w:rsidRPr="00255307">
        <w:rPr>
          <w:rFonts w:eastAsia="Times New Roman"/>
          <w:b/>
          <w:bCs/>
          <w:szCs w:val="24"/>
          <w:lang w:eastAsia="es-CO"/>
        </w:rPr>
        <w:t>Ref</w:t>
      </w:r>
      <w:proofErr w:type="spellEnd"/>
      <w:r w:rsidRPr="00255307">
        <w:rPr>
          <w:rFonts w:eastAsia="Times New Roman"/>
          <w:b/>
          <w:bCs/>
          <w:szCs w:val="24"/>
          <w:lang w:eastAsia="es-CO"/>
        </w:rPr>
        <w:t>:</w:t>
      </w:r>
      <w:r w:rsidRPr="00255307">
        <w:rPr>
          <w:rFonts w:eastAsia="Times New Roman"/>
          <w:szCs w:val="24"/>
          <w:lang w:eastAsia="es-CO"/>
        </w:rPr>
        <w:t> Radicado 100076896 del 17/09/2019</w:t>
      </w:r>
    </w:p>
    <w:p w14:paraId="0ABE8990"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bl>
      <w:tblPr>
        <w:tblW w:w="0" w:type="auto"/>
        <w:tblCellMar>
          <w:left w:w="0" w:type="dxa"/>
          <w:right w:w="0" w:type="dxa"/>
        </w:tblCellMar>
        <w:tblLook w:val="04A0" w:firstRow="1" w:lastRow="0" w:firstColumn="1" w:lastColumn="0" w:noHBand="0" w:noVBand="1"/>
      </w:tblPr>
      <w:tblGrid>
        <w:gridCol w:w="1943"/>
        <w:gridCol w:w="276"/>
        <w:gridCol w:w="276"/>
        <w:gridCol w:w="6641"/>
      </w:tblGrid>
      <w:tr w:rsidR="00255307" w:rsidRPr="00255307" w14:paraId="5F840999"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4AB00B5D" w14:textId="77777777"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EB0D58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0FBDD8E"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196F57B2"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Procedimiento Tributario</w:t>
            </w:r>
          </w:p>
        </w:tc>
      </w:tr>
      <w:tr w:rsidR="00255307" w:rsidRPr="00255307" w14:paraId="228D3639"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67712CCA" w14:textId="77777777"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BD0250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B29BA6F"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0AE23162"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Imputación de Saldos a Favor</w:t>
            </w:r>
          </w:p>
        </w:tc>
      </w:tr>
      <w:tr w:rsidR="00255307" w:rsidRPr="00255307" w14:paraId="7BB995EC"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1E65F656" w14:textId="77777777"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8A7FB9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F6C7C9D"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2FF59749" w14:textId="77777777" w:rsidR="00B34144" w:rsidRPr="00255307" w:rsidRDefault="00B34144" w:rsidP="00B34144">
            <w:pPr>
              <w:spacing w:line="240" w:lineRule="auto"/>
              <w:rPr>
                <w:rFonts w:eastAsia="Times New Roman"/>
                <w:szCs w:val="24"/>
                <w:lang w:eastAsia="es-CO"/>
              </w:rPr>
            </w:pPr>
            <w:r w:rsidRPr="00255307">
              <w:rPr>
                <w:rFonts w:eastAsia="Times New Roman"/>
                <w:sz w:val="32"/>
                <w:szCs w:val="32"/>
                <w:lang w:eastAsia="es-CO"/>
              </w:rPr>
              <w:t>Estatuto Tributario </w:t>
            </w:r>
            <w:hyperlink r:id="rId6" w:tooltip="Estatuto Tributario CETA" w:history="1">
              <w:r w:rsidRPr="00255307">
                <w:rPr>
                  <w:rFonts w:eastAsia="Times New Roman"/>
                  <w:sz w:val="32"/>
                  <w:szCs w:val="32"/>
                  <w:lang w:eastAsia="es-CO"/>
                </w:rPr>
                <w:t>artículo 670</w:t>
              </w:r>
            </w:hyperlink>
            <w:r w:rsidRPr="00255307">
              <w:rPr>
                <w:rFonts w:eastAsia="Times New Roman"/>
                <w:szCs w:val="24"/>
                <w:lang w:eastAsia="es-CO"/>
              </w:rPr>
              <w:t>, DUR 1625 de 2016 artículo 1.6.1.21.24</w:t>
            </w:r>
          </w:p>
        </w:tc>
      </w:tr>
    </w:tbl>
    <w:p w14:paraId="19B966BD"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78A718A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3D68CCA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787F04F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3BED843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21F5225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4335BF0"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515AFB7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2A6D4EE2"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En el contexto señalado se atenderá la consulta:</w:t>
      </w:r>
    </w:p>
    <w:p w14:paraId="3E78015A"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1CD8BDF4"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Se refiere al Oficio 001825 de 25 de julio de 2019 expedido por esta Subdirección en el cual al absolver la inquietud sobre </w:t>
      </w:r>
      <w:r w:rsidRPr="00255307">
        <w:rPr>
          <w:rFonts w:eastAsia="Times New Roman"/>
          <w:i/>
          <w:iCs/>
          <w:szCs w:val="24"/>
          <w:lang w:eastAsia="es-CO"/>
        </w:rPr>
        <w:t>si en la</w:t>
      </w:r>
      <w:r w:rsidRPr="00255307">
        <w:rPr>
          <w:rFonts w:eastAsia="Times New Roman"/>
          <w:szCs w:val="24"/>
          <w:lang w:eastAsia="es-CO"/>
        </w:rPr>
        <w:t> </w:t>
      </w:r>
      <w:r w:rsidRPr="00255307">
        <w:rPr>
          <w:rFonts w:eastAsia="Times New Roman"/>
          <w:i/>
          <w:iCs/>
          <w:szCs w:val="24"/>
          <w:lang w:eastAsia="es-CO"/>
        </w:rPr>
        <w:t>Conciliación o Terminación por Mutuo</w:t>
      </w:r>
      <w:r w:rsidRPr="00255307">
        <w:rPr>
          <w:rFonts w:eastAsia="Times New Roman"/>
          <w:szCs w:val="24"/>
          <w:lang w:eastAsia="es-CO"/>
        </w:rPr>
        <w:t> </w:t>
      </w:r>
      <w:r w:rsidRPr="00255307">
        <w:rPr>
          <w:rFonts w:eastAsia="Times New Roman"/>
          <w:i/>
          <w:iCs/>
          <w:szCs w:val="24"/>
          <w:lang w:eastAsia="es-CO"/>
        </w:rPr>
        <w:t>Acuerdo de acuerdo consagradas en la Ley 1943 de 2018, en el caso de una Resolución Sanción por Devolución Improcedente, procede la reducción de los intereses que se calculan sobre el valor a reintegrar,</w:t>
      </w:r>
      <w:r w:rsidRPr="00255307">
        <w:rPr>
          <w:rFonts w:eastAsia="Times New Roman"/>
          <w:szCs w:val="24"/>
          <w:lang w:eastAsia="es-CO"/>
        </w:rPr>
        <w:t> se concluyó que la reducción de la sanción en este caso no procede sobre los valores a reintegrar junto con sus respectivos intereses pues estos no constituyen la sanción. </w:t>
      </w:r>
      <w:r w:rsidRPr="00255307">
        <w:rPr>
          <w:rFonts w:eastAsia="Times New Roman"/>
          <w:i/>
          <w:iCs/>
          <w:szCs w:val="24"/>
          <w:lang w:eastAsia="es-CO"/>
        </w:rPr>
        <w:t>"Procederán-con el cumplimiento de los requisitos exigidos- únicamente sobre la sanción impuesta en los términos del </w:t>
      </w:r>
      <w:hyperlink r:id="rId7" w:tooltip="Estatuto Tributario CETA" w:history="1">
        <w:r w:rsidRPr="00255307">
          <w:rPr>
            <w:rFonts w:eastAsia="Times New Roman"/>
            <w:i/>
            <w:iCs/>
            <w:szCs w:val="24"/>
            <w:lang w:eastAsia="es-CO"/>
          </w:rPr>
          <w:t>artículo 670</w:t>
        </w:r>
      </w:hyperlink>
      <w:r w:rsidRPr="00255307">
        <w:rPr>
          <w:rFonts w:eastAsia="Times New Roman"/>
          <w:i/>
          <w:iCs/>
          <w:szCs w:val="24"/>
          <w:lang w:eastAsia="es-CO"/>
        </w:rPr>
        <w:t> del estatuto tributario."</w:t>
      </w:r>
    </w:p>
    <w:p w14:paraId="41FBEE77"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78F8273D" w14:textId="77654AE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xml:space="preserve">Señala que este pronunciamiento no se refirió al tema de la imputación de saldos a favor, cuando con posterioridad a esta la declaración que contiene el saldo se corrige y el "saldo a favor no se agota generando un saldo a pagar" pues en este caso no procedería respecto de </w:t>
      </w:r>
      <w:proofErr w:type="spellStart"/>
      <w:r w:rsidRPr="00255307">
        <w:rPr>
          <w:rFonts w:eastAsia="Times New Roman"/>
          <w:szCs w:val="24"/>
          <w:lang w:eastAsia="es-CO"/>
        </w:rPr>
        <w:t>la</w:t>
      </w:r>
      <w:r w:rsidR="00843AA8" w:rsidRPr="00255307">
        <w:rPr>
          <w:rFonts w:eastAsia="Times New Roman"/>
          <w:szCs w:val="24"/>
          <w:lang w:eastAsia="es-CO"/>
        </w:rPr>
        <w:t>S</w:t>
      </w:r>
      <w:proofErr w:type="spellEnd"/>
      <w:r w:rsidRPr="00255307">
        <w:rPr>
          <w:rFonts w:eastAsia="Times New Roman"/>
          <w:szCs w:val="24"/>
          <w:lang w:eastAsia="es-CO"/>
        </w:rPr>
        <w:t xml:space="preserve"> sumas a </w:t>
      </w:r>
      <w:r w:rsidRPr="00255307">
        <w:rPr>
          <w:rFonts w:eastAsia="Times New Roman"/>
          <w:szCs w:val="24"/>
          <w:lang w:eastAsia="es-CO"/>
        </w:rPr>
        <w:lastRenderedPageBreak/>
        <w:t>reintegrar la liquidación de intereses y por ende no sería exigible para la procedencia de las solicitudes de Terminación por Mutuo Acuerdo.</w:t>
      </w:r>
    </w:p>
    <w:p w14:paraId="63065175"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046FF0EA"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Por ello solicita se aclara la referida conclusión.</w:t>
      </w:r>
    </w:p>
    <w:p w14:paraId="5579FAB4"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43939FFC" w14:textId="6ACF919D"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Para atender la consulta debe señalarse en primer lugar que el Oficio 901476 de 26 de julio de 2019 (rad. Interno 100208221-001825) se circunscribió a la pregunta formulada sobre la reducción de la sanción en el caso de la improcedencia de la devolución y/o compensación contenida en el </w:t>
      </w:r>
      <w:hyperlink r:id="rId8" w:tooltip="Estatuto Tributario CETA" w:history="1">
        <w:r w:rsidRPr="00255307">
          <w:rPr>
            <w:rFonts w:eastAsia="Times New Roman"/>
            <w:szCs w:val="24"/>
            <w:lang w:eastAsia="es-CO"/>
          </w:rPr>
          <w:t>artículo 670</w:t>
        </w:r>
      </w:hyperlink>
      <w:r w:rsidRPr="00255307">
        <w:rPr>
          <w:rFonts w:eastAsia="Times New Roman"/>
          <w:szCs w:val="24"/>
          <w:lang w:eastAsia="es-CO"/>
        </w:rPr>
        <w:t> y a los factores que la componen, sin hacer alusión a la imputación de saldos a favor, para concluir que sobre los intereses que se causen sobre las sumas devueltas y/o compensadas en forma improcedente no es viable legalmente su reducción pues estas no constituyen la sanción por estos dos hechos.</w:t>
      </w:r>
    </w:p>
    <w:p w14:paraId="116D632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2C81E2DA" w14:textId="77777777" w:rsidR="00B34144" w:rsidRPr="00633E0D" w:rsidRDefault="00B34144" w:rsidP="00B34144">
      <w:pPr>
        <w:spacing w:line="240" w:lineRule="auto"/>
        <w:rPr>
          <w:rFonts w:eastAsia="Times New Roman"/>
          <w:b/>
          <w:bCs/>
          <w:sz w:val="28"/>
          <w:szCs w:val="28"/>
          <w:lang w:eastAsia="es-CO"/>
        </w:rPr>
      </w:pPr>
      <w:r w:rsidRPr="00633E0D">
        <w:rPr>
          <w:rFonts w:eastAsia="Times New Roman"/>
          <w:b/>
          <w:bCs/>
          <w:sz w:val="28"/>
          <w:szCs w:val="28"/>
          <w:lang w:eastAsia="es-CO"/>
        </w:rPr>
        <w:t>En esta oportunidad se refiere al caso de la imputación de saldos a favor a períodos siguientes cuando una vez imputado, la declaración que da origen al saldo es corregida bien sea voluntariamente o por intervención de la administración tributaria.</w:t>
      </w:r>
    </w:p>
    <w:p w14:paraId="0DE89F90" w14:textId="77777777" w:rsidR="00B34144" w:rsidRPr="00255307" w:rsidRDefault="00B34144" w:rsidP="00B34144">
      <w:pPr>
        <w:spacing w:line="240" w:lineRule="auto"/>
        <w:rPr>
          <w:rFonts w:eastAsia="Times New Roman"/>
          <w:b/>
          <w:bCs/>
          <w:sz w:val="32"/>
          <w:szCs w:val="32"/>
          <w:lang w:eastAsia="es-CO"/>
        </w:rPr>
      </w:pPr>
      <w:r w:rsidRPr="00255307">
        <w:rPr>
          <w:rFonts w:eastAsia="Times New Roman"/>
          <w:b/>
          <w:bCs/>
          <w:sz w:val="32"/>
          <w:szCs w:val="32"/>
          <w:lang w:eastAsia="es-CO"/>
        </w:rPr>
        <w:t> </w:t>
      </w:r>
    </w:p>
    <w:p w14:paraId="303E0D0A"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Para ello es pertinente citar los apartes del </w:t>
      </w:r>
      <w:hyperlink r:id="rId9" w:tooltip="Estatuto Tributario CETA" w:history="1">
        <w:r w:rsidRPr="00255307">
          <w:rPr>
            <w:rFonts w:eastAsia="Times New Roman"/>
            <w:szCs w:val="24"/>
            <w:lang w:eastAsia="es-CO"/>
          </w:rPr>
          <w:t>artículo 670</w:t>
        </w:r>
      </w:hyperlink>
      <w:r w:rsidRPr="00255307">
        <w:rPr>
          <w:rFonts w:eastAsia="Times New Roman"/>
          <w:szCs w:val="24"/>
          <w:lang w:eastAsia="es-CO"/>
        </w:rPr>
        <w:t> del estatuto tributario.</w:t>
      </w:r>
    </w:p>
    <w:p w14:paraId="5786F52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6F789031" w14:textId="77777777" w:rsidR="00B34144" w:rsidRPr="00255307" w:rsidRDefault="00B34144" w:rsidP="00B34144">
      <w:pPr>
        <w:spacing w:line="240" w:lineRule="auto"/>
        <w:ind w:left="284"/>
        <w:rPr>
          <w:rFonts w:eastAsia="Times New Roman"/>
          <w:szCs w:val="24"/>
          <w:lang w:eastAsia="es-CO"/>
        </w:rPr>
      </w:pPr>
      <w:r w:rsidRPr="00255307">
        <w:rPr>
          <w:rFonts w:eastAsia="Times New Roman"/>
          <w:b/>
          <w:bCs/>
          <w:szCs w:val="24"/>
          <w:lang w:eastAsia="es-CO"/>
        </w:rPr>
        <w:t>“</w:t>
      </w:r>
      <w:hyperlink r:id="rId10" w:tooltip="Estatuto Tributario CETA" w:history="1">
        <w:r w:rsidRPr="00255307">
          <w:rPr>
            <w:rFonts w:eastAsia="Times New Roman"/>
            <w:b/>
            <w:bCs/>
            <w:szCs w:val="24"/>
            <w:lang w:eastAsia="es-CO"/>
          </w:rPr>
          <w:t>ARTÍCULO 670</w:t>
        </w:r>
      </w:hyperlink>
      <w:r w:rsidRPr="00255307">
        <w:rPr>
          <w:rFonts w:eastAsia="Times New Roman"/>
          <w:b/>
          <w:bCs/>
          <w:szCs w:val="24"/>
          <w:lang w:eastAsia="es-CO"/>
        </w:rPr>
        <w:t>.</w:t>
      </w:r>
      <w:r w:rsidRPr="00255307">
        <w:rPr>
          <w:rFonts w:eastAsia="Times New Roman"/>
          <w:szCs w:val="24"/>
          <w:lang w:eastAsia="es-CO"/>
        </w:rPr>
        <w:t> </w:t>
      </w:r>
      <w:r w:rsidRPr="00255307">
        <w:rPr>
          <w:rFonts w:eastAsia="Times New Roman"/>
          <w:b/>
          <w:bCs/>
          <w:szCs w:val="24"/>
          <w:lang w:eastAsia="es-CO"/>
        </w:rPr>
        <w:t>SANCIÓN POR IMPROCEDENCIA DE LAS DEVOLUCIONES Y/O COMPENSACIONES.</w:t>
      </w:r>
    </w:p>
    <w:p w14:paraId="7F40A7A0"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6E6BA0D4"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&lt; Artículo modificado por el artículo </w:t>
      </w:r>
      <w:r w:rsidRPr="00255307">
        <w:rPr>
          <w:rFonts w:eastAsia="Times New Roman"/>
          <w:szCs w:val="24"/>
          <w:u w:val="single"/>
          <w:lang w:eastAsia="es-CO"/>
        </w:rPr>
        <w:t>293</w:t>
      </w:r>
      <w:r w:rsidRPr="00255307">
        <w:rPr>
          <w:rFonts w:eastAsia="Times New Roman"/>
          <w:szCs w:val="24"/>
          <w:lang w:eastAsia="es-CO"/>
        </w:rPr>
        <w:t> de la Ley 1819 de 2016.&gt; Las devoluciones y/o compensaciones efectuadas de acuerdo con las declaraciones del impuesto sobre la renta y complementarlos, y del impuesto sobre las ventas, presentadas por los contribuyentes o responsables, no constituyen un reconocimiento definitivo a su favor.</w:t>
      </w:r>
    </w:p>
    <w:p w14:paraId="3205E106"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w:t>
      </w:r>
    </w:p>
    <w:p w14:paraId="26966E56"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741393D5" w14:textId="77777777" w:rsidR="00B34144" w:rsidRPr="00633E0D" w:rsidRDefault="00B34144" w:rsidP="00B34144">
      <w:pPr>
        <w:spacing w:line="240" w:lineRule="auto"/>
        <w:ind w:left="284"/>
        <w:rPr>
          <w:rFonts w:eastAsia="Times New Roman"/>
          <w:b/>
          <w:bCs/>
          <w:sz w:val="28"/>
          <w:szCs w:val="28"/>
          <w:u w:val="single"/>
          <w:lang w:eastAsia="es-CO"/>
        </w:rPr>
      </w:pPr>
      <w:r w:rsidRPr="00633E0D">
        <w:rPr>
          <w:rFonts w:eastAsia="Times New Roman"/>
          <w:sz w:val="28"/>
          <w:szCs w:val="28"/>
          <w:lang w:eastAsia="es-CO"/>
        </w:rPr>
        <w:t>Cuando se modifiquen o rechacen saldos a favor que hayan sido imputados por el contribuyente o responsable en sus declaraciones del período siguiente, como consecuencia del proceso de determinación o corrección por parte del contribuyente o responsable, la Administración Tributaria exigirá su reintegro junto con los intereses moratorios correspondientes</w:t>
      </w:r>
      <w:r w:rsidRPr="00633E0D">
        <w:rPr>
          <w:rFonts w:eastAsia="Times New Roman"/>
          <w:b/>
          <w:bCs/>
          <w:sz w:val="28"/>
          <w:szCs w:val="28"/>
          <w:lang w:eastAsia="es-CO"/>
        </w:rPr>
        <w:t xml:space="preserve">, </w:t>
      </w:r>
      <w:r w:rsidRPr="00633E0D">
        <w:rPr>
          <w:rFonts w:eastAsia="Times New Roman"/>
          <w:b/>
          <w:bCs/>
          <w:sz w:val="28"/>
          <w:szCs w:val="28"/>
          <w:u w:val="single"/>
          <w:lang w:eastAsia="es-CO"/>
        </w:rPr>
        <w:t>liquidados desde el día siguiente al vencimiento del plazo para declarar y pagar la declaración objeto de imputación.</w:t>
      </w:r>
    </w:p>
    <w:p w14:paraId="2E1B543B" w14:textId="77777777" w:rsidR="00B34144" w:rsidRPr="00633E0D" w:rsidRDefault="00B34144" w:rsidP="00B34144">
      <w:pPr>
        <w:spacing w:line="240" w:lineRule="auto"/>
        <w:ind w:left="284"/>
        <w:rPr>
          <w:rFonts w:eastAsia="Times New Roman"/>
          <w:b/>
          <w:bCs/>
          <w:sz w:val="28"/>
          <w:szCs w:val="28"/>
          <w:u w:val="single"/>
          <w:lang w:eastAsia="es-CO"/>
        </w:rPr>
      </w:pPr>
      <w:r w:rsidRPr="00633E0D">
        <w:rPr>
          <w:rFonts w:eastAsia="Times New Roman"/>
          <w:b/>
          <w:bCs/>
          <w:sz w:val="28"/>
          <w:szCs w:val="28"/>
          <w:u w:val="single"/>
          <w:lang w:eastAsia="es-CO"/>
        </w:rPr>
        <w:t> </w:t>
      </w:r>
    </w:p>
    <w:p w14:paraId="697B2D07"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w:t>
      </w:r>
    </w:p>
    <w:p w14:paraId="357B5E54"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8DE8ED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En relación con este inciso la modificación que introdujo la Ley 1819 de 2016 consistió en incorporar la corrección voluntaria por parte del contribuyente.</w:t>
      </w:r>
    </w:p>
    <w:p w14:paraId="6D1B7FA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2FD6C42"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lastRenderedPageBreak/>
        <w:t>El artículo 1.6.1.21.24 del DUR 1625 de 2016 compiló el artículo 13 del Decreto 2277 de 2012 (</w:t>
      </w:r>
      <w:r w:rsidRPr="00633E0D">
        <w:rPr>
          <w:rFonts w:eastAsia="Times New Roman"/>
          <w:b/>
          <w:bCs/>
          <w:sz w:val="28"/>
          <w:szCs w:val="28"/>
          <w:lang w:eastAsia="es-CO"/>
        </w:rPr>
        <w:t>que en esencia mantiene lo que había preceptuado el parágrafo 1o del artículo 13 del Decreto 1000 de 1997 derogado</w:t>
      </w:r>
      <w:r w:rsidRPr="00633E0D">
        <w:rPr>
          <w:rFonts w:eastAsia="Times New Roman"/>
          <w:sz w:val="28"/>
          <w:szCs w:val="28"/>
          <w:lang w:eastAsia="es-CO"/>
        </w:rPr>
        <w:t>.), señala:</w:t>
      </w:r>
    </w:p>
    <w:p w14:paraId="5F2EEF2D" w14:textId="77777777" w:rsidR="00B34144" w:rsidRPr="00255307" w:rsidRDefault="00B34144" w:rsidP="00B34144">
      <w:pPr>
        <w:spacing w:line="240" w:lineRule="auto"/>
        <w:rPr>
          <w:rFonts w:eastAsia="Times New Roman"/>
          <w:sz w:val="32"/>
          <w:szCs w:val="32"/>
          <w:lang w:eastAsia="es-CO"/>
        </w:rPr>
      </w:pPr>
      <w:r w:rsidRPr="00255307">
        <w:rPr>
          <w:rFonts w:eastAsia="Times New Roman"/>
          <w:sz w:val="32"/>
          <w:szCs w:val="32"/>
          <w:lang w:eastAsia="es-CO"/>
        </w:rPr>
        <w:t> </w:t>
      </w:r>
    </w:p>
    <w:p w14:paraId="269A6AF7" w14:textId="77777777" w:rsidR="00B34144" w:rsidRPr="00255307" w:rsidRDefault="00B34144" w:rsidP="00B34144">
      <w:pPr>
        <w:spacing w:line="240" w:lineRule="auto"/>
        <w:ind w:left="284"/>
        <w:rPr>
          <w:rFonts w:eastAsia="Times New Roman"/>
          <w:szCs w:val="24"/>
          <w:lang w:eastAsia="es-CO"/>
        </w:rPr>
      </w:pPr>
      <w:r w:rsidRPr="00255307">
        <w:rPr>
          <w:rFonts w:eastAsia="Times New Roman"/>
          <w:b/>
          <w:bCs/>
          <w:szCs w:val="24"/>
          <w:lang w:eastAsia="es-CO"/>
        </w:rPr>
        <w:t>"Artículo </w:t>
      </w:r>
      <w:r w:rsidRPr="00255307">
        <w:rPr>
          <w:rFonts w:eastAsia="Times New Roman"/>
          <w:b/>
          <w:bCs/>
          <w:szCs w:val="24"/>
          <w:u w:val="single"/>
          <w:lang w:eastAsia="es-CO"/>
        </w:rPr>
        <w:t>1.6.1.21.24</w:t>
      </w:r>
      <w:r w:rsidRPr="00255307">
        <w:rPr>
          <w:rFonts w:eastAsia="Times New Roman"/>
          <w:b/>
          <w:bCs/>
          <w:szCs w:val="24"/>
          <w:lang w:eastAsia="es-CO"/>
        </w:rPr>
        <w:t> IMPUTACIÓN DE LOS SALDOS A FAVOR</w:t>
      </w:r>
      <w:r w:rsidRPr="00255307">
        <w:rPr>
          <w:rFonts w:eastAsia="Times New Roman"/>
          <w:szCs w:val="24"/>
          <w:lang w:eastAsia="es-CO"/>
        </w:rPr>
        <w:t>. Los saldos a favor originados en las declaraciones del impuesto sobre la renta y del impuesto sobre las ventas, se podrán imputar en la declaración tributaria del período siguiente por su valor total, aun cuando con la imputación se genere un nuevo saldo a favor.</w:t>
      </w:r>
    </w:p>
    <w:p w14:paraId="0D064280"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4431E7E4"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Cuando al responsable le hubieren practicado retenciones a título del impuesto sobre las ventas y el saldo a favor por este concepto hubiere sido objeto de solicitud de devolución y/o compensación, solo podrá imputarse la diferencia entre el saldo a favor del período y el valor que se solicitó en devolución y/o compensación.</w:t>
      </w:r>
    </w:p>
    <w:p w14:paraId="4999E2EE"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2FA39AC8" w14:textId="77777777" w:rsidR="00B34144" w:rsidRPr="00255307" w:rsidRDefault="00B34144" w:rsidP="00B34144">
      <w:pPr>
        <w:spacing w:line="240" w:lineRule="auto"/>
        <w:ind w:left="284"/>
        <w:rPr>
          <w:rFonts w:eastAsia="Times New Roman"/>
          <w:szCs w:val="24"/>
          <w:lang w:eastAsia="es-CO"/>
        </w:rPr>
      </w:pPr>
      <w:r w:rsidRPr="00255307">
        <w:rPr>
          <w:rFonts w:eastAsia="Times New Roman"/>
          <w:b/>
          <w:bCs/>
          <w:i/>
          <w:iCs/>
          <w:szCs w:val="24"/>
          <w:lang w:eastAsia="es-CO"/>
        </w:rPr>
        <w:t>PARÁGRAFO.</w:t>
      </w:r>
      <w:r w:rsidRPr="00255307">
        <w:rPr>
          <w:rFonts w:eastAsia="Times New Roman"/>
          <w:i/>
          <w:iCs/>
          <w:szCs w:val="24"/>
          <w:lang w:eastAsia="es-CO"/>
        </w:rPr>
        <w:t> Cuando se encuentre improcedente un saldo a favor que hubiere sido imputado en períodos subsiguientes, las modificaciones a la liquidación privada se harán respecto al período en el cual el contribuyente o responsable se determinó dicho saldo a favor, liquidando las sanciones a que hubiere lugar. En tal caso, la Dirección Seccional exigirá el reintegro de los saldos a favor imputados en forma improcedente incrementados con los respectivos intereses moratorios, cuando haya lugar a ello, sin perjuicio de lo establecido en el artículo </w:t>
      </w:r>
      <w:r w:rsidRPr="00255307">
        <w:rPr>
          <w:rFonts w:eastAsia="Times New Roman"/>
          <w:i/>
          <w:iCs/>
          <w:szCs w:val="24"/>
          <w:u w:val="single"/>
          <w:lang w:eastAsia="es-CO"/>
        </w:rPr>
        <w:t>43</w:t>
      </w:r>
      <w:r w:rsidRPr="00255307">
        <w:rPr>
          <w:rFonts w:eastAsia="Times New Roman"/>
          <w:i/>
          <w:iCs/>
          <w:szCs w:val="24"/>
          <w:lang w:eastAsia="es-CO"/>
        </w:rPr>
        <w:t> de la Ley 962 de 2005.”</w:t>
      </w:r>
    </w:p>
    <w:p w14:paraId="3275A7B9" w14:textId="77777777" w:rsidR="00B34144" w:rsidRPr="00255307" w:rsidRDefault="00B34144" w:rsidP="00B34144">
      <w:pPr>
        <w:spacing w:line="240" w:lineRule="auto"/>
        <w:rPr>
          <w:rFonts w:eastAsia="Times New Roman"/>
          <w:sz w:val="32"/>
          <w:szCs w:val="32"/>
          <w:lang w:eastAsia="es-CO"/>
        </w:rPr>
      </w:pPr>
      <w:r w:rsidRPr="00255307">
        <w:rPr>
          <w:rFonts w:eastAsia="Times New Roman"/>
          <w:sz w:val="32"/>
          <w:szCs w:val="32"/>
          <w:lang w:eastAsia="es-CO"/>
        </w:rPr>
        <w:t> </w:t>
      </w:r>
    </w:p>
    <w:p w14:paraId="66B03F78" w14:textId="77777777" w:rsidR="00B34144" w:rsidRPr="00633E0D" w:rsidRDefault="00B34144" w:rsidP="00B34144">
      <w:pPr>
        <w:spacing w:line="240" w:lineRule="auto"/>
        <w:rPr>
          <w:rFonts w:eastAsia="Times New Roman"/>
          <w:b/>
          <w:bCs/>
          <w:sz w:val="28"/>
          <w:szCs w:val="28"/>
          <w:u w:val="single"/>
          <w:lang w:eastAsia="es-CO"/>
        </w:rPr>
      </w:pPr>
      <w:r w:rsidRPr="00633E0D">
        <w:rPr>
          <w:rFonts w:eastAsia="Times New Roman"/>
          <w:sz w:val="28"/>
          <w:szCs w:val="28"/>
          <w:lang w:eastAsia="es-CO"/>
        </w:rPr>
        <w:t xml:space="preserve">Es claro entonces que cuando se ha imputado un saldo a favor y la declaración que lo contiene se corrige (de manera voluntaria o provocada) disminuyéndolo </w:t>
      </w:r>
      <w:r w:rsidRPr="00633E0D">
        <w:rPr>
          <w:rFonts w:eastAsia="Times New Roman"/>
          <w:b/>
          <w:bCs/>
          <w:sz w:val="28"/>
          <w:szCs w:val="28"/>
          <w:lang w:eastAsia="es-CO"/>
        </w:rPr>
        <w:t xml:space="preserve">deberá procederse a su reintegro </w:t>
      </w:r>
      <w:r w:rsidRPr="00633E0D">
        <w:rPr>
          <w:rFonts w:eastAsia="Times New Roman"/>
          <w:b/>
          <w:bCs/>
          <w:sz w:val="28"/>
          <w:szCs w:val="28"/>
          <w:u w:val="single"/>
          <w:lang w:eastAsia="es-CO"/>
        </w:rPr>
        <w:t>de tal suerte que no sea necesario la corrección de las declaraciones con imputación sucesiva.</w:t>
      </w:r>
    </w:p>
    <w:p w14:paraId="127FC194" w14:textId="77777777" w:rsidR="00B34144" w:rsidRPr="00255307" w:rsidRDefault="00B34144" w:rsidP="00B34144">
      <w:pPr>
        <w:spacing w:line="240" w:lineRule="auto"/>
        <w:rPr>
          <w:rFonts w:eastAsia="Times New Roman"/>
          <w:b/>
          <w:bCs/>
          <w:szCs w:val="24"/>
          <w:lang w:eastAsia="es-CO"/>
        </w:rPr>
      </w:pPr>
      <w:r w:rsidRPr="00255307">
        <w:rPr>
          <w:rFonts w:eastAsia="Times New Roman"/>
          <w:b/>
          <w:bCs/>
          <w:szCs w:val="24"/>
          <w:lang w:eastAsia="es-CO"/>
        </w:rPr>
        <w:t> </w:t>
      </w:r>
    </w:p>
    <w:p w14:paraId="4A31FC3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Para efectos de establecer si sobre este reintegro procede o no la liquidación de intereses deberá analizarse en cada caso el efecto de la corrección y la utilización del saldo a favor.</w:t>
      </w:r>
    </w:p>
    <w:p w14:paraId="7AA5C5AF"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449DC681" w14:textId="77777777" w:rsidR="00B34144" w:rsidRPr="00255307" w:rsidRDefault="00B34144" w:rsidP="00B34144">
      <w:pPr>
        <w:spacing w:line="240" w:lineRule="auto"/>
        <w:rPr>
          <w:rFonts w:eastAsia="Times New Roman"/>
          <w:szCs w:val="24"/>
          <w:lang w:eastAsia="es-CO"/>
        </w:rPr>
      </w:pPr>
      <w:r w:rsidRPr="00F42DEC">
        <w:rPr>
          <w:rFonts w:eastAsia="Times New Roman"/>
          <w:szCs w:val="24"/>
          <w:lang w:eastAsia="es-CO"/>
        </w:rPr>
        <w:t>Ello porque la imputación consiste únicamente en su acumulación en el período siguiente puede afirmarse que se ha producido solamente un arrastre del mismo que no afecta el resultado de la declaración siguiente.</w:t>
      </w:r>
    </w:p>
    <w:p w14:paraId="73D52D7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43EDA18" w14:textId="77777777" w:rsidR="00B34144" w:rsidRPr="00633E0D" w:rsidRDefault="00B34144" w:rsidP="00B34144">
      <w:pPr>
        <w:spacing w:line="240" w:lineRule="auto"/>
        <w:rPr>
          <w:rFonts w:eastAsia="Times New Roman"/>
          <w:b/>
          <w:bCs/>
          <w:sz w:val="28"/>
          <w:szCs w:val="28"/>
          <w:lang w:eastAsia="es-CO"/>
        </w:rPr>
      </w:pPr>
      <w:r w:rsidRPr="00255307">
        <w:rPr>
          <w:rFonts w:eastAsia="Times New Roman"/>
          <w:szCs w:val="24"/>
          <w:lang w:eastAsia="es-CO"/>
        </w:rPr>
        <w:t xml:space="preserve">Mas, si por efecto de la imputación el saldo a favor es utilizado en todo o en parte para disminuir el impuesto a cargo de la declaración del período siguiente que recibe el saldo, a diferencia de la situación anterior; con este saldo se está pagando todo o parte de dicho impuesto. </w:t>
      </w:r>
      <w:r w:rsidRPr="00633E0D">
        <w:rPr>
          <w:rFonts w:eastAsia="Times New Roman"/>
          <w:b/>
          <w:bCs/>
          <w:sz w:val="28"/>
          <w:szCs w:val="28"/>
          <w:lang w:eastAsia="es-CO"/>
        </w:rPr>
        <w:t>En este caso al haber sido utilizado deberá reintegrarse junto con los intereses que correspondan liquidados desde el día siguiente al vencimiento del plazo para declarar y pagar la declaración objeto de imputación, los cuales no son objeto de reducción.</w:t>
      </w:r>
    </w:p>
    <w:p w14:paraId="0A41A1DD" w14:textId="77777777" w:rsidR="00B34144" w:rsidRPr="00255307" w:rsidRDefault="00B34144" w:rsidP="00B34144">
      <w:pPr>
        <w:spacing w:line="240" w:lineRule="auto"/>
        <w:rPr>
          <w:rFonts w:eastAsia="Times New Roman"/>
          <w:b/>
          <w:bCs/>
          <w:szCs w:val="24"/>
          <w:lang w:eastAsia="es-CO"/>
        </w:rPr>
      </w:pPr>
      <w:r w:rsidRPr="00255307">
        <w:rPr>
          <w:rFonts w:eastAsia="Times New Roman"/>
          <w:b/>
          <w:bCs/>
          <w:szCs w:val="24"/>
          <w:lang w:eastAsia="es-CO"/>
        </w:rPr>
        <w:t> </w:t>
      </w:r>
    </w:p>
    <w:p w14:paraId="12EB5848"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En este sentido acorde con la norma reglamentaria antes citada se pronunció el Concepto No. 083619 de Diciembre 31 de 2002 que mantiene vigencia:</w:t>
      </w:r>
    </w:p>
    <w:p w14:paraId="69A67016" w14:textId="77777777" w:rsidR="00B34144" w:rsidRPr="00F42DEC" w:rsidRDefault="00B34144" w:rsidP="00B34144">
      <w:pPr>
        <w:spacing w:line="240" w:lineRule="auto"/>
        <w:rPr>
          <w:rFonts w:eastAsia="Times New Roman"/>
          <w:sz w:val="32"/>
          <w:szCs w:val="32"/>
          <w:lang w:eastAsia="es-CO"/>
        </w:rPr>
      </w:pPr>
      <w:r w:rsidRPr="00F42DEC">
        <w:rPr>
          <w:rFonts w:eastAsia="Times New Roman"/>
          <w:sz w:val="32"/>
          <w:szCs w:val="32"/>
          <w:lang w:eastAsia="es-CO"/>
        </w:rPr>
        <w:lastRenderedPageBreak/>
        <w:t> </w:t>
      </w:r>
    </w:p>
    <w:p w14:paraId="3126E31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w:t>
      </w:r>
    </w:p>
    <w:p w14:paraId="3BE2E72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0ACAE8C3" w14:textId="77777777" w:rsidR="00B34144" w:rsidRPr="00633E0D" w:rsidRDefault="00B34144" w:rsidP="00B34144">
      <w:pPr>
        <w:spacing w:line="240" w:lineRule="auto"/>
        <w:rPr>
          <w:rFonts w:eastAsia="Times New Roman"/>
          <w:sz w:val="28"/>
          <w:szCs w:val="28"/>
          <w:lang w:eastAsia="es-CO"/>
        </w:rPr>
      </w:pPr>
      <w:r w:rsidRPr="00255307">
        <w:rPr>
          <w:rFonts w:eastAsia="Times New Roman"/>
          <w:szCs w:val="24"/>
          <w:lang w:eastAsia="es-CO"/>
        </w:rPr>
        <w:t>Reza la misma disposición que esta sanción se impone mediante Liquidación Oficial de Revisión, en la que se rechaza o modifica el saldo a favor objeto de devolución o compensación y que deberán reintegrarse las sumas devueltas o compensadas en exceso más los intereses moratorios </w:t>
      </w:r>
      <w:r w:rsidRPr="00255307">
        <w:rPr>
          <w:rFonts w:eastAsia="Times New Roman"/>
          <w:szCs w:val="24"/>
          <w:u w:val="single"/>
          <w:lang w:eastAsia="es-CO"/>
        </w:rPr>
        <w:t>que correspondan</w:t>
      </w:r>
      <w:r w:rsidRPr="00255307">
        <w:rPr>
          <w:rFonts w:eastAsia="Times New Roman"/>
          <w:szCs w:val="24"/>
          <w:lang w:eastAsia="es-CO"/>
        </w:rPr>
        <w:t xml:space="preserve">, aumentados estos últimos en un cincuenta por ciento (50%). </w:t>
      </w:r>
      <w:r w:rsidRPr="00633E0D">
        <w:rPr>
          <w:rFonts w:eastAsia="Times New Roman"/>
          <w:sz w:val="28"/>
          <w:szCs w:val="28"/>
          <w:lang w:eastAsia="es-CO"/>
        </w:rPr>
        <w:t>Pero, si el saldo a favor modificado o suprimido no fue compensado o devuelto, sino imputado o sea arrastrado por el contribuyente o responsable en sus declaraciones del período siguiente, se exigirá su reintegro, incrementado en los intereses moratorios </w:t>
      </w:r>
      <w:r w:rsidRPr="00633E0D">
        <w:rPr>
          <w:rFonts w:eastAsia="Times New Roman"/>
          <w:sz w:val="28"/>
          <w:szCs w:val="28"/>
          <w:u w:val="single"/>
          <w:lang w:eastAsia="es-CO"/>
        </w:rPr>
        <w:t>correspondientes</w:t>
      </w:r>
      <w:r w:rsidRPr="00633E0D">
        <w:rPr>
          <w:rFonts w:eastAsia="Times New Roman"/>
          <w:sz w:val="28"/>
          <w:szCs w:val="28"/>
          <w:lang w:eastAsia="es-CO"/>
        </w:rPr>
        <w:t>, sin más adiciones, (subrayamos).</w:t>
      </w:r>
    </w:p>
    <w:p w14:paraId="255044A7"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13667CE8"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Como se observa, en ambas circunstancias al exigirse el reintegro de los dineros mal declarados como saldo a favor, se habla de los intereses moratorios correspondientes, y así se interpreta en el Decreto 1000 de 1997, en el parágrafo del artículo 13, cuando en relación con los intereses se utiliza la expresión "...cuando haya lugar"; queriendo ello significar, que se debe acudir a las normas generales que regulan los intereses moratorios tributarios, las cuales como se estableció en la parte inicial, indican que se producen sobre los saldos no cancelados provenientes de impuestos, anticipos o retenciones; luego, forzoso es concluir, que si no existen saldos a cargo, los intereses moratorios no se producirán, porque no hay base para su liquidación.</w:t>
      </w:r>
    </w:p>
    <w:p w14:paraId="5DD299A2"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735CD562"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Corolario de lo anterior y como doctrina que se adopta en este pronunciamiento aclarando las anteriores, </w:t>
      </w:r>
      <w:r w:rsidRPr="00633E0D">
        <w:rPr>
          <w:rFonts w:eastAsia="Times New Roman"/>
          <w:i/>
          <w:iCs/>
          <w:sz w:val="28"/>
          <w:szCs w:val="28"/>
          <w:lang w:eastAsia="es-CO"/>
        </w:rPr>
        <w:t>se deduce que solo se generan intereses moratorias cuando en virtud de una corrección voluntaria, de una corrección provocada o por una liquidación oficial de revisión, se disminuye o desaparece el saldo a favor que se devuelve o con el que por imputación o compensación se cubrían total o parcialmente obligaciones a cargo del contribuyente, agentes de retención o responsables de los impuestos administrados por la Dirección de Impuestos y Aduanas Nacionales, cuando con la modificación resulta un saldo a pagar. Tales intereses se causan conforme lo dispuesto por la Ley 788 de diciembre 27 de 2002 que contiene la reforma tributaria, por cada día calendario de retardo en el pago sobre los saldos provenientes de los impuestos, anticipos y retenciones a su cargo, porque no se cancelaron oportunamente y se liquidan desde la fecha en que se debió presentar la respectiva declaración y/o las de efectuar su pago, hasta la fecha en que se realice su cancelación.</w:t>
      </w:r>
    </w:p>
    <w:p w14:paraId="4B730244"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162AD9AD"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En igual sentido se precisa en este Concepto que el título base de ejecución para el cobro de los intereses que en estos eventos se generen, de acuerdo con el inciso segundo del parágrafo del </w:t>
      </w:r>
      <w:hyperlink r:id="rId11" w:tooltip="Estatuto Tributario CETA" w:history="1">
        <w:r w:rsidRPr="00633E0D">
          <w:rPr>
            <w:rFonts w:eastAsia="Times New Roman"/>
            <w:sz w:val="28"/>
            <w:szCs w:val="28"/>
            <w:lang w:eastAsia="es-CO"/>
          </w:rPr>
          <w:t>artículo 828</w:t>
        </w:r>
      </w:hyperlink>
      <w:r w:rsidRPr="00633E0D">
        <w:rPr>
          <w:rFonts w:eastAsia="Times New Roman"/>
          <w:sz w:val="28"/>
          <w:szCs w:val="28"/>
          <w:lang w:eastAsia="es-CO"/>
        </w:rPr>
        <w:t xml:space="preserve"> del Estatuto Tributario, es suficiente la </w:t>
      </w:r>
      <w:r w:rsidRPr="00633E0D">
        <w:rPr>
          <w:rFonts w:eastAsia="Times New Roman"/>
          <w:sz w:val="28"/>
          <w:szCs w:val="28"/>
          <w:lang w:eastAsia="es-CO"/>
        </w:rPr>
        <w:lastRenderedPageBreak/>
        <w:t>liquidación que de ellos efectúe el funcionario competente, sin que esto obste para que atendiendo el acto oficial modificatorio, la base de cálculo sea la determinada en este."</w:t>
      </w:r>
    </w:p>
    <w:p w14:paraId="04ED75B4"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24C9222E"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De otra parte, si con la declaración de corrección desaparece el saldo a favor y se genera respecto de esta un valor a pagar, es claro que además de la sanción por corrección, se generaran intereses moratorios en los términos del </w:t>
      </w:r>
      <w:hyperlink r:id="rId12" w:tooltip="Estatuto Tributario CETA" w:history="1">
        <w:r w:rsidRPr="00633E0D">
          <w:rPr>
            <w:rFonts w:eastAsia="Times New Roman"/>
            <w:sz w:val="28"/>
            <w:szCs w:val="28"/>
            <w:lang w:eastAsia="es-CO"/>
          </w:rPr>
          <w:t>artículo 634</w:t>
        </w:r>
      </w:hyperlink>
      <w:r w:rsidRPr="00633E0D">
        <w:rPr>
          <w:rFonts w:eastAsia="Times New Roman"/>
          <w:sz w:val="28"/>
          <w:szCs w:val="28"/>
          <w:lang w:eastAsia="es-CO"/>
        </w:rPr>
        <w:t> del estatuto tributario sobre los valores determinados que no fueron pagados en su oportunidad.</w:t>
      </w:r>
    </w:p>
    <w:p w14:paraId="5331037F"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1A5FEF3D"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Lo expuesto tiene incidencia en las solicitudes de Conciliación y/o Terminación por Mutuo Acuerdo, figuras establecidas en los artículos 100 y 101 de la Ley 1943 de 2018.</w:t>
      </w:r>
    </w:p>
    <w:p w14:paraId="56E09663" w14:textId="77777777" w:rsidR="00B84075" w:rsidRDefault="00B84075" w:rsidP="00B34144">
      <w:pPr>
        <w:spacing w:line="240" w:lineRule="auto"/>
        <w:rPr>
          <w:rFonts w:eastAsia="Times New Roman"/>
          <w:sz w:val="28"/>
          <w:szCs w:val="28"/>
          <w:lang w:eastAsia="es-CO"/>
        </w:rPr>
      </w:pPr>
    </w:p>
    <w:p w14:paraId="016D10D0" w14:textId="77777777" w:rsidR="00B84075" w:rsidRDefault="00B84075" w:rsidP="00B34144">
      <w:pPr>
        <w:spacing w:line="240" w:lineRule="auto"/>
        <w:rPr>
          <w:rFonts w:eastAsia="Times New Roman"/>
          <w:sz w:val="28"/>
          <w:szCs w:val="28"/>
          <w:lang w:eastAsia="es-CO"/>
        </w:rPr>
      </w:pPr>
    </w:p>
    <w:p w14:paraId="15DDAE33" w14:textId="00F63C1F"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Atentamente,</w:t>
      </w:r>
    </w:p>
    <w:p w14:paraId="21517C81" w14:textId="13FAFC41"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LORENZO CASTILLO BARVO</w:t>
      </w:r>
    </w:p>
    <w:p w14:paraId="4E2234DB"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Subdirector de Gestión Normativa y Doctrina (E)</w:t>
      </w:r>
    </w:p>
    <w:p w14:paraId="1152A727" w14:textId="3313DF11" w:rsidR="00B34144" w:rsidRDefault="00B34144" w:rsidP="00B34144">
      <w:pPr>
        <w:spacing w:line="240" w:lineRule="auto"/>
        <w:rPr>
          <w:rFonts w:eastAsia="Times New Roman"/>
          <w:szCs w:val="24"/>
          <w:lang w:eastAsia="es-CO"/>
        </w:rPr>
      </w:pPr>
      <w:r w:rsidRPr="00255307">
        <w:rPr>
          <w:rFonts w:eastAsia="Times New Roman"/>
          <w:szCs w:val="24"/>
          <w:lang w:eastAsia="es-CO"/>
        </w:rPr>
        <w:t>Dirección de Gestión Jurídica UAE-DIAN</w:t>
      </w:r>
      <w:r w:rsidR="00F42DEC">
        <w:rPr>
          <w:rFonts w:eastAsia="Times New Roman"/>
          <w:szCs w:val="24"/>
          <w:lang w:eastAsia="es-CO"/>
        </w:rPr>
        <w:t>.</w:t>
      </w:r>
    </w:p>
    <w:p w14:paraId="1C615623" w14:textId="183EA2CF" w:rsidR="00A24D24" w:rsidRDefault="00A24D24" w:rsidP="00B34144">
      <w:pPr>
        <w:spacing w:line="240" w:lineRule="auto"/>
        <w:rPr>
          <w:rFonts w:eastAsia="Times New Roman"/>
          <w:szCs w:val="24"/>
          <w:lang w:eastAsia="es-CO"/>
        </w:rPr>
      </w:pPr>
      <w:r>
        <w:rPr>
          <w:rFonts w:eastAsia="Times New Roman"/>
          <w:szCs w:val="24"/>
          <w:lang w:eastAsia="es-CO"/>
        </w:rPr>
        <w:t>______________________________________________________________________________</w:t>
      </w:r>
      <w:bookmarkStart w:id="0" w:name="_GoBack"/>
      <w:bookmarkEnd w:id="0"/>
    </w:p>
    <w:sectPr w:rsidR="00A24D24" w:rsidSect="00B84075">
      <w:headerReference w:type="default" r:id="rId13"/>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A34E1" w14:textId="77777777" w:rsidR="009C0D7C" w:rsidRDefault="009C0D7C" w:rsidP="00B84075">
      <w:pPr>
        <w:spacing w:line="240" w:lineRule="auto"/>
      </w:pPr>
      <w:r>
        <w:separator/>
      </w:r>
    </w:p>
  </w:endnote>
  <w:endnote w:type="continuationSeparator" w:id="0">
    <w:p w14:paraId="4A842336" w14:textId="77777777" w:rsidR="009C0D7C" w:rsidRDefault="009C0D7C" w:rsidP="00B84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FC67B" w14:textId="77777777" w:rsidR="009C0D7C" w:rsidRDefault="009C0D7C" w:rsidP="00B84075">
      <w:pPr>
        <w:spacing w:line="240" w:lineRule="auto"/>
      </w:pPr>
      <w:r>
        <w:separator/>
      </w:r>
    </w:p>
  </w:footnote>
  <w:footnote w:type="continuationSeparator" w:id="0">
    <w:p w14:paraId="6480DD70" w14:textId="77777777" w:rsidR="009C0D7C" w:rsidRDefault="009C0D7C" w:rsidP="00B840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891555"/>
      <w:docPartObj>
        <w:docPartGallery w:val="Page Numbers (Top of Page)"/>
        <w:docPartUnique/>
      </w:docPartObj>
    </w:sdtPr>
    <w:sdtEndPr/>
    <w:sdtContent>
      <w:p w14:paraId="2C1A8AB4" w14:textId="105E2CB2" w:rsidR="00B84075" w:rsidRDefault="00B84075">
        <w:pPr>
          <w:pStyle w:val="Encabezado"/>
          <w:jc w:val="right"/>
        </w:pPr>
        <w:r>
          <w:fldChar w:fldCharType="begin"/>
        </w:r>
        <w:r>
          <w:instrText>PAGE   \* MERGEFORMAT</w:instrText>
        </w:r>
        <w:r>
          <w:fldChar w:fldCharType="separate"/>
        </w:r>
        <w:r>
          <w:rPr>
            <w:lang w:val="es-ES"/>
          </w:rPr>
          <w:t>2</w:t>
        </w:r>
        <w:r>
          <w:fldChar w:fldCharType="end"/>
        </w:r>
      </w:p>
    </w:sdtContent>
  </w:sdt>
  <w:p w14:paraId="6AB68A2F" w14:textId="77777777" w:rsidR="00B84075" w:rsidRDefault="00B840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4"/>
    <w:rsid w:val="00052B65"/>
    <w:rsid w:val="000A0AEA"/>
    <w:rsid w:val="00255307"/>
    <w:rsid w:val="0030018D"/>
    <w:rsid w:val="00443993"/>
    <w:rsid w:val="00633E0D"/>
    <w:rsid w:val="007F5CC8"/>
    <w:rsid w:val="00843AA8"/>
    <w:rsid w:val="009C0D7C"/>
    <w:rsid w:val="00A24D24"/>
    <w:rsid w:val="00B34144"/>
    <w:rsid w:val="00B84075"/>
    <w:rsid w:val="00F42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914C"/>
  <w15:chartTrackingRefBased/>
  <w15:docId w15:val="{C62249E7-E9E3-4270-ABAD-FB59AAA0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07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4075"/>
  </w:style>
  <w:style w:type="paragraph" w:styleId="Piedepgina">
    <w:name w:val="footer"/>
    <w:basedOn w:val="Normal"/>
    <w:link w:val="PiedepginaCar"/>
    <w:uiPriority w:val="99"/>
    <w:unhideWhenUsed/>
    <w:rsid w:val="00B8407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4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33"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eta.org.co/html/vista_de_un_articulo.asp?Norma=833" TargetMode="External"/><Relationship Id="rId12" Type="http://schemas.openxmlformats.org/officeDocument/2006/relationships/hyperlink" Target="https://www.ceta.org.co/html/vista_de_un_articulo.asp?Norma=7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33" TargetMode="External"/><Relationship Id="rId11" Type="http://schemas.openxmlformats.org/officeDocument/2006/relationships/hyperlink" Target="https://www.ceta.org.co/html/vista_de_un_articulo.asp?Norma=102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eta.org.co/html/vista_de_un_articulo.asp?Norma=833" TargetMode="External"/><Relationship Id="rId4" Type="http://schemas.openxmlformats.org/officeDocument/2006/relationships/footnotes" Target="footnotes.xml"/><Relationship Id="rId9" Type="http://schemas.openxmlformats.org/officeDocument/2006/relationships/hyperlink" Target="https://www.ceta.org.co/html/vista_de_un_articulo.asp?Norma=83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cp:lastPrinted>2020-02-23T17:49:00Z</cp:lastPrinted>
  <dcterms:created xsi:type="dcterms:W3CDTF">2020-02-23T20:35:00Z</dcterms:created>
  <dcterms:modified xsi:type="dcterms:W3CDTF">2020-02-23T20:36:00Z</dcterms:modified>
</cp:coreProperties>
</file>