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E769" w14:textId="77777777" w:rsidR="00035F52" w:rsidRDefault="00035F52">
      <w:bookmarkStart w:id="0" w:name="_ftn17"/>
    </w:p>
    <w:p w14:paraId="717C5FF0" w14:textId="77777777" w:rsidR="00035F52" w:rsidRDefault="00035F52"/>
    <w:p w14:paraId="4B796E41" w14:textId="77777777" w:rsidR="00035F52" w:rsidRDefault="00035F52"/>
    <w:p w14:paraId="0C878BF5"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4710EF66"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CONSEJO DE ESTADO</w:t>
      </w:r>
    </w:p>
    <w:p w14:paraId="6FBCFB23"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SALA DE LO CONTENCIOSO ADMINISTRATIVO</w:t>
      </w:r>
    </w:p>
    <w:p w14:paraId="3FFB5AD0"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SECCIÓN CUARTA</w:t>
      </w:r>
    </w:p>
    <w:p w14:paraId="28D7A306"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 </w:t>
      </w:r>
    </w:p>
    <w:p w14:paraId="7395DF43"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Consejera ponente: STELLA JEANNETTE CARVAJAL BASTO</w:t>
      </w:r>
    </w:p>
    <w:p w14:paraId="57A3157C"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Bogotá D.C., veintitrés (23) de noviembre de dos mil dieciocho (2018)</w:t>
      </w:r>
    </w:p>
    <w:p w14:paraId="267C1189"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Radicación número: 11001-03-27-000-2016-00015-00(22392)</w:t>
      </w:r>
    </w:p>
    <w:p w14:paraId="00B9864C"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Actor: JUAN RAFAEL BRAVO ARTEAGA</w:t>
      </w:r>
    </w:p>
    <w:p w14:paraId="6861B6B2"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Demandado: DIRECCIÓN DE IMPUESTOS Y ADUANAS NACIONALES – DIAN</w:t>
      </w:r>
    </w:p>
    <w:p w14:paraId="07AAC780"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 </w:t>
      </w:r>
    </w:p>
    <w:p w14:paraId="3DB4299B"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FALLO</w:t>
      </w:r>
    </w:p>
    <w:p w14:paraId="43ACEA5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FF"/>
          <w:sz w:val="18"/>
          <w:szCs w:val="18"/>
          <w:lang w:eastAsia="es-CO"/>
        </w:rPr>
        <w:t> </w:t>
      </w:r>
    </w:p>
    <w:p w14:paraId="5BA5D21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FF"/>
          <w:sz w:val="18"/>
          <w:szCs w:val="18"/>
          <w:lang w:eastAsia="es-CO"/>
        </w:rPr>
        <w:t> </w:t>
      </w:r>
    </w:p>
    <w:p w14:paraId="0379535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ejercicio de la competencia atribuida por el numeral 1º del artículo 149 del CPACA, provee la Sala sobre la demanda de nulidad interpuesta contra el aparte de la tesis jurídica del Concepto 100208221-00793 (18128) del 18 de junio de 2015, del Subdirector de Gestión Normativa y Doctrina de la DIAN</w:t>
      </w:r>
      <w:bookmarkStart w:id="1" w:name="_ftnref1"/>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w:t>
      </w:r>
      <w:r w:rsidRPr="00035F52">
        <w:rPr>
          <w:rFonts w:ascii="Segoe UI" w:eastAsia="Times New Roman" w:hAnsi="Segoe UI" w:cs="Segoe UI"/>
          <w:color w:val="000000"/>
          <w:sz w:val="18"/>
          <w:szCs w:val="18"/>
          <w:lang w:eastAsia="es-CO"/>
        </w:rPr>
        <w:fldChar w:fldCharType="end"/>
      </w:r>
      <w:bookmarkEnd w:id="1"/>
      <w:r w:rsidRPr="00035F52">
        <w:rPr>
          <w:rFonts w:ascii="Segoe UI" w:eastAsia="Times New Roman" w:hAnsi="Segoe UI" w:cs="Segoe UI"/>
          <w:color w:val="000000"/>
          <w:sz w:val="18"/>
          <w:szCs w:val="18"/>
          <w:lang w:eastAsia="es-CO"/>
        </w:rPr>
        <w:t>, cuyo texto es el siguiente:</w:t>
      </w:r>
    </w:p>
    <w:p w14:paraId="607FC131" w14:textId="77777777" w:rsidR="00035F52" w:rsidRPr="00035F52" w:rsidRDefault="00035F52" w:rsidP="00035F52">
      <w:pPr>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20236DAA"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proofErr w:type="gramStart"/>
      <w:r w:rsidRPr="00035F52">
        <w:rPr>
          <w:rFonts w:ascii="Segoe UI" w:eastAsia="Times New Roman" w:hAnsi="Segoe UI" w:cs="Segoe UI"/>
          <w:b/>
          <w:bCs/>
          <w:i/>
          <w:iCs/>
          <w:color w:val="000000"/>
          <w:sz w:val="22"/>
          <w:lang w:eastAsia="es-CO"/>
        </w:rPr>
        <w:t>”Problema</w:t>
      </w:r>
      <w:proofErr w:type="gramEnd"/>
      <w:r w:rsidRPr="00035F52">
        <w:rPr>
          <w:rFonts w:ascii="Segoe UI" w:eastAsia="Times New Roman" w:hAnsi="Segoe UI" w:cs="Segoe UI"/>
          <w:b/>
          <w:bCs/>
          <w:i/>
          <w:iCs/>
          <w:color w:val="000000"/>
          <w:sz w:val="22"/>
          <w:lang w:eastAsia="es-CO"/>
        </w:rPr>
        <w:t xml:space="preserve"> jurídico</w:t>
      </w:r>
    </w:p>
    <w:p w14:paraId="0A32C5B6"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58D79E5F"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Si una norma modifica alguno de los elementos constitutivos de un impuesto de período ¿Dicha norma es aplicable a partir de su entrada en vigencia de ser favorable para el contribuyente o a partir del siguiente período fiscal a la fecha de su promulgación?</w:t>
      </w:r>
    </w:p>
    <w:p w14:paraId="62E398BF"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5067C95A"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De aceptarse que la norma en comento es aplicable a partir de su entrada en vigencia ¿Sus efectos gobiernan la totalidad del período fiscal o es necesario fraccionarlo para diferenciar el espacio de tiempo a partir del cual es aplicable dentro de aquel?</w:t>
      </w:r>
    </w:p>
    <w:p w14:paraId="38A4661A"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15EDB636"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i/>
          <w:iCs/>
          <w:color w:val="000000"/>
          <w:sz w:val="22"/>
          <w:lang w:eastAsia="es-CO"/>
        </w:rPr>
        <w:t>Tesis jurídica</w:t>
      </w:r>
    </w:p>
    <w:p w14:paraId="5B73E306"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07D939DF"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i/>
          <w:iCs/>
          <w:color w:val="000000"/>
          <w:sz w:val="22"/>
          <w:lang w:eastAsia="es-CO"/>
        </w:rPr>
        <w:t>No es de recibo la aplicación inmediata de una norma que modifica alguno de los elementos constitutivos de un impuesto de período alegándose el principio de favorabilidad, pues en derecho tributario este únicamente es predicable en materia sancionatoria. Por el contrario, la modificación legal en comento solo es aplicable a partir del período fiscal siguiente a la fecha de su promulgación en aras de los principios constitucionales de legalidad e irretroactividad.</w:t>
      </w:r>
      <w:bookmarkStart w:id="2" w:name="_ftnref2"/>
      <w:r w:rsidRPr="00035F52">
        <w:rPr>
          <w:rFonts w:ascii="Segoe UI" w:eastAsia="Times New Roman" w:hAnsi="Segoe UI" w:cs="Segoe UI"/>
          <w:b/>
          <w:bCs/>
          <w:i/>
          <w:iCs/>
          <w:color w:val="000000"/>
          <w:sz w:val="22"/>
          <w:lang w:eastAsia="es-CO"/>
        </w:rPr>
        <w:fldChar w:fldCharType="begin"/>
      </w:r>
      <w:r w:rsidRPr="00035F52">
        <w:rPr>
          <w:rFonts w:ascii="Segoe UI" w:eastAsia="Times New Roman" w:hAnsi="Segoe UI" w:cs="Segoe UI"/>
          <w:b/>
          <w:bCs/>
          <w:i/>
          <w:iCs/>
          <w:color w:val="000000"/>
          <w:sz w:val="22"/>
          <w:lang w:eastAsia="es-CO"/>
        </w:rPr>
        <w:instrText xml:space="preserve"> HYPERLINK "https://www.ceta.org.co/html/vista_de_un_documento.asp?DocumentoID=36281" \l "_ftn2" \o "" </w:instrText>
      </w:r>
      <w:r w:rsidRPr="00035F52">
        <w:rPr>
          <w:rFonts w:ascii="Segoe UI" w:eastAsia="Times New Roman" w:hAnsi="Segoe UI" w:cs="Segoe UI"/>
          <w:b/>
          <w:bCs/>
          <w:i/>
          <w:iCs/>
          <w:color w:val="000000"/>
          <w:sz w:val="22"/>
          <w:lang w:eastAsia="es-CO"/>
        </w:rPr>
        <w:fldChar w:fldCharType="separate"/>
      </w:r>
      <w:r w:rsidRPr="00035F52">
        <w:rPr>
          <w:rFonts w:ascii="Segoe UI" w:eastAsia="Times New Roman" w:hAnsi="Segoe UI" w:cs="Segoe UI"/>
          <w:b/>
          <w:bCs/>
          <w:i/>
          <w:iCs/>
          <w:color w:val="0089E1"/>
          <w:sz w:val="22"/>
          <w:lang w:eastAsia="es-CO"/>
        </w:rPr>
        <w:t>[2]</w:t>
      </w:r>
      <w:r w:rsidRPr="00035F52">
        <w:rPr>
          <w:rFonts w:ascii="Segoe UI" w:eastAsia="Times New Roman" w:hAnsi="Segoe UI" w:cs="Segoe UI"/>
          <w:b/>
          <w:bCs/>
          <w:i/>
          <w:iCs/>
          <w:color w:val="000000"/>
          <w:sz w:val="22"/>
          <w:lang w:eastAsia="es-CO"/>
        </w:rPr>
        <w:fldChar w:fldCharType="end"/>
      </w:r>
      <w:bookmarkEnd w:id="2"/>
    </w:p>
    <w:p w14:paraId="338DC793"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612E28A5"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i/>
          <w:iCs/>
          <w:color w:val="000000"/>
          <w:sz w:val="22"/>
          <w:lang w:eastAsia="es-CO"/>
        </w:rPr>
        <w:t>Interpretación jurídica</w:t>
      </w:r>
    </w:p>
    <w:p w14:paraId="42DA1E67"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44CD34CD"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Mediante sentencia del 21 de noviembre de 2007, Radicación No. 25000-23-27-000-2002-00864-01 (15584), el Consejo de Estado, Sala de lo Contencioso Administrativo, Sección Cuarta, C.P. LIGIA LÓPEZ DÍAZ manifestó:</w:t>
      </w:r>
    </w:p>
    <w:p w14:paraId="0F6F7F15"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436AFD9A"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xml:space="preserve">“(...) de conformidad con los artículos 338 y 363 de la Constitución Política, las normas tributarias no se aplican con retroactividad, y tratándose de impuestos en los que la base </w:t>
      </w:r>
      <w:r w:rsidRPr="00035F52">
        <w:rPr>
          <w:rFonts w:ascii="Segoe UI" w:eastAsia="Times New Roman" w:hAnsi="Segoe UI" w:cs="Segoe UI"/>
          <w:i/>
          <w:iCs/>
          <w:color w:val="000000"/>
          <w:sz w:val="22"/>
          <w:lang w:eastAsia="es-CO"/>
        </w:rPr>
        <w:lastRenderedPageBreak/>
        <w:t>sea el resultado de hechos ocurridos durante un período determinado, solo se aplican a partir del período que comience después de la vigencia de la ley.</w:t>
      </w:r>
    </w:p>
    <w:p w14:paraId="7A8FE6E4"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w:t>
      </w:r>
    </w:p>
    <w:p w14:paraId="7D99B2E2"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Como ha señalado la Sala en ocasiones anteriores, no es posible la aplicación inmediata, ni la aplicación retroactiva de normas que afecten alguno de los elementos que estructuran impuesto de período, pues ello implicaría la vulneración de las normas constitucionales ya mencionadas, disposiciones que precisamente procuran que los hechos ya formalizados jurídicamente y los que se encuentran en curso al momento de expedición de una ley, no se vean afectados por los cambios, en aras de la seguridad jurídica y de que haya certeza de las regulaciones de la obligación tributaria, previamente a la causación del impuesto (Principio de legalidad). (...)</w:t>
      </w:r>
    </w:p>
    <w:p w14:paraId="0C708443"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538EB111"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Los artículos 338 y 363 de la Carta Política proscriben de manera categórica la retroactividad de la ley, sin diferenciar si son o no favorables al contribuyente. La ley aplicable es la vigente al inicio del período.</w:t>
      </w:r>
    </w:p>
    <w:p w14:paraId="242BB1E5"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3B545411"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No tiene sustento alguno en el derecho tributario que se aplique el principio de favorabilidad propio de la legislación penal, pues los impuestos no constituyen un castigo, ni un agravio al contribuyente, sino que surgen de un deber de solidaridad de los ciudadanos, para coadyuvar con las cargas públicas. No puede considerarse desfavorable una norma fiscal que por principio pretende el bien común.” (negrilla fuera de texto).</w:t>
      </w:r>
    </w:p>
    <w:p w14:paraId="2D29DAA8"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39B627A3"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A su vez, habiéndose consultado a la Dirección de Impuestos y Aduanas Nacionales si el principio de favorabilidad consagrado en el numeral 3º del artículo 197 de la Ley 1607 de 2012 era aplicable para extinguir la obligación tributaria, este Despacho manifestó mediante Oficio No. 057035 del 10 de septiembre de 2013 que “los principios consagrados en el artículo 197 del Estatuto Tributario, aplican única y exclusivamente en materia sancionatoria, y no tienen el alcance de hacer inaplicables las normas de determinación de los impuestos y menos aún de extinguir las obligaciones tributarias sustanciales” (negrilla fuera de texto).</w:t>
      </w:r>
    </w:p>
    <w:p w14:paraId="1C1B726E"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6401B41C"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Sin perjuicio de lo anterior, esta Dirección advierte que en algunas ocasiones las altas cortes han reconocido la aplicación del principio de favorabilidad en el derecho tributario con cierta amplitud, como ocurre con la Sentencia C-878 de 2011 en la cual la Corte Constitucional, M.P. JUAN CARLOS HENAO PÉREZ expresó:</w:t>
      </w:r>
    </w:p>
    <w:p w14:paraId="30678152"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0DD8F6E4"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la Corte Constitucional ha reconocido que el principio de irretroactividad de la ley tributaria tiene como justificación la defensa del contribuyente frente a la imposición repentina de nuevas o más gravosas cargas. Sin embargo, asume que su aplicación no puede ser absoluta cuando se trate de modificaciones que resulten benéficas al contribuyente acogiendo un carácter eminentemente garantista y, en esa línea ha proferido providencias como la Sentencia C-527 de 1996, en virtud de la cual señaló:</w:t>
      </w:r>
    </w:p>
    <w:p w14:paraId="578442F9"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080A2280"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‘Si una norma beneficia al contribuyente, evitando que se aumenten sus cargas, en forma general, por razones de justicia y equidad, sí puede aplicarse en el mismo período sin quebrantar el artículo 338 de la Constitución. La prohibición contenida en esta norma está encaminada a impedir que se aumenten las cargas del contribuyente, modificando las regulaciones en relación con períodos vencidos o en curso. La razón de la prohibición es elemental: El que el Estado no pueda modificar la tributación con efectos retroactivos, con perjuicio de los contribuyentes de buena fe'</w:t>
      </w:r>
    </w:p>
    <w:p w14:paraId="07DA4C64"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5CB13B2B"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xml:space="preserve">De lo trascrito se infiere que la jurisprudencia de esta Corte, en desarrollo del principio de favorabilidad, mantiene la línea jurisprudencial asumida por la Corte Suprema Justicia con anterioridad a la expedición de la Constitución de 1991, al autorizar la aplicación inmediata </w:t>
      </w:r>
      <w:r w:rsidRPr="00035F52">
        <w:rPr>
          <w:rFonts w:ascii="Segoe UI" w:eastAsia="Times New Roman" w:hAnsi="Segoe UI" w:cs="Segoe UI"/>
          <w:i/>
          <w:iCs/>
          <w:color w:val="000000"/>
          <w:sz w:val="22"/>
          <w:lang w:eastAsia="es-CO"/>
        </w:rPr>
        <w:lastRenderedPageBreak/>
        <w:t>de modificaciones que beneficien al contribuyente respecto de los denominados tributos de período, es decir, siempre que los hechos económicos gravados no se hayan consolidado, caso en el cual se está frente al fenómeno de retrospectividad de la ley y no de irretroactividad propiamente dicha, lo cual significa que se deja a salvo la prohibición de aplicación retroactiva de la ley tributaria contenida en el artículo 363 Superior.” (negrilla fuera de texto).</w:t>
      </w:r>
    </w:p>
    <w:p w14:paraId="1637CC39"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75A253E3"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Empero, en este último caso, si bien es cierto que “es la Corte Constitucional el órgano que por antonomasia está llamado a interpretar los alcances de las disposiciones constitucionales” como fuera señalado por el consultante, también lo es que la reseñada interpretación fue emitida en un momento en el cual no existía claridad en tomo a la incorporación del principio de favorabilidad en el derecho tributario ante la ausencia de una consagración positiva, como por el contrario acontecía con los principios de equidad, eficiencia, progresividad, no retroactividad (artículo 363 Superior) y el espíritu de justicia (artículo 683 del Estatuto Tributario); situación que difiere notoriamente en la actualidad, toda vez que a partir de la Ley 1607 de 2012 (artículo 197 numeral 3º) se dispuso la acogida del principio analizado en materia exclusivamente sancionatoria.</w:t>
      </w:r>
    </w:p>
    <w:p w14:paraId="6F79199B"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13D8501D"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Aunado a ello, es propicio resaltar que ha sido la misma Corte Constitucional la que ha reconocido la aplicación del principio de favorabilidad en el ámbito del derecho punitivo como fuera explicado en la Sentencia C-692 de 2008, M.P. Dr. MANUEL JOSÉ CEPEDA ESPINOSA:</w:t>
      </w:r>
    </w:p>
    <w:p w14:paraId="6C86254D"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7151E0B9"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aun cuando el artículo 29 de la Constitución se refiere a la aplicación del principio en 'materia penal', ello '(...) no impide que el legislador lo extienda a otros ámbitos del derecho sancionador, como el disciplinario. Tampoco conduce a que el juez deba interpretar restrictivamente esta garantía, que tiene pleno sentido y especial relevancia dentro de un estado social de derecho en otros contextos punitivos diferentes al penal.’” (negrilla fuera de texto).</w:t>
      </w:r>
    </w:p>
    <w:p w14:paraId="6D270CD2"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14:paraId="0E23B89F" w14:textId="77777777"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De modo que, toda vez que "los impuestos no constituyen un castigo, ni un agravio al contribuyente, sino que surgen de un deber de solidaridad de los ciudadanos, para coadyuvar con las cargas públicas” –en palabras del Consejo de Estado- bajo la lógica del máximo órgano de la jurisdicción constitucional quedaría descartado de plano el empleo del principio de favorabilidad en el derecho tributario, salvo en lo correspondiente al régimen sancionatorio como se indicara previamente.”</w:t>
      </w:r>
    </w:p>
    <w:p w14:paraId="0B6E67A2"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258A6A59"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DEMANDA</w:t>
      </w:r>
    </w:p>
    <w:p w14:paraId="4A1EB08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1666D68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doctor Juan Rafael Bravo Arteaga demandó la nulidad del concepto 100208221-00793 (18128) del 18 de junio de 2015, expedido por el Subdirector de Gestión Normativa y Doctrina de la DIAN, en cuanto descartó la aplicación inmediata de las normas favorables que modifican los elementos esenciales de los tributos de período, so pretexto de que el principio de favorabilidad en derecho tributario solo se predica de la materia sancionatoria.</w:t>
      </w:r>
    </w:p>
    <w:p w14:paraId="023FD3D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65AE31FF"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Invocó como normas violadas los artículos 230 y 338 (inc. 3º) de la Constitución Política; 114 de la Ley 1395 de 2010, </w:t>
      </w:r>
      <w:r w:rsidRPr="00035F52">
        <w:rPr>
          <w:rFonts w:ascii="Segoe UI" w:eastAsia="Times New Roman" w:hAnsi="Segoe UI" w:cs="Segoe UI"/>
          <w:i/>
          <w:iCs/>
          <w:color w:val="000000"/>
          <w:sz w:val="18"/>
          <w:szCs w:val="18"/>
          <w:lang w:eastAsia="es-CO"/>
        </w:rPr>
        <w:t xml:space="preserve">de acuerdo con los parámetros de </w:t>
      </w:r>
      <w:proofErr w:type="spellStart"/>
      <w:r w:rsidRPr="00035F52">
        <w:rPr>
          <w:rFonts w:ascii="Segoe UI" w:eastAsia="Times New Roman" w:hAnsi="Segoe UI" w:cs="Segoe UI"/>
          <w:i/>
          <w:iCs/>
          <w:color w:val="000000"/>
          <w:sz w:val="18"/>
          <w:szCs w:val="18"/>
          <w:lang w:eastAsia="es-CO"/>
        </w:rPr>
        <w:t>exequibilidad</w:t>
      </w:r>
      <w:proofErr w:type="spellEnd"/>
      <w:r w:rsidRPr="00035F52">
        <w:rPr>
          <w:rFonts w:ascii="Segoe UI" w:eastAsia="Times New Roman" w:hAnsi="Segoe UI" w:cs="Segoe UI"/>
          <w:i/>
          <w:iCs/>
          <w:color w:val="000000"/>
          <w:sz w:val="18"/>
          <w:szCs w:val="18"/>
          <w:lang w:eastAsia="es-CO"/>
        </w:rPr>
        <w:t xml:space="preserve"> condicionada contenidos en la Sentencia C-539 del 6 de julio de 2011</w:t>
      </w:r>
      <w:r w:rsidRPr="00035F52">
        <w:rPr>
          <w:rFonts w:ascii="Segoe UI" w:eastAsia="Times New Roman" w:hAnsi="Segoe UI" w:cs="Segoe UI"/>
          <w:color w:val="000000"/>
          <w:sz w:val="18"/>
          <w:szCs w:val="18"/>
          <w:lang w:eastAsia="es-CO"/>
        </w:rPr>
        <w:t>; 10 de la Ley 1437 de 2011, y 197 (</w:t>
      </w:r>
      <w:proofErr w:type="spellStart"/>
      <w:r w:rsidRPr="00035F52">
        <w:rPr>
          <w:rFonts w:ascii="Segoe UI" w:eastAsia="Times New Roman" w:hAnsi="Segoe UI" w:cs="Segoe UI"/>
          <w:color w:val="000000"/>
          <w:sz w:val="18"/>
          <w:szCs w:val="18"/>
          <w:lang w:eastAsia="es-CO"/>
        </w:rPr>
        <w:t>num</w:t>
      </w:r>
      <w:proofErr w:type="spellEnd"/>
      <w:r w:rsidRPr="00035F52">
        <w:rPr>
          <w:rFonts w:ascii="Segoe UI" w:eastAsia="Times New Roman" w:hAnsi="Segoe UI" w:cs="Segoe UI"/>
          <w:color w:val="000000"/>
          <w:sz w:val="18"/>
          <w:szCs w:val="18"/>
          <w:lang w:eastAsia="es-CO"/>
        </w:rPr>
        <w:t>. 3) de la Ley 1607 de 2012.</w:t>
      </w:r>
    </w:p>
    <w:p w14:paraId="66C0F68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13BD8EC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concepto de violación, se sintetiza así:</w:t>
      </w:r>
    </w:p>
    <w:p w14:paraId="6A1C237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54887F2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xml:space="preserve">Adujo que el artículo 338 de la CP tiene alcance garantista en favor de los contribuyentes, que los jueces en las providencias judiciales se someten al imperio de la ley, entendida como sistema normativo que incluye la interpretación jurisprudencial relacionada y que, acorde con la </w:t>
      </w:r>
      <w:proofErr w:type="spellStart"/>
      <w:r w:rsidRPr="00035F52">
        <w:rPr>
          <w:rFonts w:ascii="Segoe UI" w:eastAsia="Times New Roman" w:hAnsi="Segoe UI" w:cs="Segoe UI"/>
          <w:color w:val="000000"/>
          <w:sz w:val="18"/>
          <w:szCs w:val="18"/>
          <w:lang w:eastAsia="es-CO"/>
        </w:rPr>
        <w:t>exequibilidad</w:t>
      </w:r>
      <w:proofErr w:type="spellEnd"/>
      <w:r w:rsidRPr="00035F52">
        <w:rPr>
          <w:rFonts w:ascii="Segoe UI" w:eastAsia="Times New Roman" w:hAnsi="Segoe UI" w:cs="Segoe UI"/>
          <w:color w:val="000000"/>
          <w:sz w:val="18"/>
          <w:szCs w:val="18"/>
          <w:lang w:eastAsia="es-CO"/>
        </w:rPr>
        <w:t xml:space="preserve"> condicionada del artículo 114 de la Ley 1395 de 2010, </w:t>
      </w:r>
      <w:r w:rsidRPr="00035F52">
        <w:rPr>
          <w:rFonts w:ascii="Segoe UI" w:eastAsia="Times New Roman" w:hAnsi="Segoe UI" w:cs="Segoe UI"/>
          <w:i/>
          <w:iCs/>
          <w:color w:val="000000"/>
          <w:sz w:val="18"/>
          <w:szCs w:val="18"/>
          <w:lang w:eastAsia="es-CO"/>
        </w:rPr>
        <w:t>«los precedentes judiciales allí previstos deben respetar la interpretación vinculante que realiza la Corte Constitucional».</w:t>
      </w:r>
    </w:p>
    <w:p w14:paraId="138260CC"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18"/>
          <w:szCs w:val="18"/>
          <w:lang w:eastAsia="es-CO"/>
        </w:rPr>
        <w:t> </w:t>
      </w:r>
    </w:p>
    <w:p w14:paraId="0BC827F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lastRenderedPageBreak/>
        <w:t>Señaló que las autoridades administrativas deben acatar y aplicar la jurisprudencia de la Corte Constitucional sobre la interpretación de los artículos de la Constitución Política, al momento de resolver los asuntos a su cargo.</w:t>
      </w:r>
    </w:p>
    <w:p w14:paraId="18B2B90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1B710A2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Afirmó que el acto acusado incurrió en falsa motivación al predicar falta de claridad sobre la incorporación del principio de favorabilidad en el derecho tributario, no obstante que las Sentencias C-527 de 1996 y C-878 de 2011 desestimaron la aplicación absoluta del principio de irretroactividad frente a normas que benefician a los contribuyentes, acogiendo un carácter garantista, y concluyeron que aquéllas podían aplicarse en el mismo período en que se expiden, sin quebrantar el artículo 338 de la CP.</w:t>
      </w:r>
    </w:p>
    <w:p w14:paraId="5A9F2E0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27B543F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Dijo que el artículo 197 de la Ley 1607 de 2012 no aclaró los artículos 363 de la CP y 683 del ET, en relación con la inaplicación retroactiva de las disposiciones tributarias y el espíritu de justicia en las actuaciones de la DIAN, pues además de que las normas constitucionales no pueden ser aclaradas por las legales, el citado artículo 197 ib. se refirió a las sanciones del régimen tributario nacional, pero sin disponer que el principio de favorabilidad fuera “exclusivamente” aplicable a aquéllas.</w:t>
      </w:r>
    </w:p>
    <w:p w14:paraId="6FFD45E0"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626E98D6"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CONTESTACIÓN DE LA DEMANDA</w:t>
      </w:r>
    </w:p>
    <w:p w14:paraId="47EA2A53"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7D66912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DIAN se opuso a las pretensiones de la demanda</w:t>
      </w:r>
      <w:bookmarkStart w:id="3" w:name="_ftnref3"/>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"_ftn3"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[3]</w:t>
      </w:r>
      <w:r w:rsidRPr="00035F52">
        <w:rPr>
          <w:rFonts w:ascii="Segoe UI" w:eastAsia="Times New Roman" w:hAnsi="Segoe UI" w:cs="Segoe UI"/>
          <w:color w:val="000000"/>
          <w:sz w:val="18"/>
          <w:szCs w:val="18"/>
          <w:lang w:eastAsia="es-CO"/>
        </w:rPr>
        <w:fldChar w:fldCharType="end"/>
      </w:r>
      <w:bookmarkEnd w:id="3"/>
      <w:r w:rsidRPr="00035F52">
        <w:rPr>
          <w:rFonts w:ascii="Segoe UI" w:eastAsia="Times New Roman" w:hAnsi="Segoe UI" w:cs="Segoe UI"/>
          <w:color w:val="000000"/>
          <w:sz w:val="18"/>
          <w:szCs w:val="18"/>
          <w:lang w:eastAsia="es-CO"/>
        </w:rPr>
        <w:t>, con fundamento en los siguientes argumentos:</w:t>
      </w:r>
    </w:p>
    <w:p w14:paraId="62DBB80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222F87D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Afirmó que en varias oportunidades la Corte Constitucional y el Consejo de Estado</w:t>
      </w:r>
      <w:bookmarkStart w:id="4" w:name="_ftnref4"/>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"_ftn4"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[4]</w:t>
      </w:r>
      <w:r w:rsidRPr="00035F52">
        <w:rPr>
          <w:rFonts w:ascii="Segoe UI" w:eastAsia="Times New Roman" w:hAnsi="Segoe UI" w:cs="Segoe UI"/>
          <w:color w:val="000000"/>
          <w:sz w:val="18"/>
          <w:szCs w:val="18"/>
          <w:lang w:eastAsia="es-CO"/>
        </w:rPr>
        <w:fldChar w:fldCharType="end"/>
      </w:r>
      <w:bookmarkEnd w:id="4"/>
      <w:r w:rsidRPr="00035F52">
        <w:rPr>
          <w:rFonts w:ascii="Segoe UI" w:eastAsia="Times New Roman" w:hAnsi="Segoe UI" w:cs="Segoe UI"/>
          <w:color w:val="000000"/>
          <w:sz w:val="18"/>
          <w:szCs w:val="18"/>
          <w:lang w:eastAsia="es-CO"/>
        </w:rPr>
        <w:t> han dicho que las normas tributarias no son aplicables de manera retroactiva ni pueden regular situaciones jurídicas previas a su vigencia.</w:t>
      </w:r>
    </w:p>
    <w:p w14:paraId="147AE56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49C0416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Negó que la interpretación contenida en el concepto acusado desconociera los precedentes de la Corte Constitucional e incurriera en falsa motivación, porque el principio de irretroactividad se previó para todas las normas tributarias en general, con la única excepción del principio de favorabilidad en materia sancionatoria, previsto en el artículo 197 de la Ley 1607 de 2012. La aplicación retroactiva de normas tributarias ajenas a esa materia, en virtud de su efecto favorable o desfavorable, requiere previsión legal expresa.</w:t>
      </w:r>
    </w:p>
    <w:p w14:paraId="6F9A6FE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12C3B61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Anotó que la retrospectividad de la ley en virtud del principio de favorabilidad no procede en el régimen tributario, porque la constitución no concibió la aplicación de aquélla en consideración a los efectos que produce, sino al “período fiscal” al que corresponde la base del tributo, previendo que la nueva ley se aplica a partir del período subsiguiente a aquél en que principia su vigencia.</w:t>
      </w:r>
    </w:p>
    <w:p w14:paraId="792CE9EA"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4B16AF3E"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AUDIENCIA INICIAL</w:t>
      </w:r>
    </w:p>
    <w:p w14:paraId="404DB37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7FEAC32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11 de mayo de 2018 se llevó a cabo la audiencia inicial de que trata el artículo 180 de la Ley 1437 de 2011</w:t>
      </w:r>
      <w:bookmarkStart w:id="5" w:name="_ftnref5"/>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"_ftn5"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[5]</w:t>
      </w:r>
      <w:r w:rsidRPr="00035F52">
        <w:rPr>
          <w:rFonts w:ascii="Segoe UI" w:eastAsia="Times New Roman" w:hAnsi="Segoe UI" w:cs="Segoe UI"/>
          <w:color w:val="000000"/>
          <w:sz w:val="18"/>
          <w:szCs w:val="18"/>
          <w:lang w:eastAsia="es-CO"/>
        </w:rPr>
        <w:fldChar w:fldCharType="end"/>
      </w:r>
      <w:bookmarkEnd w:id="5"/>
      <w:r w:rsidRPr="00035F52">
        <w:rPr>
          <w:rFonts w:ascii="Segoe UI" w:eastAsia="Times New Roman" w:hAnsi="Segoe UI" w:cs="Segoe UI"/>
          <w:color w:val="000000"/>
          <w:sz w:val="18"/>
          <w:szCs w:val="18"/>
          <w:lang w:eastAsia="es-CO"/>
        </w:rPr>
        <w:t>. En dicha diligencia se puso de presente que no procedía la conciliación en razón del medio de control público impetrado y que no se habían formulado excepciones previas ni medidas cautelares que debieran resolverse en la sentencia.</w:t>
      </w:r>
    </w:p>
    <w:p w14:paraId="6C4EAB9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21192DF3"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Asimismo, el litigio se concretó en </w:t>
      </w:r>
      <w:r w:rsidRPr="00035F52">
        <w:rPr>
          <w:rFonts w:ascii="Segoe UI" w:eastAsia="Times New Roman" w:hAnsi="Segoe UI" w:cs="Segoe UI"/>
          <w:i/>
          <w:iCs/>
          <w:color w:val="000000"/>
          <w:sz w:val="18"/>
          <w:szCs w:val="18"/>
          <w:lang w:eastAsia="es-CO"/>
        </w:rPr>
        <w:t>«el estudio de legalidad del siguiente aparte del Concepto 100208221-00793 (18128) del 19 de junio de 2015: "No es de recibo la aplicación inmediata de una norma que modifica alguno de los elementos constitutivos de un impuesto de período alegándose el principio de favorabilidad, pues en derecho tributario este únicamente es predicable en materia sancionatoria. Por el contrario, la modificación legal en comento solo es aplicable a partir del período fiscal siguiente a la fecha de su promulgación en aras de los principios constitucionales de legalidad e irretroactividad.”»</w:t>
      </w:r>
    </w:p>
    <w:p w14:paraId="5E048D6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18"/>
          <w:szCs w:val="18"/>
          <w:lang w:eastAsia="es-CO"/>
        </w:rPr>
        <w:t> </w:t>
      </w:r>
    </w:p>
    <w:p w14:paraId="6FB0B4BA"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Asimismo, </w:t>
      </w:r>
      <w:r w:rsidRPr="00035F52">
        <w:rPr>
          <w:rFonts w:ascii="Segoe UI" w:eastAsia="Times New Roman" w:hAnsi="Segoe UI" w:cs="Segoe UI"/>
          <w:i/>
          <w:iCs/>
          <w:color w:val="000000"/>
          <w:sz w:val="18"/>
          <w:szCs w:val="18"/>
          <w:lang w:eastAsia="es-CO"/>
        </w:rPr>
        <w:t>«en determinar si dicho aparte se había expedido (i) con infracción de las normas en que debería fundarse, en tanto que desconoce el carácter garantista del artículo 338 de la Constitución Política, así como la jurisprudencia de la Corte Constitucional en materia de la aplicación retroactiva de la ley tributaria y (ii) con falsa motivación, por cuanto no es cierto que “no existía claridad en torno a la incorporación del principio de favorabilidad en el derecho tributario”; que el artículo 197 de la Ley 1607 haya tenido la intención de aclarar el artículo 363 de la Constitución Política; ni que el principio de favorabilidad pueda aplicarse exclusivamente en materia sancionatoria.»</w:t>
      </w:r>
    </w:p>
    <w:p w14:paraId="69123263"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7A23F2A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Igualmente, se ordenó tener como pruebas las aportadas con la demanda y el escrito de contestación a la misma.</w:t>
      </w:r>
    </w:p>
    <w:p w14:paraId="5021DA92"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3DCAF977"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ALEGATOS DE CONCLUSIÓN</w:t>
      </w:r>
    </w:p>
    <w:p w14:paraId="2ED12FAF"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2A1F242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w:t>
      </w:r>
      <w:r w:rsidRPr="00035F52">
        <w:rPr>
          <w:rFonts w:ascii="Segoe UI" w:eastAsia="Times New Roman" w:hAnsi="Segoe UI" w:cs="Segoe UI"/>
          <w:b/>
          <w:bCs/>
          <w:color w:val="000000"/>
          <w:sz w:val="18"/>
          <w:szCs w:val="18"/>
          <w:lang w:eastAsia="es-CO"/>
        </w:rPr>
        <w:t>demandante</w:t>
      </w:r>
      <w:bookmarkStart w:id="6" w:name="_ftnref6"/>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"_ftn6"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[6]</w:t>
      </w:r>
      <w:r w:rsidRPr="00035F52">
        <w:rPr>
          <w:rFonts w:ascii="Segoe UI" w:eastAsia="Times New Roman" w:hAnsi="Segoe UI" w:cs="Segoe UI"/>
          <w:b/>
          <w:bCs/>
          <w:color w:val="000000"/>
          <w:sz w:val="18"/>
          <w:szCs w:val="18"/>
          <w:lang w:eastAsia="es-CO"/>
        </w:rPr>
        <w:fldChar w:fldCharType="end"/>
      </w:r>
      <w:bookmarkEnd w:id="6"/>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reiteró los argumentos esenciales de la demanda y añadió que, de acuerdo con los criterios de la Sección Cuarta del Consejo de Estado y de la Corte Constitucional, el artículo 338 de la CP contiene una disposición garantista de los derechos del contribuyente y las normas favorables sobre impuestos de período pueden aplicarse en el mismo año que empiezan a regir.</w:t>
      </w:r>
    </w:p>
    <w:p w14:paraId="07BB461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67B8F6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lastRenderedPageBreak/>
        <w:t>Indicó que «en los tributos de período, los hechos económicos que conforman la base gravable están en proceso de configuración durante todo el año gravable, por lo cual las normas favorables al contribuyente pueden aplicarse en el mismo período gravable de su vigencia, sin que ello implique retroactividad sino retrospectividad frente a situaciones no consolidadas».</w:t>
      </w:r>
    </w:p>
    <w:p w14:paraId="3D38659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79E142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Insistió en la falsa motivación de los actos demandados, frente a las afirmaciones de </w:t>
      </w:r>
      <w:r w:rsidRPr="00035F52">
        <w:rPr>
          <w:rFonts w:ascii="Segoe UI" w:eastAsia="Times New Roman" w:hAnsi="Segoe UI" w:cs="Segoe UI"/>
          <w:i/>
          <w:iCs/>
          <w:color w:val="000000"/>
          <w:sz w:val="18"/>
          <w:szCs w:val="18"/>
          <w:lang w:eastAsia="es-CO"/>
        </w:rPr>
        <w:t>i)</w:t>
      </w:r>
      <w:r w:rsidRPr="00035F52">
        <w:rPr>
          <w:rFonts w:ascii="Segoe UI" w:eastAsia="Times New Roman" w:hAnsi="Segoe UI" w:cs="Segoe UI"/>
          <w:color w:val="000000"/>
          <w:sz w:val="18"/>
          <w:szCs w:val="18"/>
          <w:lang w:eastAsia="es-CO"/>
        </w:rPr>
        <w:t> falta de claridad respecto de la incorporación del principio de favorabilidad en el derecho tributario, </w:t>
      </w:r>
      <w:r w:rsidRPr="00035F52">
        <w:rPr>
          <w:rFonts w:ascii="Segoe UI" w:eastAsia="Times New Roman" w:hAnsi="Segoe UI" w:cs="Segoe UI"/>
          <w:i/>
          <w:iCs/>
          <w:color w:val="000000"/>
          <w:sz w:val="18"/>
          <w:szCs w:val="18"/>
          <w:lang w:eastAsia="es-CO"/>
        </w:rPr>
        <w:t>ii)</w:t>
      </w:r>
      <w:r w:rsidRPr="00035F52">
        <w:rPr>
          <w:rFonts w:ascii="Segoe UI" w:eastAsia="Times New Roman" w:hAnsi="Segoe UI" w:cs="Segoe UI"/>
          <w:color w:val="000000"/>
          <w:sz w:val="18"/>
          <w:szCs w:val="18"/>
          <w:lang w:eastAsia="es-CO"/>
        </w:rPr>
        <w:t> finalidad aclaratoria del artículo 197 de la Ley 1607 de 2012 en materia de inaplicación retroactiva de las normas tributarias y, </w:t>
      </w:r>
      <w:r w:rsidRPr="00035F52">
        <w:rPr>
          <w:rFonts w:ascii="Segoe UI" w:eastAsia="Times New Roman" w:hAnsi="Segoe UI" w:cs="Segoe UI"/>
          <w:i/>
          <w:iCs/>
          <w:color w:val="000000"/>
          <w:sz w:val="18"/>
          <w:szCs w:val="18"/>
          <w:lang w:eastAsia="es-CO"/>
        </w:rPr>
        <w:t>iii)</w:t>
      </w:r>
      <w:r w:rsidRPr="00035F52">
        <w:rPr>
          <w:rFonts w:ascii="Segoe UI" w:eastAsia="Times New Roman" w:hAnsi="Segoe UI" w:cs="Segoe UI"/>
          <w:color w:val="000000"/>
          <w:sz w:val="18"/>
          <w:szCs w:val="18"/>
          <w:lang w:eastAsia="es-CO"/>
        </w:rPr>
        <w:t> “exclusividad” del principio de favorabilidad para asuntos sancionatorios, a la luz del mismo artículo 197 ib.</w:t>
      </w:r>
    </w:p>
    <w:p w14:paraId="467885F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18B763F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w:t>
      </w:r>
      <w:r w:rsidRPr="00035F52">
        <w:rPr>
          <w:rFonts w:ascii="Segoe UI" w:eastAsia="Times New Roman" w:hAnsi="Segoe UI" w:cs="Segoe UI"/>
          <w:b/>
          <w:bCs/>
          <w:color w:val="000000"/>
          <w:sz w:val="18"/>
          <w:szCs w:val="18"/>
          <w:lang w:eastAsia="es-CO"/>
        </w:rPr>
        <w:t>demandada</w:t>
      </w:r>
      <w:bookmarkStart w:id="7" w:name="_ftnref7"/>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"_ftn7"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[7]</w:t>
      </w:r>
      <w:r w:rsidRPr="00035F52">
        <w:rPr>
          <w:rFonts w:ascii="Segoe UI" w:eastAsia="Times New Roman" w:hAnsi="Segoe UI" w:cs="Segoe UI"/>
          <w:b/>
          <w:bCs/>
          <w:color w:val="000000"/>
          <w:sz w:val="18"/>
          <w:szCs w:val="18"/>
          <w:lang w:eastAsia="es-CO"/>
        </w:rPr>
        <w:fldChar w:fldCharType="end"/>
      </w:r>
      <w:bookmarkEnd w:id="7"/>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reiteró los argumentos del escrito de contestación y agregó que los artículos 338 y 363 de la CP establecieron el principio de irretroactividad de las normas tributarias, sin hacer diferencias por razón de su favorabilidad, de suerte que solo pueden aplicarse las vigentes al iniciar el año o período gravable.</w:t>
      </w:r>
    </w:p>
    <w:p w14:paraId="4E82C66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0A026F2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representante del </w:t>
      </w:r>
      <w:r w:rsidRPr="00035F52">
        <w:rPr>
          <w:rFonts w:ascii="Segoe UI" w:eastAsia="Times New Roman" w:hAnsi="Segoe UI" w:cs="Segoe UI"/>
          <w:b/>
          <w:bCs/>
          <w:color w:val="000000"/>
          <w:sz w:val="18"/>
          <w:szCs w:val="18"/>
          <w:lang w:eastAsia="es-CO"/>
        </w:rPr>
        <w:t>Ministerio Público</w:t>
      </w:r>
      <w:r w:rsidRPr="00035F52">
        <w:rPr>
          <w:rFonts w:ascii="Segoe UI" w:eastAsia="Times New Roman" w:hAnsi="Segoe UI" w:cs="Segoe UI"/>
          <w:color w:val="000000"/>
          <w:sz w:val="18"/>
          <w:szCs w:val="18"/>
          <w:lang w:eastAsia="es-CO"/>
        </w:rPr>
        <w:t> solicitó que se accediera a las pretensiones de la demanda</w:t>
      </w:r>
      <w:bookmarkStart w:id="8" w:name="_ftnref8"/>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"_ftn8"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[8]</w:t>
      </w:r>
      <w:r w:rsidRPr="00035F52">
        <w:rPr>
          <w:rFonts w:ascii="Segoe UI" w:eastAsia="Times New Roman" w:hAnsi="Segoe UI" w:cs="Segoe UI"/>
          <w:color w:val="000000"/>
          <w:sz w:val="18"/>
          <w:szCs w:val="18"/>
          <w:lang w:eastAsia="es-CO"/>
        </w:rPr>
        <w:fldChar w:fldCharType="end"/>
      </w:r>
      <w:bookmarkEnd w:id="8"/>
      <w:r w:rsidRPr="00035F52">
        <w:rPr>
          <w:rFonts w:ascii="Segoe UI" w:eastAsia="Times New Roman" w:hAnsi="Segoe UI" w:cs="Segoe UI"/>
          <w:color w:val="000000"/>
          <w:sz w:val="18"/>
          <w:szCs w:val="18"/>
          <w:lang w:eastAsia="es-CO"/>
        </w:rPr>
        <w:t>, porque el concepto demandado contradice la jurisprudencia de la Corte Constitucional que, en armonía con los principios de justicia y equidad, ha aceptado la posibilidad de que una nueva norma regule y modifique las situaciones jurídicas no consolidadas con anterioridad a su entrada en vigencia, o cuyos efectos continúan surtiéndose después de que principie a regir.</w:t>
      </w:r>
    </w:p>
    <w:p w14:paraId="1A6F102D"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1CC3C21"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CONSIDERACIONES DE LA SALA</w:t>
      </w:r>
    </w:p>
    <w:p w14:paraId="032B972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A5292DA"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los términos de la fijación del litigio, la Sala debe analizar la legalidad del Concepto 100208221-00793 (18128) del 18 de junio de 2015, de la Subdirección de Gestión Normativa y Doctrina de la DIAN, en cuanto señaló que </w:t>
      </w:r>
      <w:r w:rsidRPr="00035F52">
        <w:rPr>
          <w:rFonts w:ascii="Segoe UI" w:eastAsia="Times New Roman" w:hAnsi="Segoe UI" w:cs="Segoe UI"/>
          <w:i/>
          <w:iCs/>
          <w:color w:val="000000"/>
          <w:sz w:val="18"/>
          <w:szCs w:val="18"/>
          <w:lang w:eastAsia="es-CO"/>
        </w:rPr>
        <w:t>“No es de recibo la aplicación inmediata de una norma que modifica alguno de los elementos constitutivos de un impuesto de período alegándose el principio de favorabilidad, pues en derecho tributario este únicamente es predicable en materia sancionatoria. Por el contrario, la modificación legal en comento solo es aplicable a partir del período fiscal siguiente a la fecha de su promulgación en aras de los principios constitucionales de legalidad e irretroactividad.»</w:t>
      </w:r>
    </w:p>
    <w:p w14:paraId="0CD88D5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6AB217E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 acuerdo con los cargos de nulidad, corresponde a la Sala establecer si es procedente la aplicación inmediata de las normas que regulan los elementos de los impuestos de período en sentido más favorable para el contribuyente, de acuerdo con el examen de constitucionalidad del inciso tercero del artículo 338 de la CP o si, por el contrario, dichas normas deben aplicarse a partir del período siguiente a su promulgación.</w:t>
      </w:r>
    </w:p>
    <w:p w14:paraId="4D4C74C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0927D68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Según el demandante, el concepto acusado desconoce las interpretaciones vinculantes obligatorias de las sentencias de control constitucional que, al tiempo de aceptar la incorporación del principio de favorabilidad en materia tributaria, han proscrito la aplicación absoluta del principio de irretroactividad frente a las normas que favorecen a los contribuyentes, máxime cuando el artículo 197 de la Ley 1607 de 2012 no restringió el principio de favorabilidad a las sanciones tributarias.</w:t>
      </w:r>
    </w:p>
    <w:p w14:paraId="585E88CF"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DB33FC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18"/>
          <w:szCs w:val="18"/>
          <w:lang w:eastAsia="es-CO"/>
        </w:rPr>
        <w:t>Contrario sensu</w:t>
      </w:r>
      <w:r w:rsidRPr="00035F52">
        <w:rPr>
          <w:rFonts w:ascii="Segoe UI" w:eastAsia="Times New Roman" w:hAnsi="Segoe UI" w:cs="Segoe UI"/>
          <w:color w:val="000000"/>
          <w:sz w:val="18"/>
          <w:szCs w:val="18"/>
          <w:lang w:eastAsia="es-CO"/>
        </w:rPr>
        <w:t>, la demandada aduce que el principio de favorabilidad solo faculta la aplicación retroactiva de normas tributarias sancionatorias, de modo que las ajenas a esa especialidad y que regulan impuestos de período deben aplicarse a partir del período siguiente a cuando se expiden, de acuerdo con las normas constitucionales vigentes.</w:t>
      </w:r>
    </w:p>
    <w:p w14:paraId="20A248DA"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0CD1965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 acuerdo con lo anterior, se observa:</w:t>
      </w:r>
    </w:p>
    <w:p w14:paraId="5F810B2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7494B91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marco constitucional de aplicación temporal de normas que regulan impuestos de período, se encuentra en el artículo 338 de la CP, norma que, en el contexto del principio de legalidad de los tributos</w:t>
      </w:r>
      <w:bookmarkStart w:id="9" w:name="_ftnref9"/>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"_ftn9"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[9]</w:t>
      </w:r>
      <w:r w:rsidRPr="00035F52">
        <w:rPr>
          <w:rFonts w:ascii="Segoe UI" w:eastAsia="Times New Roman" w:hAnsi="Segoe UI" w:cs="Segoe UI"/>
          <w:color w:val="000000"/>
          <w:sz w:val="18"/>
          <w:szCs w:val="18"/>
          <w:lang w:eastAsia="es-CO"/>
        </w:rPr>
        <w:fldChar w:fldCharType="end"/>
      </w:r>
      <w:bookmarkEnd w:id="9"/>
      <w:r w:rsidRPr="00035F52">
        <w:rPr>
          <w:rFonts w:ascii="Segoe UI" w:eastAsia="Times New Roman" w:hAnsi="Segoe UI" w:cs="Segoe UI"/>
          <w:color w:val="000000"/>
          <w:sz w:val="18"/>
          <w:szCs w:val="18"/>
          <w:lang w:eastAsia="es-CO"/>
        </w:rPr>
        <w:t>, dispuso que </w:t>
      </w:r>
      <w:r w:rsidRPr="00035F52">
        <w:rPr>
          <w:rFonts w:ascii="Segoe UI" w:eastAsia="Times New Roman" w:hAnsi="Segoe UI" w:cs="Segoe UI"/>
          <w:i/>
          <w:iCs/>
          <w:color w:val="000000"/>
          <w:sz w:val="18"/>
          <w:szCs w:val="18"/>
          <w:lang w:eastAsia="es-CO"/>
        </w:rPr>
        <w:t>“</w:t>
      </w:r>
      <w:r w:rsidRPr="00035F52">
        <w:rPr>
          <w:rFonts w:ascii="Segoe UI" w:eastAsia="Times New Roman" w:hAnsi="Segoe UI" w:cs="Segoe UI"/>
          <w:i/>
          <w:iCs/>
          <w:color w:val="000000"/>
          <w:sz w:val="18"/>
          <w:szCs w:val="18"/>
          <w:bdr w:val="none" w:sz="0" w:space="0" w:color="auto" w:frame="1"/>
          <w:lang w:eastAsia="es-CO"/>
        </w:rPr>
        <w:t>l</w:t>
      </w:r>
      <w:r w:rsidRPr="00035F52">
        <w:rPr>
          <w:rFonts w:ascii="Segoe UI" w:eastAsia="Times New Roman" w:hAnsi="Segoe UI" w:cs="Segoe UI"/>
          <w:i/>
          <w:iCs/>
          <w:color w:val="000000"/>
          <w:sz w:val="18"/>
          <w:szCs w:val="18"/>
          <w:lang w:eastAsia="es-CO"/>
        </w:rPr>
        <w:t>as leyes, ordenanzas o acuerdos que regulen contribuciones en las que la base sea el resultado de hechos ocurridos durante un período determinado, no pueden aplicarse sino a partir del período que comience después de iniciar la vigencia de la respectiva ley, ordenanza o acuerdo.” (inc. 3º)</w:t>
      </w:r>
    </w:p>
    <w:p w14:paraId="088CB75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1962495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disposición constitucional anterior, en principio, muestra una forma de irretroactividad</w:t>
      </w:r>
      <w:r w:rsidRPr="00035F52">
        <w:rPr>
          <w:rFonts w:ascii="Segoe UI" w:eastAsia="Times New Roman" w:hAnsi="Segoe UI" w:cs="Segoe UI"/>
          <w:color w:val="000000"/>
          <w:sz w:val="18"/>
          <w:szCs w:val="18"/>
          <w:bdr w:val="none" w:sz="0" w:space="0" w:color="auto" w:frame="1"/>
          <w:lang w:eastAsia="es-CO"/>
        </w:rPr>
        <w:t> de la ley, concordante con el principio del artículo 363 ib., </w:t>
      </w:r>
      <w:r w:rsidRPr="00035F52">
        <w:rPr>
          <w:rFonts w:ascii="Segoe UI" w:eastAsia="Times New Roman" w:hAnsi="Segoe UI" w:cs="Segoe UI"/>
          <w:color w:val="000000"/>
          <w:sz w:val="18"/>
          <w:szCs w:val="18"/>
          <w:lang w:eastAsia="es-CO"/>
        </w:rPr>
        <w:t>para salvaguardar las situaciones fiscales en curso al momento de iniciarse la vigencia de la nueva norma.</w:t>
      </w:r>
    </w:p>
    <w:p w14:paraId="6AA3718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bdr w:val="none" w:sz="0" w:space="0" w:color="auto" w:frame="1"/>
          <w:lang w:eastAsia="es-CO"/>
        </w:rPr>
        <w:t> </w:t>
      </w:r>
    </w:p>
    <w:p w14:paraId="1B48393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Ahora bien, en diversos fallos, la Corte Constitucional se ha pronunciado sobre el alcance del artículo 338 de la CP, entre ellos, los invocados por el demandante, esto es, las Sentencias </w:t>
      </w:r>
      <w:r w:rsidRPr="00035F52">
        <w:rPr>
          <w:rFonts w:ascii="Segoe UI" w:eastAsia="Times New Roman" w:hAnsi="Segoe UI" w:cs="Segoe UI"/>
          <w:b/>
          <w:bCs/>
          <w:color w:val="000000"/>
          <w:sz w:val="18"/>
          <w:szCs w:val="18"/>
          <w:lang w:eastAsia="es-CO"/>
        </w:rPr>
        <w:t>C-527 de 1996</w:t>
      </w:r>
      <w:bookmarkStart w:id="10" w:name="_ftnref10"/>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"_ftn10"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[10]</w:t>
      </w:r>
      <w:r w:rsidRPr="00035F52">
        <w:rPr>
          <w:rFonts w:ascii="Segoe UI" w:eastAsia="Times New Roman" w:hAnsi="Segoe UI" w:cs="Segoe UI"/>
          <w:b/>
          <w:bCs/>
          <w:color w:val="000000"/>
          <w:sz w:val="18"/>
          <w:szCs w:val="18"/>
          <w:lang w:eastAsia="es-CO"/>
        </w:rPr>
        <w:fldChar w:fldCharType="end"/>
      </w:r>
      <w:bookmarkEnd w:id="10"/>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que examinó la constitucionalidad del artículo 87 de la Ley 223 de 1995, modificatorio del artículo 249 del ET, y </w:t>
      </w:r>
      <w:r w:rsidRPr="00035F52">
        <w:rPr>
          <w:rFonts w:ascii="Segoe UI" w:eastAsia="Times New Roman" w:hAnsi="Segoe UI" w:cs="Segoe UI"/>
          <w:b/>
          <w:bCs/>
          <w:color w:val="000000"/>
          <w:sz w:val="18"/>
          <w:szCs w:val="18"/>
          <w:lang w:eastAsia="es-CO"/>
        </w:rPr>
        <w:t>C-878 de 2011</w:t>
      </w:r>
      <w:bookmarkStart w:id="11" w:name="_ftnref11"/>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"_ftn11"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[11]</w:t>
      </w:r>
      <w:r w:rsidRPr="00035F52">
        <w:rPr>
          <w:rFonts w:ascii="Segoe UI" w:eastAsia="Times New Roman" w:hAnsi="Segoe UI" w:cs="Segoe UI"/>
          <w:b/>
          <w:bCs/>
          <w:color w:val="000000"/>
          <w:sz w:val="18"/>
          <w:szCs w:val="18"/>
          <w:lang w:eastAsia="es-CO"/>
        </w:rPr>
        <w:fldChar w:fldCharType="end"/>
      </w:r>
      <w:bookmarkEnd w:id="11"/>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que hizo lo mismo respecto del artículo 8 de la Ley 1430 de 2010.</w:t>
      </w:r>
    </w:p>
    <w:p w14:paraId="3CC7CAA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57B609B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Según la primera de dichas sentencias, </w:t>
      </w:r>
      <w:r w:rsidRPr="00035F52">
        <w:rPr>
          <w:rFonts w:ascii="Segoe UI" w:eastAsia="Times New Roman" w:hAnsi="Segoe UI" w:cs="Segoe UI"/>
          <w:i/>
          <w:iCs/>
          <w:color w:val="000000"/>
          <w:sz w:val="18"/>
          <w:szCs w:val="18"/>
          <w:lang w:eastAsia="es-CO"/>
        </w:rPr>
        <w:t>«</w:t>
      </w:r>
      <w:r w:rsidRPr="00035F52">
        <w:rPr>
          <w:rFonts w:ascii="Segoe UI" w:eastAsia="Times New Roman" w:hAnsi="Segoe UI" w:cs="Segoe UI"/>
          <w:b/>
          <w:bCs/>
          <w:i/>
          <w:iCs/>
          <w:color w:val="000000"/>
          <w:sz w:val="18"/>
          <w:szCs w:val="18"/>
          <w:lang w:eastAsia="es-CO"/>
        </w:rPr>
        <w:t xml:space="preserve">si una norma beneficia al contribuyente, evitando que se aumenten sus cargas, en forma general, por razones de justicia y equidad, sí puede aplicarse en el mismo período </w:t>
      </w:r>
      <w:r w:rsidRPr="00035F52">
        <w:rPr>
          <w:rFonts w:ascii="Segoe UI" w:eastAsia="Times New Roman" w:hAnsi="Segoe UI" w:cs="Segoe UI"/>
          <w:b/>
          <w:bCs/>
          <w:i/>
          <w:iCs/>
          <w:color w:val="000000"/>
          <w:sz w:val="18"/>
          <w:szCs w:val="18"/>
          <w:lang w:eastAsia="es-CO"/>
        </w:rPr>
        <w:lastRenderedPageBreak/>
        <w:t>en que entra en vigencia,</w:t>
      </w:r>
      <w:r w:rsidRPr="00035F52">
        <w:rPr>
          <w:rFonts w:ascii="Segoe UI" w:eastAsia="Times New Roman" w:hAnsi="Segoe UI" w:cs="Segoe UI"/>
          <w:i/>
          <w:iCs/>
          <w:color w:val="000000"/>
          <w:sz w:val="18"/>
          <w:szCs w:val="18"/>
          <w:lang w:eastAsia="es-CO"/>
        </w:rPr>
        <w:t> comoquiera que el mandato del inciso tercero del artículo 338 de la CP solo se dirige a impedir que se aumenten las cargas de dicho obligado, de modo que el Estado no pueda modificar la tributación con efectos retroactivos, en perjuicio de los contribuyentes de buena fe.»</w:t>
      </w:r>
    </w:p>
    <w:p w14:paraId="7D9F68E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678935D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Por su parte, la Sentencia </w:t>
      </w:r>
      <w:r w:rsidRPr="00035F52">
        <w:rPr>
          <w:rFonts w:ascii="Segoe UI" w:eastAsia="Times New Roman" w:hAnsi="Segoe UI" w:cs="Segoe UI"/>
          <w:b/>
          <w:bCs/>
          <w:color w:val="000000"/>
          <w:sz w:val="18"/>
          <w:szCs w:val="18"/>
          <w:lang w:eastAsia="es-CO"/>
        </w:rPr>
        <w:t>C-878 de 2011</w:t>
      </w:r>
      <w:r w:rsidRPr="00035F52">
        <w:rPr>
          <w:rFonts w:ascii="Segoe UI" w:eastAsia="Times New Roman" w:hAnsi="Segoe UI" w:cs="Segoe UI"/>
          <w:color w:val="000000"/>
          <w:sz w:val="18"/>
          <w:szCs w:val="18"/>
          <w:lang w:eastAsia="es-CO"/>
        </w:rPr>
        <w:t> precisó que </w:t>
      </w:r>
      <w:r w:rsidRPr="00035F52">
        <w:rPr>
          <w:rFonts w:ascii="Segoe UI" w:eastAsia="Times New Roman" w:hAnsi="Segoe UI" w:cs="Segoe UI"/>
          <w:i/>
          <w:iCs/>
          <w:color w:val="000000"/>
          <w:sz w:val="18"/>
          <w:szCs w:val="18"/>
          <w:lang w:eastAsia="es-CO"/>
        </w:rPr>
        <w:t>«la aplicación del principio de irretroactividad no podía ser absoluta tratándose de modificaciones benéficas al contribuyente y que tuvieren un carácter garantista.»</w:t>
      </w:r>
    </w:p>
    <w:p w14:paraId="15E29E8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1E8170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dicha providencia, la Corte Constitucional, haciendo eco de la línea jurisprudencial de la Corte Suprema de Justicia antes de expedirse la Constitución de 1991, avaló </w:t>
      </w:r>
      <w:r w:rsidRPr="00035F52">
        <w:rPr>
          <w:rFonts w:ascii="Segoe UI" w:eastAsia="Times New Roman" w:hAnsi="Segoe UI" w:cs="Segoe UI"/>
          <w:i/>
          <w:iCs/>
          <w:color w:val="000000"/>
          <w:sz w:val="18"/>
          <w:szCs w:val="18"/>
          <w:lang w:eastAsia="es-CO"/>
        </w:rPr>
        <w:t>«la aplicación </w:t>
      </w:r>
      <w:r w:rsidRPr="00035F52">
        <w:rPr>
          <w:rFonts w:ascii="Segoe UI" w:eastAsia="Times New Roman" w:hAnsi="Segoe UI" w:cs="Segoe UI"/>
          <w:b/>
          <w:bCs/>
          <w:i/>
          <w:iCs/>
          <w:color w:val="000000"/>
          <w:sz w:val="18"/>
          <w:szCs w:val="18"/>
          <w:lang w:eastAsia="es-CO"/>
        </w:rPr>
        <w:t>inmediata</w:t>
      </w:r>
      <w:r w:rsidRPr="00035F52">
        <w:rPr>
          <w:rFonts w:ascii="Segoe UI" w:eastAsia="Times New Roman" w:hAnsi="Segoe UI" w:cs="Segoe UI"/>
          <w:i/>
          <w:iCs/>
          <w:color w:val="000000"/>
          <w:sz w:val="18"/>
          <w:szCs w:val="18"/>
          <w:lang w:eastAsia="es-CO"/>
        </w:rPr>
        <w:t> de modificaciones que beneficien al contribuyente respecto de los tributos de </w:t>
      </w:r>
      <w:r w:rsidRPr="00035F52">
        <w:rPr>
          <w:rFonts w:ascii="Segoe UI" w:eastAsia="Times New Roman" w:hAnsi="Segoe UI" w:cs="Segoe UI"/>
          <w:b/>
          <w:bCs/>
          <w:i/>
          <w:iCs/>
          <w:color w:val="000000"/>
          <w:sz w:val="18"/>
          <w:szCs w:val="18"/>
          <w:lang w:eastAsia="es-CO"/>
        </w:rPr>
        <w:t>período, es decir, siempre que los hechos económicos gravados no se hubieran consolidado</w:t>
      </w:r>
      <w:r w:rsidRPr="00035F52">
        <w:rPr>
          <w:rFonts w:ascii="Segoe UI" w:eastAsia="Times New Roman" w:hAnsi="Segoe UI" w:cs="Segoe UI"/>
          <w:i/>
          <w:iCs/>
          <w:color w:val="000000"/>
          <w:sz w:val="18"/>
          <w:szCs w:val="18"/>
          <w:lang w:eastAsia="es-CO"/>
        </w:rPr>
        <w:t>, porque en tal caso existiría un fenómeno de </w:t>
      </w:r>
      <w:r w:rsidRPr="00035F52">
        <w:rPr>
          <w:rFonts w:ascii="Segoe UI" w:eastAsia="Times New Roman" w:hAnsi="Segoe UI" w:cs="Segoe UI"/>
          <w:b/>
          <w:bCs/>
          <w:i/>
          <w:iCs/>
          <w:color w:val="000000"/>
          <w:sz w:val="18"/>
          <w:szCs w:val="18"/>
          <w:lang w:eastAsia="es-CO"/>
        </w:rPr>
        <w:t>retrospectividad de la ley</w:t>
      </w:r>
      <w:r w:rsidRPr="00035F52">
        <w:rPr>
          <w:rFonts w:ascii="Segoe UI" w:eastAsia="Times New Roman" w:hAnsi="Segoe UI" w:cs="Segoe UI"/>
          <w:i/>
          <w:iCs/>
          <w:color w:val="000000"/>
          <w:sz w:val="18"/>
          <w:szCs w:val="18"/>
          <w:lang w:eastAsia="es-CO"/>
        </w:rPr>
        <w:t> y no de retroactividad propiamente dicha, dejando a salvo la prohibición de aplicación retroactiva de la ley tributaria contenida en el artículo 363 Superior.»</w:t>
      </w:r>
    </w:p>
    <w:p w14:paraId="2FC74E2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0C0E821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 la misma manera, se encuentra que la Sentencia </w:t>
      </w:r>
      <w:r w:rsidRPr="00035F52">
        <w:rPr>
          <w:rFonts w:ascii="Segoe UI" w:eastAsia="Times New Roman" w:hAnsi="Segoe UI" w:cs="Segoe UI"/>
          <w:b/>
          <w:bCs/>
          <w:color w:val="000000"/>
          <w:sz w:val="18"/>
          <w:szCs w:val="18"/>
          <w:lang w:eastAsia="es-CO"/>
        </w:rPr>
        <w:t>C-686 de 2011</w:t>
      </w:r>
      <w:r w:rsidRPr="00035F52">
        <w:rPr>
          <w:rFonts w:ascii="Segoe UI" w:eastAsia="Times New Roman" w:hAnsi="Segoe UI" w:cs="Segoe UI"/>
          <w:color w:val="000000"/>
          <w:sz w:val="18"/>
          <w:szCs w:val="18"/>
          <w:lang w:eastAsia="es-CO"/>
        </w:rPr>
        <w:t>, que analizó la entrada en vigencia de artículo 16 de la Ley 1429 de 2010, precisó que el </w:t>
      </w:r>
      <w:r w:rsidRPr="00035F52">
        <w:rPr>
          <w:rFonts w:ascii="Segoe UI" w:eastAsia="Times New Roman" w:hAnsi="Segoe UI" w:cs="Segoe UI"/>
          <w:b/>
          <w:bCs/>
          <w:color w:val="000000"/>
          <w:sz w:val="18"/>
          <w:szCs w:val="18"/>
          <w:lang w:eastAsia="es-CO"/>
        </w:rPr>
        <w:t xml:space="preserve">beneficio </w:t>
      </w:r>
      <w:proofErr w:type="spellStart"/>
      <w:r w:rsidRPr="00035F52">
        <w:rPr>
          <w:rFonts w:ascii="Segoe UI" w:eastAsia="Times New Roman" w:hAnsi="Segoe UI" w:cs="Segoe UI"/>
          <w:b/>
          <w:bCs/>
          <w:color w:val="000000"/>
          <w:sz w:val="18"/>
          <w:szCs w:val="18"/>
          <w:lang w:eastAsia="es-CO"/>
        </w:rPr>
        <w:t>tributario</w:t>
      </w:r>
      <w:r w:rsidRPr="00035F52">
        <w:rPr>
          <w:rFonts w:ascii="Segoe UI" w:eastAsia="Times New Roman" w:hAnsi="Segoe UI" w:cs="Segoe UI"/>
          <w:color w:val="000000"/>
          <w:sz w:val="18"/>
          <w:szCs w:val="18"/>
          <w:lang w:eastAsia="es-CO"/>
        </w:rPr>
        <w:t>establecido</w:t>
      </w:r>
      <w:proofErr w:type="spellEnd"/>
      <w:r w:rsidRPr="00035F52">
        <w:rPr>
          <w:rFonts w:ascii="Segoe UI" w:eastAsia="Times New Roman" w:hAnsi="Segoe UI" w:cs="Segoe UI"/>
          <w:color w:val="000000"/>
          <w:sz w:val="18"/>
          <w:szCs w:val="18"/>
          <w:lang w:eastAsia="es-CO"/>
        </w:rPr>
        <w:t xml:space="preserve"> en dicha norma podía aplicarse en el mismo período de su entrada en vigencia sin implicar retroactividad de la ley, pues, en tributos de período cuyos hechos económicos gravados no se han consolidado, </w:t>
      </w:r>
      <w:r w:rsidRPr="00035F52">
        <w:rPr>
          <w:rFonts w:ascii="Segoe UI" w:eastAsia="Times New Roman" w:hAnsi="Segoe UI" w:cs="Segoe UI"/>
          <w:b/>
          <w:bCs/>
          <w:color w:val="000000"/>
          <w:sz w:val="18"/>
          <w:szCs w:val="18"/>
          <w:lang w:eastAsia="es-CO"/>
        </w:rPr>
        <w:t>se configura un fenómeno de retrospectividad</w:t>
      </w:r>
      <w:bookmarkStart w:id="12" w:name="_ftnref12"/>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"_ftn12"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[12]</w:t>
      </w:r>
      <w:r w:rsidRPr="00035F52">
        <w:rPr>
          <w:rFonts w:ascii="Segoe UI" w:eastAsia="Times New Roman" w:hAnsi="Segoe UI" w:cs="Segoe UI"/>
          <w:b/>
          <w:bCs/>
          <w:color w:val="000000"/>
          <w:sz w:val="18"/>
          <w:szCs w:val="18"/>
          <w:lang w:eastAsia="es-CO"/>
        </w:rPr>
        <w:fldChar w:fldCharType="end"/>
      </w:r>
      <w:bookmarkEnd w:id="12"/>
      <w:r w:rsidRPr="00035F52">
        <w:rPr>
          <w:rFonts w:ascii="Segoe UI" w:eastAsia="Times New Roman" w:hAnsi="Segoe UI" w:cs="Segoe UI"/>
          <w:b/>
          <w:bCs/>
          <w:color w:val="000000"/>
          <w:sz w:val="18"/>
          <w:szCs w:val="18"/>
          <w:lang w:eastAsia="es-CO"/>
        </w:rPr>
        <w:t> en el marco de razones de equidad y justicia que no justifican postergar el beneficio para el período siguiente a la vigencia de la respectiva ley.</w:t>
      </w:r>
    </w:p>
    <w:p w14:paraId="23A093B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6250205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Es claro que los particulares y autoridades públicas se encuentran sujetos a la Constitución y la ley (CP, arts. 6, 121 y 230) y, por tanto, no pueden obviar las decisiones y precedentes del control constitucional realizado por la Corte Constitucional (CP, art. 241), pues, como intérprete con autoridad de la Constitución Política, la </w:t>
      </w:r>
      <w:r w:rsidRPr="00035F52">
        <w:rPr>
          <w:rFonts w:ascii="Segoe UI" w:eastAsia="Times New Roman" w:hAnsi="Segoe UI" w:cs="Segoe UI"/>
          <w:i/>
          <w:iCs/>
          <w:color w:val="000000"/>
          <w:sz w:val="18"/>
          <w:szCs w:val="18"/>
          <w:lang w:eastAsia="es-CO"/>
        </w:rPr>
        <w:t xml:space="preserve">ratio </w:t>
      </w:r>
      <w:proofErr w:type="spellStart"/>
      <w:r w:rsidRPr="00035F52">
        <w:rPr>
          <w:rFonts w:ascii="Segoe UI" w:eastAsia="Times New Roman" w:hAnsi="Segoe UI" w:cs="Segoe UI"/>
          <w:i/>
          <w:iCs/>
          <w:color w:val="000000"/>
          <w:sz w:val="18"/>
          <w:szCs w:val="18"/>
          <w:lang w:eastAsia="es-CO"/>
        </w:rPr>
        <w:t>decidendi</w:t>
      </w:r>
      <w:proofErr w:type="spellEnd"/>
      <w:r w:rsidRPr="00035F52">
        <w:rPr>
          <w:rFonts w:ascii="Segoe UI" w:eastAsia="Times New Roman" w:hAnsi="Segoe UI" w:cs="Segoe UI"/>
          <w:i/>
          <w:iCs/>
          <w:color w:val="000000"/>
          <w:sz w:val="18"/>
          <w:szCs w:val="18"/>
          <w:lang w:eastAsia="es-CO"/>
        </w:rPr>
        <w:t> </w:t>
      </w:r>
      <w:r w:rsidRPr="00035F52">
        <w:rPr>
          <w:rFonts w:ascii="Segoe UI" w:eastAsia="Times New Roman" w:hAnsi="Segoe UI" w:cs="Segoe UI"/>
          <w:color w:val="000000"/>
          <w:sz w:val="18"/>
          <w:szCs w:val="18"/>
          <w:lang w:eastAsia="es-CO"/>
        </w:rPr>
        <w:t>de las providencias de dicha corporación guían el entendimiento y aplicación de los preceptos jurídicos.</w:t>
      </w:r>
    </w:p>
    <w:p w14:paraId="36F54DF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7BBC1A6C"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 propósito de la aplicación de normas favorables para situaciones anteriores a la entrada en vigencia de aquellas, en sentencia del 3 de marzo de 2011, proferida en el expediente 17443</w:t>
      </w:r>
      <w:bookmarkStart w:id="13" w:name="_ftnref13"/>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"_ftn13"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[13]</w:t>
      </w:r>
      <w:r w:rsidRPr="00035F52">
        <w:rPr>
          <w:rFonts w:ascii="Segoe UI" w:eastAsia="Times New Roman" w:hAnsi="Segoe UI" w:cs="Segoe UI"/>
          <w:color w:val="000000"/>
          <w:sz w:val="18"/>
          <w:szCs w:val="18"/>
          <w:lang w:eastAsia="es-CO"/>
        </w:rPr>
        <w:fldChar w:fldCharType="end"/>
      </w:r>
      <w:bookmarkEnd w:id="13"/>
      <w:r w:rsidRPr="00035F52">
        <w:rPr>
          <w:rFonts w:ascii="Segoe UI" w:eastAsia="Times New Roman" w:hAnsi="Segoe UI" w:cs="Segoe UI"/>
          <w:color w:val="000000"/>
          <w:sz w:val="18"/>
          <w:szCs w:val="18"/>
          <w:lang w:eastAsia="es-CO"/>
        </w:rPr>
        <w:t>, la Sección Cuarta del Consejo de Estado admitió la aplicación inmediata de una norma que reducía las tarifas del impuesto de timbre para los contratos de cuantía indeterminada.</w:t>
      </w:r>
    </w:p>
    <w:p w14:paraId="7A4E957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33C82C2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Debe tenerse en cuenta que el principio constitucional de legalidad tributaria, expresión del principio de representación popular y forma material del de predeterminación de los tributos, así como los postulados de distribución de las cargas públicas, sostenibilidad fiscal y separación de poderes, y la trascendencia social y económica de las razones que orientan las políticas fiscales sobre regulación de tributos de período, permiten resaltar que el llamado a determinar los efectos en el tiempo de ese tipo de regulaciones es el </w:t>
      </w:r>
      <w:r w:rsidRPr="00035F52">
        <w:rPr>
          <w:rFonts w:ascii="Segoe UI" w:eastAsia="Times New Roman" w:hAnsi="Segoe UI" w:cs="Segoe UI"/>
          <w:b/>
          <w:bCs/>
          <w:color w:val="000000"/>
          <w:sz w:val="18"/>
          <w:szCs w:val="18"/>
          <w:lang w:eastAsia="es-CO"/>
        </w:rPr>
        <w:t>legislador</w:t>
      </w:r>
      <w:r w:rsidRPr="00035F52">
        <w:rPr>
          <w:rFonts w:ascii="Segoe UI" w:eastAsia="Times New Roman" w:hAnsi="Segoe UI" w:cs="Segoe UI"/>
          <w:color w:val="000000"/>
          <w:sz w:val="18"/>
          <w:szCs w:val="18"/>
          <w:lang w:eastAsia="es-CO"/>
        </w:rPr>
        <w:t>, en ejercicio de la facultad que le confiere el artículo 150 (</w:t>
      </w:r>
      <w:proofErr w:type="spellStart"/>
      <w:r w:rsidRPr="00035F52">
        <w:rPr>
          <w:rFonts w:ascii="Segoe UI" w:eastAsia="Times New Roman" w:hAnsi="Segoe UI" w:cs="Segoe UI"/>
          <w:color w:val="000000"/>
          <w:sz w:val="18"/>
          <w:szCs w:val="18"/>
          <w:lang w:eastAsia="es-CO"/>
        </w:rPr>
        <w:t>num</w:t>
      </w:r>
      <w:proofErr w:type="spellEnd"/>
      <w:r w:rsidRPr="00035F52">
        <w:rPr>
          <w:rFonts w:ascii="Segoe UI" w:eastAsia="Times New Roman" w:hAnsi="Segoe UI" w:cs="Segoe UI"/>
          <w:color w:val="000000"/>
          <w:sz w:val="18"/>
          <w:szCs w:val="18"/>
          <w:lang w:eastAsia="es-CO"/>
        </w:rPr>
        <w:t>. 12) de la CP, en concordancia con el artículo 11 del CC</w:t>
      </w:r>
      <w:bookmarkStart w:id="14" w:name="_ftnref14"/>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"_ftn14"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[14]</w:t>
      </w:r>
      <w:r w:rsidRPr="00035F52">
        <w:rPr>
          <w:rFonts w:ascii="Segoe UI" w:eastAsia="Times New Roman" w:hAnsi="Segoe UI" w:cs="Segoe UI"/>
          <w:color w:val="000000"/>
          <w:sz w:val="18"/>
          <w:szCs w:val="18"/>
          <w:lang w:eastAsia="es-CO"/>
        </w:rPr>
        <w:fldChar w:fldCharType="end"/>
      </w:r>
      <w:bookmarkEnd w:id="14"/>
      <w:r w:rsidRPr="00035F52">
        <w:rPr>
          <w:rFonts w:ascii="Segoe UI" w:eastAsia="Times New Roman" w:hAnsi="Segoe UI" w:cs="Segoe UI"/>
          <w:color w:val="000000"/>
          <w:sz w:val="18"/>
          <w:szCs w:val="18"/>
          <w:lang w:eastAsia="es-CO"/>
        </w:rPr>
        <w:t>.</w:t>
      </w:r>
    </w:p>
    <w:p w14:paraId="2151AF41"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55BD0C1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Lo anterior permite concluir que, en tratándose de situaciones jurídicas no consolidadas en impuestos de período, es dable la aplicación de normas tributarias benéficas para el contribuyente, en forma inmediata, si así lo establece el legislador. En sentido contrario, si el legislador no lo prevé, se aplica el principio general de irretroactividad de la ley en materia tributaria respecto de impuestos de período.</w:t>
      </w:r>
    </w:p>
    <w:p w14:paraId="50864A3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4AD9003C" w14:textId="77777777" w:rsidR="00035F52" w:rsidRPr="003A3B46" w:rsidRDefault="00035F52" w:rsidP="00035F52">
      <w:pPr>
        <w:spacing w:after="0" w:line="240" w:lineRule="auto"/>
        <w:jc w:val="both"/>
        <w:rPr>
          <w:rFonts w:ascii="Arial" w:eastAsia="Times New Roman" w:hAnsi="Arial" w:cs="Arial"/>
          <w:color w:val="000000"/>
          <w:sz w:val="32"/>
          <w:szCs w:val="32"/>
          <w:highlight w:val="cyan"/>
          <w:lang w:eastAsia="es-CO"/>
        </w:rPr>
      </w:pPr>
      <w:r w:rsidRPr="003A3B46">
        <w:rPr>
          <w:rFonts w:ascii="Segoe UI" w:eastAsia="Times New Roman" w:hAnsi="Segoe UI" w:cs="Segoe UI"/>
          <w:color w:val="000000"/>
          <w:sz w:val="32"/>
          <w:szCs w:val="32"/>
          <w:highlight w:val="cyan"/>
          <w:lang w:eastAsia="es-CO"/>
        </w:rPr>
        <w:t>Ahora bien, la Ley 1607 de 2012, en el artículo 197, estableció la “favorabilidad” como principio aplicable a la imposición de sanciones tributarias</w:t>
      </w:r>
      <w:bookmarkStart w:id="15" w:name="_ftnref15"/>
      <w:r w:rsidRPr="003A3B46">
        <w:rPr>
          <w:rFonts w:ascii="Segoe UI" w:eastAsia="Times New Roman" w:hAnsi="Segoe UI" w:cs="Segoe UI"/>
          <w:color w:val="000000"/>
          <w:sz w:val="32"/>
          <w:szCs w:val="32"/>
          <w:highlight w:val="cyan"/>
          <w:lang w:eastAsia="es-CO"/>
        </w:rPr>
        <w:fldChar w:fldCharType="begin"/>
      </w:r>
      <w:r w:rsidRPr="003A3B46">
        <w:rPr>
          <w:rFonts w:ascii="Segoe UI" w:eastAsia="Times New Roman" w:hAnsi="Segoe UI" w:cs="Segoe UI"/>
          <w:color w:val="000000"/>
          <w:sz w:val="32"/>
          <w:szCs w:val="32"/>
          <w:highlight w:val="cyan"/>
          <w:lang w:eastAsia="es-CO"/>
        </w:rPr>
        <w:instrText xml:space="preserve"> HYPERLINK "https://www.ceta.org.co/html/vista_de_un_documento.asp?DocumentoID=36281" \l "_ftn15" \o "" </w:instrText>
      </w:r>
      <w:r w:rsidRPr="003A3B46">
        <w:rPr>
          <w:rFonts w:ascii="Segoe UI" w:eastAsia="Times New Roman" w:hAnsi="Segoe UI" w:cs="Segoe UI"/>
          <w:color w:val="000000"/>
          <w:sz w:val="32"/>
          <w:szCs w:val="32"/>
          <w:highlight w:val="cyan"/>
          <w:lang w:eastAsia="es-CO"/>
        </w:rPr>
        <w:fldChar w:fldCharType="separate"/>
      </w:r>
      <w:r w:rsidRPr="003A3B46">
        <w:rPr>
          <w:rFonts w:ascii="Segoe UI" w:eastAsia="Times New Roman" w:hAnsi="Segoe UI" w:cs="Segoe UI"/>
          <w:color w:val="0089E1"/>
          <w:sz w:val="32"/>
          <w:szCs w:val="32"/>
          <w:highlight w:val="cyan"/>
          <w:lang w:eastAsia="es-CO"/>
        </w:rPr>
        <w:t>[15]</w:t>
      </w:r>
      <w:r w:rsidRPr="003A3B46">
        <w:rPr>
          <w:rFonts w:ascii="Segoe UI" w:eastAsia="Times New Roman" w:hAnsi="Segoe UI" w:cs="Segoe UI"/>
          <w:color w:val="000000"/>
          <w:sz w:val="32"/>
          <w:szCs w:val="32"/>
          <w:highlight w:val="cyan"/>
          <w:lang w:eastAsia="es-CO"/>
        </w:rPr>
        <w:fldChar w:fldCharType="end"/>
      </w:r>
      <w:bookmarkEnd w:id="15"/>
      <w:r w:rsidRPr="003A3B46">
        <w:rPr>
          <w:rFonts w:ascii="Segoe UI" w:eastAsia="Times New Roman" w:hAnsi="Segoe UI" w:cs="Segoe UI"/>
          <w:color w:val="000000"/>
          <w:sz w:val="32"/>
          <w:szCs w:val="32"/>
          <w:highlight w:val="cyan"/>
          <w:lang w:eastAsia="es-CO"/>
        </w:rPr>
        <w:t>, norma que fue derogada por el artículo 376 de la Ley 1819 de 2016, que en el parágrafo 5 del artículo 282 ib.</w:t>
      </w:r>
      <w:bookmarkStart w:id="16" w:name="_ftnref16"/>
      <w:r w:rsidRPr="003A3B46">
        <w:rPr>
          <w:rFonts w:ascii="Segoe UI" w:eastAsia="Times New Roman" w:hAnsi="Segoe UI" w:cs="Segoe UI"/>
          <w:color w:val="000000"/>
          <w:sz w:val="32"/>
          <w:szCs w:val="32"/>
          <w:highlight w:val="cyan"/>
          <w:lang w:eastAsia="es-CO"/>
        </w:rPr>
        <w:fldChar w:fldCharType="begin"/>
      </w:r>
      <w:r w:rsidRPr="003A3B46">
        <w:rPr>
          <w:rFonts w:ascii="Segoe UI" w:eastAsia="Times New Roman" w:hAnsi="Segoe UI" w:cs="Segoe UI"/>
          <w:color w:val="000000"/>
          <w:sz w:val="32"/>
          <w:szCs w:val="32"/>
          <w:highlight w:val="cyan"/>
          <w:lang w:eastAsia="es-CO"/>
        </w:rPr>
        <w:instrText xml:space="preserve"> HYPERLINK "https://www.ceta.org.co/html/vista_de_un_documento.asp?DocumentoID=36281" \l "_ftn16" \o "" </w:instrText>
      </w:r>
      <w:r w:rsidRPr="003A3B46">
        <w:rPr>
          <w:rFonts w:ascii="Segoe UI" w:eastAsia="Times New Roman" w:hAnsi="Segoe UI" w:cs="Segoe UI"/>
          <w:color w:val="000000"/>
          <w:sz w:val="32"/>
          <w:szCs w:val="32"/>
          <w:highlight w:val="cyan"/>
          <w:lang w:eastAsia="es-CO"/>
        </w:rPr>
        <w:fldChar w:fldCharType="separate"/>
      </w:r>
      <w:r w:rsidRPr="003A3B46">
        <w:rPr>
          <w:rFonts w:ascii="Segoe UI" w:eastAsia="Times New Roman" w:hAnsi="Segoe UI" w:cs="Segoe UI"/>
          <w:color w:val="0089E1"/>
          <w:sz w:val="32"/>
          <w:szCs w:val="32"/>
          <w:highlight w:val="cyan"/>
          <w:lang w:eastAsia="es-CO"/>
        </w:rPr>
        <w:t>[16]</w:t>
      </w:r>
      <w:r w:rsidRPr="003A3B46">
        <w:rPr>
          <w:rFonts w:ascii="Segoe UI" w:eastAsia="Times New Roman" w:hAnsi="Segoe UI" w:cs="Segoe UI"/>
          <w:color w:val="000000"/>
          <w:sz w:val="32"/>
          <w:szCs w:val="32"/>
          <w:highlight w:val="cyan"/>
          <w:lang w:eastAsia="es-CO"/>
        </w:rPr>
        <w:fldChar w:fldCharType="end"/>
      </w:r>
      <w:bookmarkEnd w:id="16"/>
      <w:r w:rsidRPr="003A3B46">
        <w:rPr>
          <w:rFonts w:ascii="Segoe UI" w:eastAsia="Times New Roman" w:hAnsi="Segoe UI" w:cs="Segoe UI"/>
          <w:color w:val="000000"/>
          <w:sz w:val="32"/>
          <w:szCs w:val="32"/>
          <w:highlight w:val="cyan"/>
          <w:lang w:eastAsia="es-CO"/>
        </w:rPr>
        <w:t> mantuvo la aplicación de la “favorabilidad” para el régimen sancionatorio tributario y, en tal sentido, modificó el artículo 640 del ET.</w:t>
      </w:r>
    </w:p>
    <w:p w14:paraId="01EACDC0" w14:textId="77777777" w:rsidR="00035F52" w:rsidRPr="003A3B46" w:rsidRDefault="00035F52" w:rsidP="00035F52">
      <w:pPr>
        <w:spacing w:after="0" w:line="240" w:lineRule="auto"/>
        <w:jc w:val="both"/>
        <w:rPr>
          <w:rFonts w:ascii="Arial" w:eastAsia="Times New Roman" w:hAnsi="Arial" w:cs="Arial"/>
          <w:color w:val="000000"/>
          <w:sz w:val="32"/>
          <w:szCs w:val="32"/>
          <w:highlight w:val="cyan"/>
          <w:lang w:eastAsia="es-CO"/>
        </w:rPr>
      </w:pPr>
      <w:r w:rsidRPr="003A3B46">
        <w:rPr>
          <w:rFonts w:ascii="Segoe UI" w:eastAsia="Times New Roman" w:hAnsi="Segoe UI" w:cs="Segoe UI"/>
          <w:color w:val="000000"/>
          <w:sz w:val="32"/>
          <w:szCs w:val="32"/>
          <w:highlight w:val="cyan"/>
          <w:lang w:eastAsia="es-CO"/>
        </w:rPr>
        <w:t> </w:t>
      </w:r>
    </w:p>
    <w:p w14:paraId="27E3EAF6" w14:textId="77777777" w:rsidR="00035F52" w:rsidRPr="003A3B46" w:rsidRDefault="00035F52" w:rsidP="00035F52">
      <w:pPr>
        <w:spacing w:after="0" w:line="240" w:lineRule="auto"/>
        <w:jc w:val="both"/>
        <w:rPr>
          <w:rFonts w:ascii="Arial" w:eastAsia="Times New Roman" w:hAnsi="Arial" w:cs="Arial"/>
          <w:color w:val="000000"/>
          <w:sz w:val="32"/>
          <w:szCs w:val="32"/>
          <w:lang w:eastAsia="es-CO"/>
        </w:rPr>
      </w:pPr>
      <w:r w:rsidRPr="003A3B46">
        <w:rPr>
          <w:rFonts w:ascii="Segoe UI" w:eastAsia="Times New Roman" w:hAnsi="Segoe UI" w:cs="Segoe UI"/>
          <w:color w:val="000000"/>
          <w:sz w:val="32"/>
          <w:szCs w:val="32"/>
          <w:highlight w:val="cyan"/>
          <w:lang w:eastAsia="es-CO"/>
        </w:rPr>
        <w:t>Así, no se discute en el ordenamiento fiscal actual un criterio de retroactividad </w:t>
      </w:r>
      <w:r w:rsidRPr="003A3B46">
        <w:rPr>
          <w:rFonts w:ascii="Segoe UI" w:eastAsia="Times New Roman" w:hAnsi="Segoe UI" w:cs="Segoe UI"/>
          <w:i/>
          <w:iCs/>
          <w:color w:val="000000"/>
          <w:sz w:val="32"/>
          <w:szCs w:val="32"/>
          <w:highlight w:val="cyan"/>
          <w:lang w:eastAsia="es-CO"/>
        </w:rPr>
        <w:t>in bonus</w:t>
      </w:r>
      <w:r w:rsidRPr="003A3B46">
        <w:rPr>
          <w:rFonts w:ascii="Segoe UI" w:eastAsia="Times New Roman" w:hAnsi="Segoe UI" w:cs="Segoe UI"/>
          <w:color w:val="000000"/>
          <w:sz w:val="32"/>
          <w:szCs w:val="32"/>
          <w:highlight w:val="cyan"/>
          <w:lang w:eastAsia="es-CO"/>
        </w:rPr>
        <w:t> o </w:t>
      </w:r>
      <w:r w:rsidRPr="003A3B46">
        <w:rPr>
          <w:rFonts w:ascii="Segoe UI" w:eastAsia="Times New Roman" w:hAnsi="Segoe UI" w:cs="Segoe UI"/>
          <w:i/>
          <w:iCs/>
          <w:color w:val="000000"/>
          <w:sz w:val="32"/>
          <w:szCs w:val="32"/>
          <w:highlight w:val="cyan"/>
          <w:lang w:eastAsia="es-CO"/>
        </w:rPr>
        <w:t xml:space="preserve">in </w:t>
      </w:r>
      <w:proofErr w:type="spellStart"/>
      <w:r w:rsidRPr="003A3B46">
        <w:rPr>
          <w:rFonts w:ascii="Segoe UI" w:eastAsia="Times New Roman" w:hAnsi="Segoe UI" w:cs="Segoe UI"/>
          <w:i/>
          <w:iCs/>
          <w:color w:val="000000"/>
          <w:sz w:val="32"/>
          <w:szCs w:val="32"/>
          <w:highlight w:val="cyan"/>
          <w:lang w:eastAsia="es-CO"/>
        </w:rPr>
        <w:t>bonam</w:t>
      </w:r>
      <w:proofErr w:type="spellEnd"/>
      <w:r w:rsidRPr="003A3B46">
        <w:rPr>
          <w:rFonts w:ascii="Segoe UI" w:eastAsia="Times New Roman" w:hAnsi="Segoe UI" w:cs="Segoe UI"/>
          <w:i/>
          <w:iCs/>
          <w:color w:val="000000"/>
          <w:sz w:val="32"/>
          <w:szCs w:val="32"/>
          <w:highlight w:val="cyan"/>
          <w:lang w:eastAsia="es-CO"/>
        </w:rPr>
        <w:t xml:space="preserve"> parte</w:t>
      </w:r>
      <w:r w:rsidRPr="003A3B46">
        <w:rPr>
          <w:rFonts w:ascii="Segoe UI" w:eastAsia="Times New Roman" w:hAnsi="Segoe UI" w:cs="Segoe UI"/>
          <w:color w:val="000000"/>
          <w:sz w:val="32"/>
          <w:szCs w:val="32"/>
          <w:highlight w:val="cyan"/>
          <w:lang w:eastAsia="es-CO"/>
        </w:rPr>
        <w:t xml:space="preserve">, a merced del cual las “disposiciones sancionatorias” más favorables pueden </w:t>
      </w:r>
      <w:r w:rsidRPr="003A3B46">
        <w:rPr>
          <w:rFonts w:ascii="Segoe UI" w:eastAsia="Times New Roman" w:hAnsi="Segoe UI" w:cs="Segoe UI"/>
          <w:color w:val="000000"/>
          <w:sz w:val="32"/>
          <w:szCs w:val="32"/>
          <w:highlight w:val="cyan"/>
          <w:lang w:eastAsia="es-CO"/>
        </w:rPr>
        <w:lastRenderedPageBreak/>
        <w:t>aplicarse retroactivamente</w:t>
      </w:r>
      <w:bookmarkStart w:id="17" w:name="_ftnref17"/>
      <w:r w:rsidRPr="003A3B46">
        <w:rPr>
          <w:rFonts w:ascii="Segoe UI" w:eastAsia="Times New Roman" w:hAnsi="Segoe UI" w:cs="Segoe UI"/>
          <w:color w:val="000000"/>
          <w:sz w:val="32"/>
          <w:szCs w:val="32"/>
          <w:highlight w:val="cyan"/>
          <w:lang w:eastAsia="es-CO"/>
        </w:rPr>
        <w:fldChar w:fldCharType="begin"/>
      </w:r>
      <w:r w:rsidRPr="003A3B46">
        <w:rPr>
          <w:rFonts w:ascii="Segoe UI" w:eastAsia="Times New Roman" w:hAnsi="Segoe UI" w:cs="Segoe UI"/>
          <w:color w:val="000000"/>
          <w:sz w:val="32"/>
          <w:szCs w:val="32"/>
          <w:highlight w:val="cyan"/>
          <w:lang w:eastAsia="es-CO"/>
        </w:rPr>
        <w:instrText xml:space="preserve"> HYPERLINK "https://www.ceta.org.co/html/vista_de_un_documento.asp?DocumentoID=36281" \l "_ftn17" \o "" </w:instrText>
      </w:r>
      <w:r w:rsidRPr="003A3B46">
        <w:rPr>
          <w:rFonts w:ascii="Segoe UI" w:eastAsia="Times New Roman" w:hAnsi="Segoe UI" w:cs="Segoe UI"/>
          <w:color w:val="000000"/>
          <w:sz w:val="32"/>
          <w:szCs w:val="32"/>
          <w:highlight w:val="cyan"/>
          <w:lang w:eastAsia="es-CO"/>
        </w:rPr>
        <w:fldChar w:fldCharType="separate"/>
      </w:r>
      <w:r w:rsidRPr="003A3B46">
        <w:rPr>
          <w:rFonts w:ascii="Segoe UI" w:eastAsia="Times New Roman" w:hAnsi="Segoe UI" w:cs="Segoe UI"/>
          <w:color w:val="0089E1"/>
          <w:sz w:val="32"/>
          <w:szCs w:val="32"/>
          <w:highlight w:val="cyan"/>
          <w:lang w:eastAsia="es-CO"/>
        </w:rPr>
        <w:t>[17]</w:t>
      </w:r>
      <w:r w:rsidRPr="003A3B46">
        <w:rPr>
          <w:rFonts w:ascii="Segoe UI" w:eastAsia="Times New Roman" w:hAnsi="Segoe UI" w:cs="Segoe UI"/>
          <w:color w:val="000000"/>
          <w:sz w:val="32"/>
          <w:szCs w:val="32"/>
          <w:highlight w:val="cyan"/>
          <w:lang w:eastAsia="es-CO"/>
        </w:rPr>
        <w:fldChar w:fldCharType="end"/>
      </w:r>
      <w:bookmarkEnd w:id="17"/>
      <w:r w:rsidRPr="003A3B46">
        <w:rPr>
          <w:rFonts w:ascii="Segoe UI" w:eastAsia="Times New Roman" w:hAnsi="Segoe UI" w:cs="Segoe UI"/>
          <w:color w:val="000000"/>
          <w:sz w:val="32"/>
          <w:szCs w:val="32"/>
          <w:highlight w:val="cyan"/>
          <w:lang w:eastAsia="es-CO"/>
        </w:rPr>
        <w:t>, con base en la autorización legal dada por las reformas tributarias de los años 2012 (Ley 1607, art. 197) y 2016 (Ley 1819, art. 282) para aplicar normas tributarias posteriores permisivas o favorables, en cuanto tales leyes así lo dispusieron.</w:t>
      </w:r>
    </w:p>
    <w:p w14:paraId="6DB99949" w14:textId="77777777" w:rsidR="00035F52" w:rsidRPr="003A3B46" w:rsidRDefault="00035F52" w:rsidP="00035F52">
      <w:pPr>
        <w:spacing w:after="0" w:line="240" w:lineRule="auto"/>
        <w:jc w:val="both"/>
        <w:rPr>
          <w:rFonts w:ascii="Arial" w:eastAsia="Times New Roman" w:hAnsi="Arial" w:cs="Arial"/>
          <w:color w:val="000000"/>
          <w:sz w:val="32"/>
          <w:szCs w:val="32"/>
          <w:lang w:eastAsia="es-CO"/>
        </w:rPr>
      </w:pPr>
      <w:r w:rsidRPr="003A3B46">
        <w:rPr>
          <w:rFonts w:ascii="Segoe UI" w:eastAsia="Times New Roman" w:hAnsi="Segoe UI" w:cs="Segoe UI"/>
          <w:color w:val="000000"/>
          <w:sz w:val="32"/>
          <w:szCs w:val="32"/>
          <w:lang w:eastAsia="es-CO"/>
        </w:rPr>
        <w:t> </w:t>
      </w:r>
    </w:p>
    <w:p w14:paraId="043A860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ese orden y comoquiera que la tesis jurídica del concepto acusado coincide con lo ya expuesto, en cuanto señaló que </w:t>
      </w:r>
      <w:r w:rsidRPr="00035F52">
        <w:rPr>
          <w:rFonts w:ascii="Segoe UI" w:eastAsia="Times New Roman" w:hAnsi="Segoe UI" w:cs="Segoe UI"/>
          <w:i/>
          <w:iCs/>
          <w:color w:val="000000"/>
          <w:sz w:val="18"/>
          <w:szCs w:val="18"/>
          <w:lang w:eastAsia="es-CO"/>
        </w:rPr>
        <w:t>en derecho tributario el principio de favorabilidad solo es predicable en materia sancionatoria</w:t>
      </w:r>
      <w:r w:rsidRPr="00035F52">
        <w:rPr>
          <w:rFonts w:ascii="Segoe UI" w:eastAsia="Times New Roman" w:hAnsi="Segoe UI" w:cs="Segoe UI"/>
          <w:color w:val="000000"/>
          <w:sz w:val="18"/>
          <w:szCs w:val="18"/>
          <w:lang w:eastAsia="es-CO"/>
        </w:rPr>
        <w:t> y que </w:t>
      </w:r>
      <w:r w:rsidRPr="00035F52">
        <w:rPr>
          <w:rFonts w:ascii="Segoe UI" w:eastAsia="Times New Roman" w:hAnsi="Segoe UI" w:cs="Segoe UI"/>
          <w:i/>
          <w:iCs/>
          <w:color w:val="000000"/>
          <w:sz w:val="18"/>
          <w:szCs w:val="18"/>
          <w:lang w:eastAsia="es-CO"/>
        </w:rPr>
        <w:t>la modificación legal de alguno de los elementos constitutivos de un impuesto de período, en aras de los principios de legalidad e irretroactividad, solo es aplicable a partir del período fiscal siguiente a la fecha de su promulgación, </w:t>
      </w:r>
      <w:r w:rsidRPr="00035F52">
        <w:rPr>
          <w:rFonts w:ascii="Segoe UI" w:eastAsia="Times New Roman" w:hAnsi="Segoe UI" w:cs="Segoe UI"/>
          <w:color w:val="000000"/>
          <w:sz w:val="18"/>
          <w:szCs w:val="18"/>
          <w:lang w:eastAsia="es-CO"/>
        </w:rPr>
        <w:t>que precisa la Sala es la regla general, se negarán las pretensiones de la demanda.</w:t>
      </w:r>
    </w:p>
    <w:p w14:paraId="54345B7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77A4A78F"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xml:space="preserve">No </w:t>
      </w:r>
      <w:proofErr w:type="gramStart"/>
      <w:r w:rsidRPr="00035F52">
        <w:rPr>
          <w:rFonts w:ascii="Segoe UI" w:eastAsia="Times New Roman" w:hAnsi="Segoe UI" w:cs="Segoe UI"/>
          <w:color w:val="000000"/>
          <w:sz w:val="18"/>
          <w:szCs w:val="18"/>
          <w:lang w:eastAsia="es-CO"/>
        </w:rPr>
        <w:t>obstante</w:t>
      </w:r>
      <w:proofErr w:type="gramEnd"/>
      <w:r w:rsidRPr="00035F52">
        <w:rPr>
          <w:rFonts w:ascii="Segoe UI" w:eastAsia="Times New Roman" w:hAnsi="Segoe UI" w:cs="Segoe UI"/>
          <w:color w:val="000000"/>
          <w:sz w:val="18"/>
          <w:szCs w:val="18"/>
          <w:lang w:eastAsia="es-CO"/>
        </w:rPr>
        <w:t xml:space="preserve"> lo anterior, en tratándose de situaciones jurídicas no consolidadas en impuestos de período, es dable la aplicación de normas tributarias benéficas para el contribuyente, en forma inmediata, si así lo establece el legislador.</w:t>
      </w:r>
    </w:p>
    <w:p w14:paraId="02BD0AE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2958977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14:paraId="46B86024"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2A4D2BBB" w14:textId="77777777"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FALLA</w:t>
      </w:r>
    </w:p>
    <w:p w14:paraId="6D9378E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4D930DB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22"/>
          <w:shd w:val="clear" w:color="auto" w:fill="FFFFFF"/>
          <w:lang w:eastAsia="es-CO"/>
        </w:rPr>
        <w:t>NIÉGANSE </w:t>
      </w:r>
      <w:r w:rsidRPr="00035F52">
        <w:rPr>
          <w:rFonts w:ascii="Segoe UI" w:eastAsia="Times New Roman" w:hAnsi="Segoe UI" w:cs="Segoe UI"/>
          <w:color w:val="000000"/>
          <w:sz w:val="22"/>
          <w:shd w:val="clear" w:color="auto" w:fill="FFFFFF"/>
          <w:lang w:eastAsia="es-CO"/>
        </w:rPr>
        <w:t>las pretensiones de la demanda.</w:t>
      </w:r>
    </w:p>
    <w:p w14:paraId="1D8100D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2"/>
          <w:shd w:val="clear" w:color="auto" w:fill="FFFFFF"/>
          <w:lang w:eastAsia="es-CO"/>
        </w:rPr>
        <w:t> </w:t>
      </w:r>
    </w:p>
    <w:p w14:paraId="790AF5A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2"/>
          <w:lang w:eastAsia="es-CO"/>
        </w:rPr>
        <w:t>No se condena en costas, en virtud de lo dispuesto en el artículo 188 de la Ley 1437 de 2011.</w:t>
      </w:r>
    </w:p>
    <w:p w14:paraId="347ED991" w14:textId="77777777" w:rsidR="00035F52" w:rsidRPr="00035F52" w:rsidRDefault="00035F52" w:rsidP="00035F52">
      <w:pPr>
        <w:spacing w:after="0" w:line="240" w:lineRule="auto"/>
        <w:jc w:val="both"/>
        <w:textAlignment w:val="baseline"/>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016D57B0" w14:textId="77777777" w:rsidR="00035F52" w:rsidRPr="00035F52" w:rsidRDefault="00035F52" w:rsidP="00035F52">
      <w:pPr>
        <w:spacing w:after="0" w:line="240" w:lineRule="auto"/>
        <w:jc w:val="both"/>
        <w:textAlignment w:val="baseline"/>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Cópiese, notifíquese, comuníquese y devuélvase el expediente al Tribunal de origen. Cúmplase.</w:t>
      </w:r>
    </w:p>
    <w:p w14:paraId="5AC99D6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03A8678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anterior providencia se estudió y aprobó en sesión de la fecha.</w:t>
      </w:r>
    </w:p>
    <w:p w14:paraId="6E98E66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7ACB21DA"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5DDEA9E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MILTON CHAVES GARCÍA</w:t>
      </w:r>
    </w:p>
    <w:p w14:paraId="4228A03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Presidente de la Sección</w:t>
      </w:r>
    </w:p>
    <w:p w14:paraId="2B9738A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6364E38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3079F78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STELLA JEANNETTE CARVAJAL BASTO</w:t>
      </w:r>
    </w:p>
    <w:p w14:paraId="521AD4E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6A67A033"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14:paraId="2479BA6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JULIO ROBERTO PIZA RODRÍGUEZ</w:t>
      </w:r>
    </w:p>
    <w:p w14:paraId="6CF05D73"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5C3DFDC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14:paraId="513DEF5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xml:space="preserve">JORGE OCTAVIO RAMÍREZ </w:t>
      </w:r>
      <w:proofErr w:type="spellStart"/>
      <w:r w:rsidRPr="00035F52">
        <w:rPr>
          <w:rFonts w:ascii="Segoe UI" w:eastAsia="Times New Roman" w:hAnsi="Segoe UI" w:cs="Segoe UI"/>
          <w:b/>
          <w:bCs/>
          <w:color w:val="000000"/>
          <w:sz w:val="18"/>
          <w:szCs w:val="18"/>
          <w:lang w:eastAsia="es-CO"/>
        </w:rPr>
        <w:t>RAMÍREZ</w:t>
      </w:r>
      <w:proofErr w:type="spellEnd"/>
    </w:p>
    <w:p w14:paraId="5013EF5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br w:type="textWrapping" w:clear="all"/>
      </w:r>
    </w:p>
    <w:p w14:paraId="27D0C2EE" w14:textId="77777777" w:rsidR="00035F52" w:rsidRPr="00035F52" w:rsidRDefault="003A3B46" w:rsidP="00035F52">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pict w14:anchorId="35797426">
          <v:rect id="_x0000_i1025" style="width:145pt;height:.6pt" o:hrpct="330" o:hrstd="t" o:hr="t" fillcolor="#a0a0a0" stroked="f"/>
        </w:pict>
      </w:r>
    </w:p>
    <w:bookmarkStart w:id="18" w:name="_ftn1"/>
    <w:p w14:paraId="0ED2E96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w:t>
      </w:r>
      <w:r w:rsidRPr="00035F52">
        <w:rPr>
          <w:rFonts w:ascii="Arial" w:eastAsia="Times New Roman" w:hAnsi="Arial" w:cs="Arial"/>
          <w:color w:val="000000"/>
          <w:sz w:val="18"/>
          <w:szCs w:val="18"/>
          <w:lang w:eastAsia="es-CO"/>
        </w:rPr>
        <w:fldChar w:fldCharType="end"/>
      </w:r>
      <w:bookmarkEnd w:id="18"/>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16 a 17</w:t>
      </w:r>
    </w:p>
    <w:p w14:paraId="4C50A5BA"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19" w:name="_ftn2"/>
    <w:p w14:paraId="4CF2A8D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"_ftnref2"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[2]</w:t>
      </w:r>
      <w:r w:rsidRPr="00035F52">
        <w:rPr>
          <w:rFonts w:ascii="Arial" w:eastAsia="Times New Roman" w:hAnsi="Arial" w:cs="Arial"/>
          <w:color w:val="000000"/>
          <w:sz w:val="18"/>
          <w:szCs w:val="18"/>
          <w:lang w:eastAsia="es-CO"/>
        </w:rPr>
        <w:fldChar w:fldCharType="end"/>
      </w:r>
      <w:bookmarkEnd w:id="19"/>
      <w:r w:rsidRPr="00035F52">
        <w:rPr>
          <w:rFonts w:ascii="Segoe UI" w:eastAsia="Times New Roman" w:hAnsi="Segoe UI" w:cs="Segoe UI"/>
          <w:color w:val="000000"/>
          <w:sz w:val="20"/>
          <w:szCs w:val="20"/>
          <w:lang w:eastAsia="es-CO"/>
        </w:rPr>
        <w:t> En la audiencia inicial, el litigio se concretó en el estudio de legalidad del aparte resaltado.</w:t>
      </w:r>
    </w:p>
    <w:p w14:paraId="1443F28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0" w:name="_ftn3"/>
    <w:p w14:paraId="0DBC2E9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"_ftnref3"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[3]</w:t>
      </w:r>
      <w:r w:rsidRPr="00035F52">
        <w:rPr>
          <w:rFonts w:ascii="Arial" w:eastAsia="Times New Roman" w:hAnsi="Arial" w:cs="Arial"/>
          <w:color w:val="000000"/>
          <w:sz w:val="18"/>
          <w:szCs w:val="18"/>
          <w:lang w:eastAsia="es-CO"/>
        </w:rPr>
        <w:fldChar w:fldCharType="end"/>
      </w:r>
      <w:bookmarkEnd w:id="20"/>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31 a 43</w:t>
      </w:r>
    </w:p>
    <w:p w14:paraId="0755036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1" w:name="_ftn4"/>
    <w:p w14:paraId="637002AB"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"_ftnref4"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[4]</w:t>
      </w:r>
      <w:r w:rsidRPr="00035F52">
        <w:rPr>
          <w:rFonts w:ascii="Arial" w:eastAsia="Times New Roman" w:hAnsi="Arial" w:cs="Arial"/>
          <w:color w:val="000000"/>
          <w:sz w:val="18"/>
          <w:szCs w:val="18"/>
          <w:lang w:eastAsia="es-CO"/>
        </w:rPr>
        <w:fldChar w:fldCharType="end"/>
      </w:r>
      <w:bookmarkEnd w:id="21"/>
      <w:r w:rsidRPr="00035F52">
        <w:rPr>
          <w:rFonts w:ascii="Segoe UI" w:eastAsia="Times New Roman" w:hAnsi="Segoe UI" w:cs="Segoe UI"/>
          <w:color w:val="000000"/>
          <w:sz w:val="20"/>
          <w:szCs w:val="20"/>
          <w:lang w:eastAsia="es-CO"/>
        </w:rPr>
        <w:t> Sentencias citadas en folios 37 a 38</w:t>
      </w:r>
    </w:p>
    <w:p w14:paraId="5B23572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2" w:name="_ftn5"/>
    <w:p w14:paraId="75D43941" w14:textId="77777777" w:rsidR="00035F52" w:rsidRPr="003A3B46" w:rsidRDefault="00035F52" w:rsidP="00035F52">
      <w:pPr>
        <w:spacing w:after="0" w:line="240" w:lineRule="auto"/>
        <w:jc w:val="both"/>
        <w:rPr>
          <w:rFonts w:ascii="Arial" w:eastAsia="Times New Roman" w:hAnsi="Arial" w:cs="Arial"/>
          <w:color w:val="000000"/>
          <w:sz w:val="18"/>
          <w:szCs w:val="18"/>
          <w:lang w:val="en-US" w:eastAsia="es-CO"/>
        </w:rPr>
      </w:pPr>
      <w:r w:rsidRPr="00035F52">
        <w:rPr>
          <w:rFonts w:ascii="Arial" w:eastAsia="Times New Roman" w:hAnsi="Arial" w:cs="Arial"/>
          <w:color w:val="000000"/>
          <w:sz w:val="18"/>
          <w:szCs w:val="18"/>
          <w:lang w:eastAsia="es-CO"/>
        </w:rPr>
        <w:fldChar w:fldCharType="begin"/>
      </w:r>
      <w:r w:rsidRPr="003A3B46">
        <w:rPr>
          <w:rFonts w:ascii="Arial" w:eastAsia="Times New Roman" w:hAnsi="Arial" w:cs="Arial"/>
          <w:color w:val="000000"/>
          <w:sz w:val="18"/>
          <w:szCs w:val="18"/>
          <w:lang w:val="en-US" w:eastAsia="es-CO"/>
        </w:rPr>
        <w:instrText xml:space="preserve"> HYPERLINK "https://www.ceta.org.co/html/vista_de_un_documento.asp?DocumentoID=36281" \l "_ftnref5" \o "" </w:instrText>
      </w:r>
      <w:r w:rsidRPr="00035F52">
        <w:rPr>
          <w:rFonts w:ascii="Arial" w:eastAsia="Times New Roman" w:hAnsi="Arial" w:cs="Arial"/>
          <w:color w:val="000000"/>
          <w:sz w:val="18"/>
          <w:szCs w:val="18"/>
          <w:lang w:eastAsia="es-CO"/>
        </w:rPr>
        <w:fldChar w:fldCharType="separate"/>
      </w:r>
      <w:r w:rsidRPr="003A3B46">
        <w:rPr>
          <w:rFonts w:ascii="Segoe UI" w:eastAsia="Times New Roman" w:hAnsi="Segoe UI" w:cs="Segoe UI"/>
          <w:color w:val="0089E1"/>
          <w:sz w:val="20"/>
          <w:szCs w:val="20"/>
          <w:lang w:val="en-US" w:eastAsia="es-CO"/>
        </w:rPr>
        <w:t>[5]</w:t>
      </w:r>
      <w:r w:rsidRPr="00035F52">
        <w:rPr>
          <w:rFonts w:ascii="Arial" w:eastAsia="Times New Roman" w:hAnsi="Arial" w:cs="Arial"/>
          <w:color w:val="000000"/>
          <w:sz w:val="18"/>
          <w:szCs w:val="18"/>
          <w:lang w:eastAsia="es-CO"/>
        </w:rPr>
        <w:fldChar w:fldCharType="end"/>
      </w:r>
      <w:bookmarkEnd w:id="22"/>
      <w:r w:rsidRPr="003A3B46">
        <w:rPr>
          <w:rFonts w:ascii="Segoe UI" w:eastAsia="Times New Roman" w:hAnsi="Segoe UI" w:cs="Segoe UI"/>
          <w:color w:val="000000"/>
          <w:sz w:val="20"/>
          <w:szCs w:val="20"/>
          <w:lang w:val="en-US" w:eastAsia="es-CO"/>
        </w:rPr>
        <w:t> </w:t>
      </w:r>
      <w:proofErr w:type="spellStart"/>
      <w:r w:rsidRPr="003A3B46">
        <w:rPr>
          <w:rFonts w:ascii="Segoe UI" w:eastAsia="Times New Roman" w:hAnsi="Segoe UI" w:cs="Segoe UI"/>
          <w:color w:val="000000"/>
          <w:sz w:val="20"/>
          <w:szCs w:val="20"/>
          <w:lang w:val="en-US" w:eastAsia="es-CO"/>
        </w:rPr>
        <w:t>Fls</w:t>
      </w:r>
      <w:proofErr w:type="spellEnd"/>
      <w:r w:rsidRPr="003A3B46">
        <w:rPr>
          <w:rFonts w:ascii="Segoe UI" w:eastAsia="Times New Roman" w:hAnsi="Segoe UI" w:cs="Segoe UI"/>
          <w:color w:val="000000"/>
          <w:sz w:val="20"/>
          <w:szCs w:val="20"/>
          <w:lang w:val="en-US" w:eastAsia="es-CO"/>
        </w:rPr>
        <w:t>. 75 a 77</w:t>
      </w:r>
    </w:p>
    <w:p w14:paraId="69A55FA2" w14:textId="77777777" w:rsidR="00035F52" w:rsidRPr="003A3B46" w:rsidRDefault="00035F52" w:rsidP="00035F52">
      <w:pPr>
        <w:spacing w:after="0" w:line="240" w:lineRule="auto"/>
        <w:jc w:val="both"/>
        <w:rPr>
          <w:rFonts w:ascii="Arial" w:eastAsia="Times New Roman" w:hAnsi="Arial" w:cs="Arial"/>
          <w:color w:val="000000"/>
          <w:sz w:val="18"/>
          <w:szCs w:val="18"/>
          <w:lang w:val="en-US" w:eastAsia="es-CO"/>
        </w:rPr>
      </w:pPr>
      <w:r w:rsidRPr="003A3B46">
        <w:rPr>
          <w:rFonts w:ascii="Segoe UI" w:eastAsia="Times New Roman" w:hAnsi="Segoe UI" w:cs="Segoe UI"/>
          <w:color w:val="000000"/>
          <w:sz w:val="20"/>
          <w:szCs w:val="20"/>
          <w:lang w:val="en-US" w:eastAsia="es-CO"/>
        </w:rPr>
        <w:t> </w:t>
      </w:r>
    </w:p>
    <w:bookmarkStart w:id="23" w:name="_ftn6"/>
    <w:p w14:paraId="0852AEC9" w14:textId="77777777" w:rsidR="00035F52" w:rsidRPr="003A3B46" w:rsidRDefault="00035F52" w:rsidP="00035F52">
      <w:pPr>
        <w:spacing w:after="0" w:line="240" w:lineRule="auto"/>
        <w:jc w:val="both"/>
        <w:rPr>
          <w:rFonts w:ascii="Arial" w:eastAsia="Times New Roman" w:hAnsi="Arial" w:cs="Arial"/>
          <w:color w:val="000000"/>
          <w:sz w:val="18"/>
          <w:szCs w:val="18"/>
          <w:lang w:val="en-US" w:eastAsia="es-CO"/>
        </w:rPr>
      </w:pPr>
      <w:r w:rsidRPr="00035F52">
        <w:rPr>
          <w:rFonts w:ascii="Arial" w:eastAsia="Times New Roman" w:hAnsi="Arial" w:cs="Arial"/>
          <w:color w:val="000000"/>
          <w:sz w:val="18"/>
          <w:szCs w:val="18"/>
          <w:lang w:eastAsia="es-CO"/>
        </w:rPr>
        <w:fldChar w:fldCharType="begin"/>
      </w:r>
      <w:r w:rsidRPr="003A3B46">
        <w:rPr>
          <w:rFonts w:ascii="Arial" w:eastAsia="Times New Roman" w:hAnsi="Arial" w:cs="Arial"/>
          <w:color w:val="000000"/>
          <w:sz w:val="18"/>
          <w:szCs w:val="18"/>
          <w:lang w:val="en-US" w:eastAsia="es-CO"/>
        </w:rPr>
        <w:instrText xml:space="preserve"> HYPERLINK "https://www.ceta.org.co/html/vista_de_un_documento.asp?DocumentoID=36281" \l "_ftnref6" \o "" </w:instrText>
      </w:r>
      <w:r w:rsidRPr="00035F52">
        <w:rPr>
          <w:rFonts w:ascii="Arial" w:eastAsia="Times New Roman" w:hAnsi="Arial" w:cs="Arial"/>
          <w:color w:val="000000"/>
          <w:sz w:val="18"/>
          <w:szCs w:val="18"/>
          <w:lang w:eastAsia="es-CO"/>
        </w:rPr>
        <w:fldChar w:fldCharType="separate"/>
      </w:r>
      <w:r w:rsidRPr="003A3B46">
        <w:rPr>
          <w:rFonts w:ascii="Segoe UI" w:eastAsia="Times New Roman" w:hAnsi="Segoe UI" w:cs="Segoe UI"/>
          <w:color w:val="0089E1"/>
          <w:sz w:val="20"/>
          <w:szCs w:val="20"/>
          <w:lang w:val="en-US" w:eastAsia="es-CO"/>
        </w:rPr>
        <w:t>[6]</w:t>
      </w:r>
      <w:r w:rsidRPr="00035F52">
        <w:rPr>
          <w:rFonts w:ascii="Arial" w:eastAsia="Times New Roman" w:hAnsi="Arial" w:cs="Arial"/>
          <w:color w:val="000000"/>
          <w:sz w:val="18"/>
          <w:szCs w:val="18"/>
          <w:lang w:eastAsia="es-CO"/>
        </w:rPr>
        <w:fldChar w:fldCharType="end"/>
      </w:r>
      <w:bookmarkEnd w:id="23"/>
      <w:r w:rsidRPr="003A3B46">
        <w:rPr>
          <w:rFonts w:ascii="Segoe UI" w:eastAsia="Times New Roman" w:hAnsi="Segoe UI" w:cs="Segoe UI"/>
          <w:color w:val="000000"/>
          <w:sz w:val="20"/>
          <w:szCs w:val="20"/>
          <w:lang w:val="en-US" w:eastAsia="es-CO"/>
        </w:rPr>
        <w:t> </w:t>
      </w:r>
      <w:proofErr w:type="spellStart"/>
      <w:r w:rsidRPr="003A3B46">
        <w:rPr>
          <w:rFonts w:ascii="Segoe UI" w:eastAsia="Times New Roman" w:hAnsi="Segoe UI" w:cs="Segoe UI"/>
          <w:color w:val="000000"/>
          <w:sz w:val="20"/>
          <w:szCs w:val="20"/>
          <w:lang w:val="en-US" w:eastAsia="es-CO"/>
        </w:rPr>
        <w:t>Fls</w:t>
      </w:r>
      <w:proofErr w:type="spellEnd"/>
      <w:r w:rsidRPr="003A3B46">
        <w:rPr>
          <w:rFonts w:ascii="Segoe UI" w:eastAsia="Times New Roman" w:hAnsi="Segoe UI" w:cs="Segoe UI"/>
          <w:color w:val="000000"/>
          <w:sz w:val="20"/>
          <w:szCs w:val="20"/>
          <w:lang w:val="en-US" w:eastAsia="es-CO"/>
        </w:rPr>
        <w:t>. 81 a 93</w:t>
      </w:r>
    </w:p>
    <w:p w14:paraId="6707FBD5" w14:textId="77777777" w:rsidR="00035F52" w:rsidRPr="003A3B46" w:rsidRDefault="00035F52" w:rsidP="00035F52">
      <w:pPr>
        <w:spacing w:after="0" w:line="240" w:lineRule="auto"/>
        <w:jc w:val="both"/>
        <w:rPr>
          <w:rFonts w:ascii="Arial" w:eastAsia="Times New Roman" w:hAnsi="Arial" w:cs="Arial"/>
          <w:color w:val="000000"/>
          <w:sz w:val="18"/>
          <w:szCs w:val="18"/>
          <w:lang w:val="en-US" w:eastAsia="es-CO"/>
        </w:rPr>
      </w:pPr>
      <w:r w:rsidRPr="003A3B46">
        <w:rPr>
          <w:rFonts w:ascii="Segoe UI" w:eastAsia="Times New Roman" w:hAnsi="Segoe UI" w:cs="Segoe UI"/>
          <w:color w:val="000000"/>
          <w:sz w:val="20"/>
          <w:szCs w:val="20"/>
          <w:lang w:val="en-US" w:eastAsia="es-CO"/>
        </w:rPr>
        <w:t> </w:t>
      </w:r>
    </w:p>
    <w:bookmarkStart w:id="24" w:name="_ftn7"/>
    <w:p w14:paraId="3854F7AA" w14:textId="77777777" w:rsidR="00035F52" w:rsidRPr="003A3B46" w:rsidRDefault="00035F52" w:rsidP="00035F52">
      <w:pPr>
        <w:spacing w:after="0" w:line="240" w:lineRule="auto"/>
        <w:jc w:val="both"/>
        <w:rPr>
          <w:rFonts w:ascii="Arial" w:eastAsia="Times New Roman" w:hAnsi="Arial" w:cs="Arial"/>
          <w:color w:val="000000"/>
          <w:sz w:val="18"/>
          <w:szCs w:val="18"/>
          <w:lang w:val="en-US" w:eastAsia="es-CO"/>
        </w:rPr>
      </w:pPr>
      <w:r w:rsidRPr="00035F52">
        <w:rPr>
          <w:rFonts w:ascii="Arial" w:eastAsia="Times New Roman" w:hAnsi="Arial" w:cs="Arial"/>
          <w:color w:val="000000"/>
          <w:sz w:val="18"/>
          <w:szCs w:val="18"/>
          <w:lang w:eastAsia="es-CO"/>
        </w:rPr>
        <w:fldChar w:fldCharType="begin"/>
      </w:r>
      <w:r w:rsidRPr="003A3B46">
        <w:rPr>
          <w:rFonts w:ascii="Arial" w:eastAsia="Times New Roman" w:hAnsi="Arial" w:cs="Arial"/>
          <w:color w:val="000000"/>
          <w:sz w:val="18"/>
          <w:szCs w:val="18"/>
          <w:lang w:val="en-US" w:eastAsia="es-CO"/>
        </w:rPr>
        <w:instrText xml:space="preserve"> HYPERLINK "https://www.ceta.org.co/html/vista_de_un_documento.asp?DocumentoID=36281" \l "_ftnref7" \o "" </w:instrText>
      </w:r>
      <w:r w:rsidRPr="00035F52">
        <w:rPr>
          <w:rFonts w:ascii="Arial" w:eastAsia="Times New Roman" w:hAnsi="Arial" w:cs="Arial"/>
          <w:color w:val="000000"/>
          <w:sz w:val="18"/>
          <w:szCs w:val="18"/>
          <w:lang w:eastAsia="es-CO"/>
        </w:rPr>
        <w:fldChar w:fldCharType="separate"/>
      </w:r>
      <w:r w:rsidRPr="003A3B46">
        <w:rPr>
          <w:rFonts w:ascii="Segoe UI" w:eastAsia="Times New Roman" w:hAnsi="Segoe UI" w:cs="Segoe UI"/>
          <w:color w:val="0089E1"/>
          <w:sz w:val="20"/>
          <w:szCs w:val="20"/>
          <w:lang w:val="en-US" w:eastAsia="es-CO"/>
        </w:rPr>
        <w:t>[7]</w:t>
      </w:r>
      <w:r w:rsidRPr="00035F52">
        <w:rPr>
          <w:rFonts w:ascii="Arial" w:eastAsia="Times New Roman" w:hAnsi="Arial" w:cs="Arial"/>
          <w:color w:val="000000"/>
          <w:sz w:val="18"/>
          <w:szCs w:val="18"/>
          <w:lang w:eastAsia="es-CO"/>
        </w:rPr>
        <w:fldChar w:fldCharType="end"/>
      </w:r>
      <w:bookmarkEnd w:id="24"/>
      <w:r w:rsidRPr="003A3B46">
        <w:rPr>
          <w:rFonts w:ascii="Segoe UI" w:eastAsia="Times New Roman" w:hAnsi="Segoe UI" w:cs="Segoe UI"/>
          <w:color w:val="000000"/>
          <w:sz w:val="20"/>
          <w:szCs w:val="20"/>
          <w:lang w:val="en-US" w:eastAsia="es-CO"/>
        </w:rPr>
        <w:t> </w:t>
      </w:r>
      <w:proofErr w:type="spellStart"/>
      <w:r w:rsidRPr="003A3B46">
        <w:rPr>
          <w:rFonts w:ascii="Segoe UI" w:eastAsia="Times New Roman" w:hAnsi="Segoe UI" w:cs="Segoe UI"/>
          <w:color w:val="000000"/>
          <w:sz w:val="20"/>
          <w:szCs w:val="20"/>
          <w:lang w:val="en-US" w:eastAsia="es-CO"/>
        </w:rPr>
        <w:t>Fls</w:t>
      </w:r>
      <w:proofErr w:type="spellEnd"/>
      <w:r w:rsidRPr="003A3B46">
        <w:rPr>
          <w:rFonts w:ascii="Segoe UI" w:eastAsia="Times New Roman" w:hAnsi="Segoe UI" w:cs="Segoe UI"/>
          <w:color w:val="000000"/>
          <w:sz w:val="20"/>
          <w:szCs w:val="20"/>
          <w:lang w:val="en-US" w:eastAsia="es-CO"/>
        </w:rPr>
        <w:t>. 97 a 102</w:t>
      </w:r>
    </w:p>
    <w:p w14:paraId="2EAE1411" w14:textId="77777777" w:rsidR="00035F52" w:rsidRPr="003A3B46" w:rsidRDefault="00035F52" w:rsidP="00035F52">
      <w:pPr>
        <w:spacing w:after="0" w:line="240" w:lineRule="auto"/>
        <w:jc w:val="both"/>
        <w:rPr>
          <w:rFonts w:ascii="Arial" w:eastAsia="Times New Roman" w:hAnsi="Arial" w:cs="Arial"/>
          <w:color w:val="000000"/>
          <w:sz w:val="18"/>
          <w:szCs w:val="18"/>
          <w:lang w:val="en-US" w:eastAsia="es-CO"/>
        </w:rPr>
      </w:pPr>
      <w:r w:rsidRPr="003A3B46">
        <w:rPr>
          <w:rFonts w:ascii="Segoe UI" w:eastAsia="Times New Roman" w:hAnsi="Segoe UI" w:cs="Segoe UI"/>
          <w:color w:val="000000"/>
          <w:sz w:val="20"/>
          <w:szCs w:val="20"/>
          <w:lang w:val="en-US" w:eastAsia="es-CO"/>
        </w:rPr>
        <w:t> </w:t>
      </w:r>
    </w:p>
    <w:bookmarkStart w:id="25" w:name="_ftn8"/>
    <w:p w14:paraId="6744ABD0"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lastRenderedPageBreak/>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"_ftnref8"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[8]</w:t>
      </w:r>
      <w:r w:rsidRPr="00035F52">
        <w:rPr>
          <w:rFonts w:ascii="Arial" w:eastAsia="Times New Roman" w:hAnsi="Arial" w:cs="Arial"/>
          <w:color w:val="000000"/>
          <w:sz w:val="18"/>
          <w:szCs w:val="18"/>
          <w:lang w:eastAsia="es-CO"/>
        </w:rPr>
        <w:fldChar w:fldCharType="end"/>
      </w:r>
      <w:bookmarkEnd w:id="25"/>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81 a 83</w:t>
      </w:r>
    </w:p>
    <w:p w14:paraId="50802A05"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6" w:name="_ftn9"/>
    <w:p w14:paraId="5FD8EB6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"_ftnref9"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[9]</w:t>
      </w:r>
      <w:r w:rsidRPr="00035F52">
        <w:rPr>
          <w:rFonts w:ascii="Arial" w:eastAsia="Times New Roman" w:hAnsi="Arial" w:cs="Arial"/>
          <w:color w:val="000000"/>
          <w:sz w:val="18"/>
          <w:szCs w:val="18"/>
          <w:lang w:eastAsia="es-CO"/>
        </w:rPr>
        <w:fldChar w:fldCharType="end"/>
      </w:r>
      <w:bookmarkEnd w:id="26"/>
      <w:r w:rsidRPr="00035F52">
        <w:rPr>
          <w:rFonts w:ascii="Segoe UI" w:eastAsia="Times New Roman" w:hAnsi="Segoe UI" w:cs="Segoe UI"/>
          <w:color w:val="000000"/>
          <w:sz w:val="20"/>
          <w:szCs w:val="20"/>
          <w:lang w:eastAsia="es-CO"/>
        </w:rPr>
        <w:t> Acorde con el mismo, la ley y, en especiales casos, las ordenanzas departamentales y los acuerdos municipales</w:t>
      </w:r>
      <w:r w:rsidRPr="00035F52">
        <w:rPr>
          <w:rFonts w:ascii="Segoe UI" w:eastAsia="Times New Roman" w:hAnsi="Segoe UI" w:cs="Segoe UI"/>
          <w:color w:val="000000"/>
          <w:sz w:val="20"/>
          <w:szCs w:val="20"/>
          <w:bdr w:val="none" w:sz="0" w:space="0" w:color="auto" w:frame="1"/>
          <w:lang w:eastAsia="es-CO"/>
        </w:rPr>
        <w:t>, deben determinar los elementos de los tributos conforme al aforismo </w:t>
      </w:r>
      <w:r w:rsidRPr="00035F52">
        <w:rPr>
          <w:rFonts w:ascii="Segoe UI" w:eastAsia="Times New Roman" w:hAnsi="Segoe UI" w:cs="Segoe UI"/>
          <w:i/>
          <w:iCs/>
          <w:color w:val="000000"/>
          <w:sz w:val="20"/>
          <w:szCs w:val="20"/>
          <w:bdr w:val="none" w:sz="0" w:space="0" w:color="auto" w:frame="1"/>
          <w:lang w:eastAsia="es-CO"/>
        </w:rPr>
        <w:t>“</w:t>
      </w:r>
      <w:proofErr w:type="spellStart"/>
      <w:r w:rsidRPr="00035F52">
        <w:rPr>
          <w:rFonts w:ascii="Segoe UI" w:eastAsia="Times New Roman" w:hAnsi="Segoe UI" w:cs="Segoe UI"/>
          <w:i/>
          <w:iCs/>
          <w:color w:val="000000"/>
          <w:sz w:val="20"/>
          <w:szCs w:val="20"/>
          <w:bdr w:val="none" w:sz="0" w:space="0" w:color="auto" w:frame="1"/>
          <w:lang w:eastAsia="es-CO"/>
        </w:rPr>
        <w:t>nullum</w:t>
      </w:r>
      <w:proofErr w:type="spellEnd"/>
      <w:r w:rsidRPr="00035F52">
        <w:rPr>
          <w:rFonts w:ascii="Segoe UI" w:eastAsia="Times New Roman" w:hAnsi="Segoe UI" w:cs="Segoe UI"/>
          <w:i/>
          <w:iCs/>
          <w:color w:val="000000"/>
          <w:sz w:val="20"/>
          <w:szCs w:val="20"/>
          <w:bdr w:val="none" w:sz="0" w:space="0" w:color="auto" w:frame="1"/>
          <w:lang w:eastAsia="es-CO"/>
        </w:rPr>
        <w:t xml:space="preserve"> </w:t>
      </w:r>
      <w:proofErr w:type="spellStart"/>
      <w:r w:rsidRPr="00035F52">
        <w:rPr>
          <w:rFonts w:ascii="Segoe UI" w:eastAsia="Times New Roman" w:hAnsi="Segoe UI" w:cs="Segoe UI"/>
          <w:i/>
          <w:iCs/>
          <w:color w:val="000000"/>
          <w:sz w:val="20"/>
          <w:szCs w:val="20"/>
          <w:bdr w:val="none" w:sz="0" w:space="0" w:color="auto" w:frame="1"/>
          <w:lang w:eastAsia="es-CO"/>
        </w:rPr>
        <w:t>tributum</w:t>
      </w:r>
      <w:proofErr w:type="spellEnd"/>
      <w:r w:rsidRPr="00035F52">
        <w:rPr>
          <w:rFonts w:ascii="Segoe UI" w:eastAsia="Times New Roman" w:hAnsi="Segoe UI" w:cs="Segoe UI"/>
          <w:i/>
          <w:iCs/>
          <w:color w:val="000000"/>
          <w:sz w:val="20"/>
          <w:szCs w:val="20"/>
          <w:bdr w:val="none" w:sz="0" w:space="0" w:color="auto" w:frame="1"/>
          <w:lang w:eastAsia="es-CO"/>
        </w:rPr>
        <w:t xml:space="preserve"> sine lege”</w:t>
      </w:r>
      <w:r w:rsidRPr="00035F52">
        <w:rPr>
          <w:rFonts w:ascii="Segoe UI" w:eastAsia="Times New Roman" w:hAnsi="Segoe UI" w:cs="Segoe UI"/>
          <w:color w:val="000000"/>
          <w:sz w:val="20"/>
          <w:szCs w:val="20"/>
          <w:bdr w:val="none" w:sz="0" w:space="0" w:color="auto" w:frame="1"/>
          <w:lang w:eastAsia="es-CO"/>
        </w:rPr>
        <w:t> que, a su vez, corresponde con la máxima según la cual </w:t>
      </w:r>
      <w:r w:rsidRPr="00035F52">
        <w:rPr>
          <w:rFonts w:ascii="Segoe UI" w:eastAsia="Times New Roman" w:hAnsi="Segoe UI" w:cs="Segoe UI"/>
          <w:i/>
          <w:iCs/>
          <w:color w:val="000000"/>
          <w:sz w:val="20"/>
          <w:szCs w:val="20"/>
          <w:bdr w:val="none" w:sz="0" w:space="0" w:color="auto" w:frame="1"/>
          <w:lang w:eastAsia="es-CO"/>
        </w:rPr>
        <w:t>no hay tributo sin representación</w:t>
      </w:r>
      <w:r w:rsidRPr="00035F52">
        <w:rPr>
          <w:rFonts w:ascii="Segoe UI" w:eastAsia="Times New Roman" w:hAnsi="Segoe UI" w:cs="Segoe UI"/>
          <w:color w:val="000000"/>
          <w:sz w:val="20"/>
          <w:szCs w:val="20"/>
          <w:bdr w:val="none" w:sz="0" w:space="0" w:color="auto" w:frame="1"/>
          <w:lang w:eastAsia="es-CO"/>
        </w:rPr>
        <w:t>, como expresión de los </w:t>
      </w:r>
      <w:r w:rsidRPr="00035F52">
        <w:rPr>
          <w:rFonts w:ascii="Segoe UI" w:eastAsia="Times New Roman" w:hAnsi="Segoe UI" w:cs="Segoe UI"/>
          <w:color w:val="000000"/>
          <w:sz w:val="20"/>
          <w:szCs w:val="20"/>
          <w:lang w:eastAsia="es-CO"/>
        </w:rPr>
        <w:t>Estados organizados en forma de repúblicas democráticas, participativas y pluralistas, que encuentran en el órgano de representación popular una fuente legítima de poder que evita </w:t>
      </w:r>
      <w:r w:rsidRPr="00035F52">
        <w:rPr>
          <w:rFonts w:ascii="Segoe UI" w:eastAsia="Times New Roman" w:hAnsi="Segoe UI" w:cs="Segoe UI"/>
          <w:color w:val="000000"/>
          <w:sz w:val="20"/>
          <w:szCs w:val="20"/>
          <w:bdr w:val="none" w:sz="0" w:space="0" w:color="auto" w:frame="1"/>
          <w:lang w:eastAsia="es-CO"/>
        </w:rPr>
        <w:t>abusos impositivos por parte de las autoridades administrativas.</w:t>
      </w:r>
    </w:p>
    <w:p w14:paraId="1FCB328C"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7" w:name="_ftn10"/>
    <w:p w14:paraId="515EE8D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"_ftnref10"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[10]</w:t>
      </w:r>
      <w:r w:rsidRPr="00035F52">
        <w:rPr>
          <w:rFonts w:ascii="Arial" w:eastAsia="Times New Roman" w:hAnsi="Arial" w:cs="Arial"/>
          <w:color w:val="000000"/>
          <w:sz w:val="18"/>
          <w:szCs w:val="18"/>
          <w:lang w:eastAsia="es-CO"/>
        </w:rPr>
        <w:fldChar w:fldCharType="end"/>
      </w:r>
      <w:bookmarkEnd w:id="27"/>
      <w:r w:rsidRPr="00035F52">
        <w:rPr>
          <w:rFonts w:ascii="Segoe UI" w:eastAsia="Times New Roman" w:hAnsi="Segoe UI" w:cs="Segoe UI"/>
          <w:color w:val="000000"/>
          <w:sz w:val="20"/>
          <w:szCs w:val="20"/>
          <w:lang w:eastAsia="es-CO"/>
        </w:rPr>
        <w:t> M. P. Dr. Jorge Arango Mejía</w:t>
      </w:r>
    </w:p>
    <w:p w14:paraId="41169076"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8" w:name="_ftn11"/>
    <w:p w14:paraId="19B0E65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"_ftnref11"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[11]</w:t>
      </w:r>
      <w:r w:rsidRPr="00035F52">
        <w:rPr>
          <w:rFonts w:ascii="Arial" w:eastAsia="Times New Roman" w:hAnsi="Arial" w:cs="Arial"/>
          <w:color w:val="000000"/>
          <w:sz w:val="18"/>
          <w:szCs w:val="18"/>
          <w:lang w:eastAsia="es-CO"/>
        </w:rPr>
        <w:fldChar w:fldCharType="end"/>
      </w:r>
      <w:bookmarkEnd w:id="28"/>
      <w:r w:rsidRPr="00035F52">
        <w:rPr>
          <w:rFonts w:ascii="Segoe UI" w:eastAsia="Times New Roman" w:hAnsi="Segoe UI" w:cs="Segoe UI"/>
          <w:color w:val="000000"/>
          <w:sz w:val="20"/>
          <w:szCs w:val="20"/>
          <w:lang w:eastAsia="es-CO"/>
        </w:rPr>
        <w:t> M. P. Dr. Juan Carlos Henao Pérez</w:t>
      </w:r>
    </w:p>
    <w:p w14:paraId="328191E4"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9" w:name="_ftn12"/>
    <w:p w14:paraId="2FC69C1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"_ftnref12"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[12]</w:t>
      </w:r>
      <w:r w:rsidRPr="00035F52">
        <w:rPr>
          <w:rFonts w:ascii="Arial" w:eastAsia="Times New Roman" w:hAnsi="Arial" w:cs="Arial"/>
          <w:color w:val="000000"/>
          <w:sz w:val="18"/>
          <w:szCs w:val="18"/>
          <w:lang w:eastAsia="es-CO"/>
        </w:rPr>
        <w:fldChar w:fldCharType="end"/>
      </w:r>
      <w:bookmarkEnd w:id="29"/>
      <w:r w:rsidRPr="00035F52">
        <w:rPr>
          <w:rFonts w:ascii="Segoe UI" w:eastAsia="Times New Roman" w:hAnsi="Segoe UI" w:cs="Segoe UI"/>
          <w:color w:val="000000"/>
          <w:sz w:val="20"/>
          <w:szCs w:val="20"/>
          <w:lang w:eastAsia="es-CO"/>
        </w:rPr>
        <w:t> En el artículo “Prohibición constitucional de retroactividad tributaria. Los problemas en los impuestos de período y de los hechos constitutivos de exenciones”, de la autoría de Lucy Cruz de Quiñones, publicado en ASOREY, Rubén, BILLARDI, Cristian, CASAS, José Osvaldo, TORREALBA, Adrián, PLAZAS VEGA, Mauricio, </w:t>
      </w:r>
      <w:r w:rsidRPr="00035F52">
        <w:rPr>
          <w:rFonts w:ascii="Segoe UI" w:eastAsia="Times New Roman" w:hAnsi="Segoe UI" w:cs="Segoe UI"/>
          <w:i/>
          <w:iCs/>
          <w:color w:val="000000"/>
          <w:sz w:val="20"/>
          <w:szCs w:val="20"/>
          <w:lang w:eastAsia="es-CO"/>
        </w:rPr>
        <w:t xml:space="preserve">Derecho Tributario: Reflexiones, Estudios en homenaje a Víctor </w:t>
      </w:r>
      <w:proofErr w:type="spellStart"/>
      <w:r w:rsidRPr="00035F52">
        <w:rPr>
          <w:rFonts w:ascii="Segoe UI" w:eastAsia="Times New Roman" w:hAnsi="Segoe UI" w:cs="Segoe UI"/>
          <w:i/>
          <w:iCs/>
          <w:color w:val="000000"/>
          <w:sz w:val="20"/>
          <w:szCs w:val="20"/>
          <w:lang w:eastAsia="es-CO"/>
        </w:rPr>
        <w:t>Uckmar</w:t>
      </w:r>
      <w:proofErr w:type="spellEnd"/>
      <w:r w:rsidRPr="00035F52">
        <w:rPr>
          <w:rFonts w:ascii="Segoe UI" w:eastAsia="Times New Roman" w:hAnsi="Segoe UI" w:cs="Segoe UI"/>
          <w:color w:val="000000"/>
          <w:sz w:val="20"/>
          <w:szCs w:val="20"/>
          <w:lang w:eastAsia="es-CO"/>
        </w:rPr>
        <w:t>, editado por el Instituto Colombiano de Derecho Tributario y el Instituto Colombiano de Derecho Aduanero, primera edición, 2018, p. 199-213, se comenta que algunos países asimilan la retrospectividad, en la que se evocan hechos parcialmente realizados en el pasado, pero sin entidad suficiente para merecer una calificación jurídica propia, a la retroactividad impropia, como forma débil de retroactividad tipificada en la vinculación hacia el pasado de los efectos presentes y futuros que versen sobre circunstancias fácticas anteriores a la nueva ley o, en otros términos, como modalidad de retroactividad en grado mínimo, es decir, cuando la nueva ley se aplica a los efectos futuros de la relación jurídica nacida al amparo de la legislación antigua, concentrándose en los que se producen después de entrar en vigencia la nueva norma.</w:t>
      </w:r>
    </w:p>
    <w:p w14:paraId="715EE40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0" w:name="_ftn13"/>
    <w:p w14:paraId="605F2A9F"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"_ftnref13"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[13]</w:t>
      </w:r>
      <w:r w:rsidRPr="00035F52">
        <w:rPr>
          <w:rFonts w:ascii="Arial" w:eastAsia="Times New Roman" w:hAnsi="Arial" w:cs="Arial"/>
          <w:color w:val="000000"/>
          <w:sz w:val="18"/>
          <w:szCs w:val="18"/>
          <w:lang w:eastAsia="es-CO"/>
        </w:rPr>
        <w:fldChar w:fldCharType="end"/>
      </w:r>
      <w:bookmarkEnd w:id="30"/>
      <w:r w:rsidRPr="00035F52">
        <w:rPr>
          <w:rFonts w:ascii="Segoe UI" w:eastAsia="Times New Roman" w:hAnsi="Segoe UI" w:cs="Segoe UI"/>
          <w:color w:val="000000"/>
          <w:sz w:val="20"/>
          <w:szCs w:val="20"/>
          <w:lang w:eastAsia="es-CO"/>
        </w:rPr>
        <w:t> C. P. Dra. Carmen Teresa Ortiz de Rodríguez.</w:t>
      </w:r>
    </w:p>
    <w:p w14:paraId="3DF3119E"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1" w:name="_ftn14"/>
    <w:p w14:paraId="30F7BDE8"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"_ftnref14"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[14]</w:t>
      </w:r>
      <w:r w:rsidRPr="00035F52">
        <w:rPr>
          <w:rFonts w:ascii="Arial" w:eastAsia="Times New Roman" w:hAnsi="Arial" w:cs="Arial"/>
          <w:color w:val="000000"/>
          <w:sz w:val="18"/>
          <w:szCs w:val="18"/>
          <w:lang w:eastAsia="es-CO"/>
        </w:rPr>
        <w:fldChar w:fldCharType="end"/>
      </w:r>
      <w:bookmarkEnd w:id="31"/>
      <w:r w:rsidRPr="00035F52">
        <w:rPr>
          <w:rFonts w:ascii="Segoe UI" w:eastAsia="Times New Roman" w:hAnsi="Segoe UI" w:cs="Segoe UI"/>
          <w:color w:val="000000"/>
          <w:sz w:val="20"/>
          <w:szCs w:val="20"/>
          <w:lang w:eastAsia="es-CO"/>
        </w:rPr>
        <w:t> </w:t>
      </w:r>
      <w:r w:rsidRPr="00035F52">
        <w:rPr>
          <w:rFonts w:ascii="Segoe UI" w:eastAsia="Times New Roman" w:hAnsi="Segoe UI" w:cs="Segoe UI"/>
          <w:b/>
          <w:bCs/>
          <w:color w:val="000000"/>
          <w:sz w:val="20"/>
          <w:szCs w:val="20"/>
          <w:lang w:eastAsia="es-CO"/>
        </w:rPr>
        <w:t>Art. 150.</w:t>
      </w:r>
      <w:r w:rsidRPr="00035F52">
        <w:rPr>
          <w:rFonts w:ascii="Segoe UI" w:eastAsia="Times New Roman" w:hAnsi="Segoe UI" w:cs="Segoe UI"/>
          <w:color w:val="000000"/>
          <w:sz w:val="20"/>
          <w:szCs w:val="20"/>
          <w:lang w:eastAsia="es-CO"/>
        </w:rPr>
        <w:t> Corresponde al Congreso hacer las leyes. Por medio de ellas ejerce las siguientes funciones:</w:t>
      </w:r>
    </w:p>
    <w:p w14:paraId="2B3D2927"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p w14:paraId="646075A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12. Establecer contribuciones fiscales y, excepcionalmente, contribuciones parafiscales en los casos y bajo las condiciones que establezca la ley.</w:t>
      </w:r>
    </w:p>
    <w:p w14:paraId="638ED2F2"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20"/>
          <w:szCs w:val="20"/>
          <w:lang w:eastAsia="es-CO"/>
        </w:rPr>
        <w:t> </w:t>
      </w:r>
    </w:p>
    <w:p w14:paraId="793F861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20"/>
          <w:szCs w:val="20"/>
          <w:lang w:eastAsia="es-CO"/>
        </w:rPr>
        <w:t>Art. 11 CC. </w:t>
      </w:r>
      <w:r w:rsidRPr="00035F52">
        <w:rPr>
          <w:rFonts w:ascii="Segoe UI" w:eastAsia="Times New Roman" w:hAnsi="Segoe UI" w:cs="Segoe UI"/>
          <w:color w:val="000000"/>
          <w:sz w:val="20"/>
          <w:szCs w:val="20"/>
          <w:lang w:eastAsia="es-CO"/>
        </w:rPr>
        <w:t>“Obligatoriedad de la ley - momento desde el cual surte efectos. </w:t>
      </w:r>
      <w:r w:rsidRPr="00035F52">
        <w:rPr>
          <w:rFonts w:ascii="Segoe UI" w:eastAsia="Times New Roman" w:hAnsi="Segoe UI" w:cs="Segoe UI"/>
          <w:b/>
          <w:bCs/>
          <w:color w:val="000000"/>
          <w:sz w:val="20"/>
          <w:szCs w:val="20"/>
          <w:lang w:eastAsia="es-CO"/>
        </w:rPr>
        <w:t>La ley es obligatoria y surte sus efectos desde el día en que ella misma se designa</w:t>
      </w:r>
      <w:r w:rsidRPr="00035F52">
        <w:rPr>
          <w:rFonts w:ascii="Segoe UI" w:eastAsia="Times New Roman" w:hAnsi="Segoe UI" w:cs="Segoe UI"/>
          <w:color w:val="000000"/>
          <w:sz w:val="20"/>
          <w:szCs w:val="20"/>
          <w:lang w:eastAsia="es-CO"/>
        </w:rPr>
        <w:t>, y en todo caso después de su promulgación.”</w:t>
      </w:r>
    </w:p>
    <w:p w14:paraId="15085469"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2" w:name="_ftn15"/>
    <w:p w14:paraId="7B9B0633"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"_ftnref15"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[15]</w:t>
      </w:r>
      <w:r w:rsidRPr="00035F52">
        <w:rPr>
          <w:rFonts w:ascii="Arial" w:eastAsia="Times New Roman" w:hAnsi="Arial" w:cs="Arial"/>
          <w:color w:val="000000"/>
          <w:sz w:val="18"/>
          <w:szCs w:val="18"/>
          <w:lang w:eastAsia="es-CO"/>
        </w:rPr>
        <w:fldChar w:fldCharType="end"/>
      </w:r>
      <w:bookmarkEnd w:id="32"/>
      <w:r w:rsidRPr="00035F52">
        <w:rPr>
          <w:rFonts w:ascii="Segoe UI" w:eastAsia="Times New Roman" w:hAnsi="Segoe UI" w:cs="Segoe UI"/>
          <w:color w:val="000000"/>
          <w:sz w:val="20"/>
          <w:szCs w:val="20"/>
          <w:lang w:eastAsia="es-CO"/>
        </w:rPr>
        <w:t> </w:t>
      </w:r>
      <w:r w:rsidRPr="00035F52">
        <w:rPr>
          <w:rFonts w:ascii="Segoe UI" w:eastAsia="Times New Roman" w:hAnsi="Segoe UI" w:cs="Segoe UI"/>
          <w:b/>
          <w:bCs/>
          <w:color w:val="000000"/>
          <w:sz w:val="20"/>
          <w:szCs w:val="20"/>
          <w:lang w:eastAsia="es-CO"/>
        </w:rPr>
        <w:t>“Artículo 197. </w:t>
      </w:r>
      <w:r w:rsidRPr="00035F52">
        <w:rPr>
          <w:rFonts w:ascii="Segoe UI" w:eastAsia="Times New Roman" w:hAnsi="Segoe UI" w:cs="Segoe UI"/>
          <w:color w:val="000000"/>
          <w:sz w:val="20"/>
          <w:szCs w:val="20"/>
          <w:lang w:eastAsia="es-CO"/>
        </w:rPr>
        <w:t>Las sanciones a que se refiere el régimen Tributario Nacional se deberán imponer teniendo en cuenta los siguientes principios: (…) </w:t>
      </w:r>
      <w:r w:rsidRPr="00035F52">
        <w:rPr>
          <w:rFonts w:ascii="Segoe UI" w:eastAsia="Times New Roman" w:hAnsi="Segoe UI" w:cs="Segoe UI"/>
          <w:b/>
          <w:bCs/>
          <w:color w:val="000000"/>
          <w:sz w:val="20"/>
          <w:szCs w:val="20"/>
          <w:lang w:eastAsia="es-CO"/>
        </w:rPr>
        <w:t>FAVORABILIDAD.</w:t>
      </w:r>
      <w:r w:rsidRPr="00035F52">
        <w:rPr>
          <w:rFonts w:ascii="Segoe UI" w:eastAsia="Times New Roman" w:hAnsi="Segoe UI" w:cs="Segoe UI"/>
          <w:color w:val="000000"/>
          <w:sz w:val="20"/>
          <w:szCs w:val="20"/>
          <w:lang w:eastAsia="es-CO"/>
        </w:rPr>
        <w:t> En materia sancionatoria la ley permisiva o favorable, aun cuando sea posterior se aplicará de preferencia a la restrictiva o desfavorable. (….)”</w:t>
      </w:r>
    </w:p>
    <w:p w14:paraId="0549CC5D"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3" w:name="_ftn16"/>
    <w:p w14:paraId="7B31CCBF" w14:textId="77777777"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"_ftnref16"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[16]</w:t>
      </w:r>
      <w:r w:rsidRPr="00035F52">
        <w:rPr>
          <w:rFonts w:ascii="Arial" w:eastAsia="Times New Roman" w:hAnsi="Arial" w:cs="Arial"/>
          <w:color w:val="000000"/>
          <w:sz w:val="18"/>
          <w:szCs w:val="18"/>
          <w:lang w:eastAsia="es-CO"/>
        </w:rPr>
        <w:fldChar w:fldCharType="end"/>
      </w:r>
      <w:bookmarkEnd w:id="33"/>
      <w:r w:rsidRPr="00035F52">
        <w:rPr>
          <w:rFonts w:ascii="Segoe UI" w:eastAsia="Times New Roman" w:hAnsi="Segoe UI" w:cs="Segoe UI"/>
          <w:color w:val="000000"/>
          <w:sz w:val="20"/>
          <w:szCs w:val="20"/>
          <w:lang w:eastAsia="es-CO"/>
        </w:rPr>
        <w:t> </w:t>
      </w:r>
      <w:r w:rsidRPr="00035F52">
        <w:rPr>
          <w:rFonts w:ascii="Segoe UI" w:eastAsia="Times New Roman" w:hAnsi="Segoe UI" w:cs="Segoe UI"/>
          <w:b/>
          <w:bCs/>
          <w:color w:val="000000"/>
          <w:sz w:val="20"/>
          <w:szCs w:val="20"/>
          <w:lang w:eastAsia="es-CO"/>
        </w:rPr>
        <w:t>“PARÁGRAFO 5o. </w:t>
      </w:r>
      <w:r w:rsidRPr="00035F52">
        <w:rPr>
          <w:rFonts w:ascii="Segoe UI" w:eastAsia="Times New Roman" w:hAnsi="Segoe UI" w:cs="Segoe UI"/>
          <w:color w:val="000000"/>
          <w:sz w:val="20"/>
          <w:szCs w:val="20"/>
          <w:lang w:eastAsia="es-CO"/>
        </w:rPr>
        <w:t>El principio de favorabilidad aplicará para el régimen sancionatorio tributario, aun cuando la ley permisiva o favorable sea posterior.”</w:t>
      </w:r>
    </w:p>
    <w:p w14:paraId="4088A7BC" w14:textId="77777777" w:rsid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bookmarkEnd w:id="0"/>
    </w:p>
    <w:p w14:paraId="5597A3F3" w14:textId="77777777" w:rsidR="00730617" w:rsidRPr="00035F52" w:rsidRDefault="00035F52" w:rsidP="00035F52">
      <w:pPr>
        <w:spacing w:after="0" w:line="240" w:lineRule="auto"/>
        <w:jc w:val="both"/>
        <w:rPr>
          <w:rFonts w:ascii="Arial" w:eastAsia="Times New Roman" w:hAnsi="Arial" w:cs="Arial"/>
          <w:color w:val="000000"/>
          <w:sz w:val="18"/>
          <w:szCs w:val="18"/>
          <w:lang w:eastAsia="es-CO"/>
        </w:rPr>
      </w:pPr>
      <w:r>
        <w:rPr>
          <w:rFonts w:ascii="Segoe UI" w:hAnsi="Segoe UI" w:cs="Segoe UI"/>
          <w:color w:val="000000"/>
          <w:sz w:val="20"/>
          <w:szCs w:val="20"/>
          <w:shd w:val="clear" w:color="auto" w:fill="FFFFFF"/>
        </w:rPr>
        <w:t>Criterio del resorte del derecho comparado, contemplado en el artículo 10.2.2 de la Ley 58/2003, del 17 de diciembre, General Tributaria, según el cual </w:t>
      </w:r>
      <w:r>
        <w:rPr>
          <w:rFonts w:ascii="Segoe UI" w:hAnsi="Segoe UI" w:cs="Segoe UI"/>
          <w:i/>
          <w:iCs/>
          <w:color w:val="000000"/>
          <w:sz w:val="20"/>
          <w:szCs w:val="20"/>
          <w:shd w:val="clear" w:color="auto" w:fill="FFFFFF"/>
        </w:rPr>
        <w:t>“las normas que regulen el régimen de infracciones y sanciones tributarias y el de los recargos tendrán efectos retroactivos respecto de los actos que no sean firmes cuando su aplicación resulte más favorable para el interesado”</w:t>
      </w:r>
      <w:r>
        <w:rPr>
          <w:rFonts w:ascii="Segoe UI" w:hAnsi="Segoe UI" w:cs="Segoe UI"/>
          <w:color w:val="000000"/>
          <w:sz w:val="20"/>
          <w:szCs w:val="20"/>
          <w:shd w:val="clear" w:color="auto" w:fill="FFFFFF"/>
        </w:rPr>
        <w:t>, con reconocimiento constitucional en el artículo 9.3 de Constitución Española sancionada el 27 de diciembre de 1978, que </w:t>
      </w:r>
      <w:r>
        <w:rPr>
          <w:rFonts w:ascii="Segoe UI" w:hAnsi="Segoe UI" w:cs="Segoe UI"/>
          <w:i/>
          <w:iCs/>
          <w:color w:val="000000"/>
          <w:sz w:val="20"/>
          <w:szCs w:val="20"/>
          <w:shd w:val="clear" w:color="auto" w:fill="FFFFFF"/>
        </w:rPr>
        <w:t>«garantiza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r>
        <w:rPr>
          <w:rFonts w:ascii="Segoe UI" w:hAnsi="Segoe UI" w:cs="Segoe UI"/>
          <w:color w:val="000000"/>
          <w:sz w:val="20"/>
          <w:szCs w:val="20"/>
          <w:shd w:val="clear" w:color="auto" w:fill="FFFFFF"/>
        </w:rPr>
        <w:t>. El Tribunal Constitucional Español distingue la </w:t>
      </w:r>
      <w:r>
        <w:rPr>
          <w:rFonts w:ascii="Segoe UI" w:hAnsi="Segoe UI" w:cs="Segoe UI"/>
          <w:i/>
          <w:iCs/>
          <w:color w:val="000000"/>
          <w:sz w:val="20"/>
          <w:szCs w:val="20"/>
          <w:shd w:val="clear" w:color="auto" w:fill="FFFFFF"/>
        </w:rPr>
        <w:t xml:space="preserve">irretroactividad in bonus, de la irretroactividad in </w:t>
      </w:r>
      <w:proofErr w:type="spellStart"/>
      <w:r>
        <w:rPr>
          <w:rFonts w:ascii="Segoe UI" w:hAnsi="Segoe UI" w:cs="Segoe UI"/>
          <w:i/>
          <w:iCs/>
          <w:color w:val="000000"/>
          <w:sz w:val="20"/>
          <w:szCs w:val="20"/>
          <w:shd w:val="clear" w:color="auto" w:fill="FFFFFF"/>
        </w:rPr>
        <w:t>peius</w:t>
      </w:r>
      <w:proofErr w:type="spellEnd"/>
      <w:r>
        <w:rPr>
          <w:rFonts w:ascii="Segoe UI" w:hAnsi="Segoe UI" w:cs="Segoe UI"/>
          <w:i/>
          <w:iCs/>
          <w:color w:val="000000"/>
          <w:sz w:val="20"/>
          <w:szCs w:val="20"/>
          <w:shd w:val="clear" w:color="auto" w:fill="FFFFFF"/>
        </w:rPr>
        <w:t>, la cual </w:t>
      </w:r>
      <w:r>
        <w:rPr>
          <w:rFonts w:ascii="Segoe UI" w:hAnsi="Segoe UI" w:cs="Segoe UI"/>
          <w:color w:val="000000"/>
          <w:sz w:val="20"/>
          <w:szCs w:val="20"/>
          <w:shd w:val="clear" w:color="auto" w:fill="FFFFFF"/>
        </w:rPr>
        <w:t>impide aplicar, con efectos retroactivos, sanciones o penas que hacen más gravosa la situación particular</w:t>
      </w:r>
    </w:p>
    <w:sectPr w:rsidR="00730617" w:rsidRPr="00035F52"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52"/>
    <w:rsid w:val="00035F52"/>
    <w:rsid w:val="003A3B46"/>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E598"/>
  <w15:chartTrackingRefBased/>
  <w15:docId w15:val="{69945A15-B50C-4CE8-80AF-42051532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0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022864">
      <w:bodyDiv w:val="1"/>
      <w:marLeft w:val="0"/>
      <w:marRight w:val="0"/>
      <w:marTop w:val="0"/>
      <w:marBottom w:val="0"/>
      <w:divBdr>
        <w:top w:val="none" w:sz="0" w:space="0" w:color="auto"/>
        <w:left w:val="none" w:sz="0" w:space="0" w:color="auto"/>
        <w:bottom w:val="none" w:sz="0" w:space="0" w:color="auto"/>
        <w:right w:val="none" w:sz="0" w:space="0" w:color="auto"/>
      </w:divBdr>
      <w:divsChild>
        <w:div w:id="511139911">
          <w:marLeft w:val="0"/>
          <w:marRight w:val="0"/>
          <w:marTop w:val="0"/>
          <w:marBottom w:val="0"/>
          <w:divBdr>
            <w:top w:val="none" w:sz="0" w:space="0" w:color="auto"/>
            <w:left w:val="none" w:sz="0" w:space="0" w:color="auto"/>
            <w:bottom w:val="none" w:sz="0" w:space="0" w:color="auto"/>
            <w:right w:val="none" w:sz="0" w:space="0" w:color="auto"/>
          </w:divBdr>
        </w:div>
        <w:div w:id="411660509">
          <w:marLeft w:val="0"/>
          <w:marRight w:val="0"/>
          <w:marTop w:val="0"/>
          <w:marBottom w:val="0"/>
          <w:divBdr>
            <w:top w:val="none" w:sz="0" w:space="0" w:color="auto"/>
            <w:left w:val="none" w:sz="0" w:space="0" w:color="auto"/>
            <w:bottom w:val="none" w:sz="0" w:space="0" w:color="auto"/>
            <w:right w:val="none" w:sz="0" w:space="0" w:color="auto"/>
          </w:divBdr>
        </w:div>
        <w:div w:id="1914242167">
          <w:marLeft w:val="0"/>
          <w:marRight w:val="0"/>
          <w:marTop w:val="0"/>
          <w:marBottom w:val="0"/>
          <w:divBdr>
            <w:top w:val="none" w:sz="0" w:space="0" w:color="auto"/>
            <w:left w:val="none" w:sz="0" w:space="0" w:color="auto"/>
            <w:bottom w:val="none" w:sz="0" w:space="0" w:color="auto"/>
            <w:right w:val="none" w:sz="0" w:space="0" w:color="auto"/>
          </w:divBdr>
        </w:div>
        <w:div w:id="1158611598">
          <w:marLeft w:val="0"/>
          <w:marRight w:val="0"/>
          <w:marTop w:val="0"/>
          <w:marBottom w:val="0"/>
          <w:divBdr>
            <w:top w:val="none" w:sz="0" w:space="0" w:color="auto"/>
            <w:left w:val="none" w:sz="0" w:space="0" w:color="auto"/>
            <w:bottom w:val="none" w:sz="0" w:space="0" w:color="auto"/>
            <w:right w:val="none" w:sz="0" w:space="0" w:color="auto"/>
          </w:divBdr>
        </w:div>
        <w:div w:id="452215715">
          <w:marLeft w:val="0"/>
          <w:marRight w:val="0"/>
          <w:marTop w:val="0"/>
          <w:marBottom w:val="0"/>
          <w:divBdr>
            <w:top w:val="none" w:sz="0" w:space="0" w:color="auto"/>
            <w:left w:val="none" w:sz="0" w:space="0" w:color="auto"/>
            <w:bottom w:val="none" w:sz="0" w:space="0" w:color="auto"/>
            <w:right w:val="none" w:sz="0" w:space="0" w:color="auto"/>
          </w:divBdr>
        </w:div>
        <w:div w:id="1636640162">
          <w:marLeft w:val="0"/>
          <w:marRight w:val="0"/>
          <w:marTop w:val="0"/>
          <w:marBottom w:val="0"/>
          <w:divBdr>
            <w:top w:val="none" w:sz="0" w:space="0" w:color="auto"/>
            <w:left w:val="none" w:sz="0" w:space="0" w:color="auto"/>
            <w:bottom w:val="none" w:sz="0" w:space="0" w:color="auto"/>
            <w:right w:val="none" w:sz="0" w:space="0" w:color="auto"/>
          </w:divBdr>
        </w:div>
        <w:div w:id="1091507395">
          <w:marLeft w:val="0"/>
          <w:marRight w:val="0"/>
          <w:marTop w:val="0"/>
          <w:marBottom w:val="0"/>
          <w:divBdr>
            <w:top w:val="none" w:sz="0" w:space="0" w:color="auto"/>
            <w:left w:val="none" w:sz="0" w:space="0" w:color="auto"/>
            <w:bottom w:val="none" w:sz="0" w:space="0" w:color="auto"/>
            <w:right w:val="none" w:sz="0" w:space="0" w:color="auto"/>
          </w:divBdr>
        </w:div>
        <w:div w:id="412359114">
          <w:marLeft w:val="0"/>
          <w:marRight w:val="0"/>
          <w:marTop w:val="0"/>
          <w:marBottom w:val="0"/>
          <w:divBdr>
            <w:top w:val="none" w:sz="0" w:space="0" w:color="auto"/>
            <w:left w:val="none" w:sz="0" w:space="0" w:color="auto"/>
            <w:bottom w:val="none" w:sz="0" w:space="0" w:color="auto"/>
            <w:right w:val="none" w:sz="0" w:space="0" w:color="auto"/>
          </w:divBdr>
        </w:div>
        <w:div w:id="1866602775">
          <w:marLeft w:val="0"/>
          <w:marRight w:val="0"/>
          <w:marTop w:val="0"/>
          <w:marBottom w:val="0"/>
          <w:divBdr>
            <w:top w:val="none" w:sz="0" w:space="0" w:color="auto"/>
            <w:left w:val="none" w:sz="0" w:space="0" w:color="auto"/>
            <w:bottom w:val="none" w:sz="0" w:space="0" w:color="auto"/>
            <w:right w:val="none" w:sz="0" w:space="0" w:color="auto"/>
          </w:divBdr>
        </w:div>
        <w:div w:id="634682693">
          <w:marLeft w:val="0"/>
          <w:marRight w:val="0"/>
          <w:marTop w:val="0"/>
          <w:marBottom w:val="0"/>
          <w:divBdr>
            <w:top w:val="none" w:sz="0" w:space="0" w:color="auto"/>
            <w:left w:val="none" w:sz="0" w:space="0" w:color="auto"/>
            <w:bottom w:val="none" w:sz="0" w:space="0" w:color="auto"/>
            <w:right w:val="none" w:sz="0" w:space="0" w:color="auto"/>
          </w:divBdr>
        </w:div>
        <w:div w:id="1626617435">
          <w:marLeft w:val="0"/>
          <w:marRight w:val="0"/>
          <w:marTop w:val="0"/>
          <w:marBottom w:val="0"/>
          <w:divBdr>
            <w:top w:val="none" w:sz="0" w:space="0" w:color="auto"/>
            <w:left w:val="none" w:sz="0" w:space="0" w:color="auto"/>
            <w:bottom w:val="none" w:sz="0" w:space="0" w:color="auto"/>
            <w:right w:val="none" w:sz="0" w:space="0" w:color="auto"/>
          </w:divBdr>
        </w:div>
        <w:div w:id="1742603453">
          <w:marLeft w:val="0"/>
          <w:marRight w:val="0"/>
          <w:marTop w:val="0"/>
          <w:marBottom w:val="0"/>
          <w:divBdr>
            <w:top w:val="none" w:sz="0" w:space="0" w:color="auto"/>
            <w:left w:val="none" w:sz="0" w:space="0" w:color="auto"/>
            <w:bottom w:val="none" w:sz="0" w:space="0" w:color="auto"/>
            <w:right w:val="none" w:sz="0" w:space="0" w:color="auto"/>
          </w:divBdr>
        </w:div>
        <w:div w:id="1079906026">
          <w:marLeft w:val="0"/>
          <w:marRight w:val="0"/>
          <w:marTop w:val="0"/>
          <w:marBottom w:val="0"/>
          <w:divBdr>
            <w:top w:val="none" w:sz="0" w:space="0" w:color="auto"/>
            <w:left w:val="none" w:sz="0" w:space="0" w:color="auto"/>
            <w:bottom w:val="none" w:sz="0" w:space="0" w:color="auto"/>
            <w:right w:val="none" w:sz="0" w:space="0" w:color="auto"/>
          </w:divBdr>
        </w:div>
        <w:div w:id="784544639">
          <w:marLeft w:val="0"/>
          <w:marRight w:val="0"/>
          <w:marTop w:val="0"/>
          <w:marBottom w:val="0"/>
          <w:divBdr>
            <w:top w:val="none" w:sz="0" w:space="0" w:color="auto"/>
            <w:left w:val="none" w:sz="0" w:space="0" w:color="auto"/>
            <w:bottom w:val="none" w:sz="0" w:space="0" w:color="auto"/>
            <w:right w:val="none" w:sz="0" w:space="0" w:color="auto"/>
          </w:divBdr>
        </w:div>
        <w:div w:id="728921359">
          <w:marLeft w:val="0"/>
          <w:marRight w:val="0"/>
          <w:marTop w:val="0"/>
          <w:marBottom w:val="0"/>
          <w:divBdr>
            <w:top w:val="none" w:sz="0" w:space="0" w:color="auto"/>
            <w:left w:val="none" w:sz="0" w:space="0" w:color="auto"/>
            <w:bottom w:val="none" w:sz="0" w:space="0" w:color="auto"/>
            <w:right w:val="none" w:sz="0" w:space="0" w:color="auto"/>
          </w:divBdr>
        </w:div>
        <w:div w:id="2034451065">
          <w:marLeft w:val="0"/>
          <w:marRight w:val="0"/>
          <w:marTop w:val="0"/>
          <w:marBottom w:val="0"/>
          <w:divBdr>
            <w:top w:val="none" w:sz="0" w:space="0" w:color="auto"/>
            <w:left w:val="none" w:sz="0" w:space="0" w:color="auto"/>
            <w:bottom w:val="none" w:sz="0" w:space="0" w:color="auto"/>
            <w:right w:val="none" w:sz="0" w:space="0" w:color="auto"/>
          </w:divBdr>
        </w:div>
      </w:divsChild>
    </w:div>
    <w:div w:id="1768843771">
      <w:bodyDiv w:val="1"/>
      <w:marLeft w:val="0"/>
      <w:marRight w:val="0"/>
      <w:marTop w:val="0"/>
      <w:marBottom w:val="0"/>
      <w:divBdr>
        <w:top w:val="none" w:sz="0" w:space="0" w:color="auto"/>
        <w:left w:val="none" w:sz="0" w:space="0" w:color="auto"/>
        <w:bottom w:val="none" w:sz="0" w:space="0" w:color="auto"/>
        <w:right w:val="none" w:sz="0" w:space="0" w:color="auto"/>
      </w:divBdr>
      <w:divsChild>
        <w:div w:id="930507855">
          <w:marLeft w:val="0"/>
          <w:marRight w:val="0"/>
          <w:marTop w:val="0"/>
          <w:marBottom w:val="0"/>
          <w:divBdr>
            <w:top w:val="none" w:sz="0" w:space="0" w:color="auto"/>
            <w:left w:val="none" w:sz="0" w:space="0" w:color="auto"/>
            <w:bottom w:val="none" w:sz="0" w:space="0" w:color="auto"/>
            <w:right w:val="none" w:sz="0" w:space="0" w:color="auto"/>
          </w:divBdr>
          <w:divsChild>
            <w:div w:id="265696934">
              <w:marLeft w:val="0"/>
              <w:marRight w:val="0"/>
              <w:marTop w:val="0"/>
              <w:marBottom w:val="0"/>
              <w:divBdr>
                <w:top w:val="none" w:sz="0" w:space="0" w:color="auto"/>
                <w:left w:val="none" w:sz="0" w:space="0" w:color="auto"/>
                <w:bottom w:val="none" w:sz="0" w:space="0" w:color="auto"/>
                <w:right w:val="none" w:sz="0" w:space="0" w:color="auto"/>
              </w:divBdr>
            </w:div>
            <w:div w:id="398792907">
              <w:marLeft w:val="0"/>
              <w:marRight w:val="0"/>
              <w:marTop w:val="0"/>
              <w:marBottom w:val="0"/>
              <w:divBdr>
                <w:top w:val="none" w:sz="0" w:space="0" w:color="auto"/>
                <w:left w:val="none" w:sz="0" w:space="0" w:color="auto"/>
                <w:bottom w:val="none" w:sz="0" w:space="0" w:color="auto"/>
                <w:right w:val="none" w:sz="0" w:space="0" w:color="auto"/>
              </w:divBdr>
            </w:div>
            <w:div w:id="1088498962">
              <w:marLeft w:val="0"/>
              <w:marRight w:val="0"/>
              <w:marTop w:val="0"/>
              <w:marBottom w:val="0"/>
              <w:divBdr>
                <w:top w:val="none" w:sz="0" w:space="0" w:color="auto"/>
                <w:left w:val="none" w:sz="0" w:space="0" w:color="auto"/>
                <w:bottom w:val="none" w:sz="0" w:space="0" w:color="auto"/>
                <w:right w:val="none" w:sz="0" w:space="0" w:color="auto"/>
              </w:divBdr>
            </w:div>
            <w:div w:id="792139355">
              <w:marLeft w:val="0"/>
              <w:marRight w:val="0"/>
              <w:marTop w:val="0"/>
              <w:marBottom w:val="0"/>
              <w:divBdr>
                <w:top w:val="none" w:sz="0" w:space="0" w:color="auto"/>
                <w:left w:val="none" w:sz="0" w:space="0" w:color="auto"/>
                <w:bottom w:val="none" w:sz="0" w:space="0" w:color="auto"/>
                <w:right w:val="none" w:sz="0" w:space="0" w:color="auto"/>
              </w:divBdr>
            </w:div>
            <w:div w:id="500704918">
              <w:marLeft w:val="0"/>
              <w:marRight w:val="0"/>
              <w:marTop w:val="0"/>
              <w:marBottom w:val="0"/>
              <w:divBdr>
                <w:top w:val="none" w:sz="0" w:space="0" w:color="auto"/>
                <w:left w:val="none" w:sz="0" w:space="0" w:color="auto"/>
                <w:bottom w:val="none" w:sz="0" w:space="0" w:color="auto"/>
                <w:right w:val="none" w:sz="0" w:space="0" w:color="auto"/>
              </w:divBdr>
            </w:div>
            <w:div w:id="1832133361">
              <w:marLeft w:val="0"/>
              <w:marRight w:val="0"/>
              <w:marTop w:val="0"/>
              <w:marBottom w:val="0"/>
              <w:divBdr>
                <w:top w:val="none" w:sz="0" w:space="0" w:color="auto"/>
                <w:left w:val="none" w:sz="0" w:space="0" w:color="auto"/>
                <w:bottom w:val="none" w:sz="0" w:space="0" w:color="auto"/>
                <w:right w:val="none" w:sz="0" w:space="0" w:color="auto"/>
              </w:divBdr>
            </w:div>
            <w:div w:id="59057638">
              <w:marLeft w:val="0"/>
              <w:marRight w:val="0"/>
              <w:marTop w:val="0"/>
              <w:marBottom w:val="0"/>
              <w:divBdr>
                <w:top w:val="none" w:sz="0" w:space="0" w:color="auto"/>
                <w:left w:val="none" w:sz="0" w:space="0" w:color="auto"/>
                <w:bottom w:val="none" w:sz="0" w:space="0" w:color="auto"/>
                <w:right w:val="none" w:sz="0" w:space="0" w:color="auto"/>
              </w:divBdr>
            </w:div>
            <w:div w:id="16665543">
              <w:marLeft w:val="0"/>
              <w:marRight w:val="0"/>
              <w:marTop w:val="0"/>
              <w:marBottom w:val="0"/>
              <w:divBdr>
                <w:top w:val="none" w:sz="0" w:space="0" w:color="auto"/>
                <w:left w:val="none" w:sz="0" w:space="0" w:color="auto"/>
                <w:bottom w:val="none" w:sz="0" w:space="0" w:color="auto"/>
                <w:right w:val="none" w:sz="0" w:space="0" w:color="auto"/>
              </w:divBdr>
            </w:div>
            <w:div w:id="804199404">
              <w:marLeft w:val="0"/>
              <w:marRight w:val="0"/>
              <w:marTop w:val="0"/>
              <w:marBottom w:val="0"/>
              <w:divBdr>
                <w:top w:val="none" w:sz="0" w:space="0" w:color="auto"/>
                <w:left w:val="none" w:sz="0" w:space="0" w:color="auto"/>
                <w:bottom w:val="none" w:sz="0" w:space="0" w:color="auto"/>
                <w:right w:val="none" w:sz="0" w:space="0" w:color="auto"/>
              </w:divBdr>
            </w:div>
            <w:div w:id="1307976853">
              <w:marLeft w:val="0"/>
              <w:marRight w:val="0"/>
              <w:marTop w:val="0"/>
              <w:marBottom w:val="0"/>
              <w:divBdr>
                <w:top w:val="none" w:sz="0" w:space="0" w:color="auto"/>
                <w:left w:val="none" w:sz="0" w:space="0" w:color="auto"/>
                <w:bottom w:val="none" w:sz="0" w:space="0" w:color="auto"/>
                <w:right w:val="none" w:sz="0" w:space="0" w:color="auto"/>
              </w:divBdr>
            </w:div>
            <w:div w:id="1967391371">
              <w:marLeft w:val="0"/>
              <w:marRight w:val="0"/>
              <w:marTop w:val="0"/>
              <w:marBottom w:val="0"/>
              <w:divBdr>
                <w:top w:val="none" w:sz="0" w:space="0" w:color="auto"/>
                <w:left w:val="none" w:sz="0" w:space="0" w:color="auto"/>
                <w:bottom w:val="none" w:sz="0" w:space="0" w:color="auto"/>
                <w:right w:val="none" w:sz="0" w:space="0" w:color="auto"/>
              </w:divBdr>
            </w:div>
            <w:div w:id="94207388">
              <w:marLeft w:val="0"/>
              <w:marRight w:val="0"/>
              <w:marTop w:val="0"/>
              <w:marBottom w:val="0"/>
              <w:divBdr>
                <w:top w:val="none" w:sz="0" w:space="0" w:color="auto"/>
                <w:left w:val="none" w:sz="0" w:space="0" w:color="auto"/>
                <w:bottom w:val="none" w:sz="0" w:space="0" w:color="auto"/>
                <w:right w:val="none" w:sz="0" w:space="0" w:color="auto"/>
              </w:divBdr>
            </w:div>
            <w:div w:id="1735078013">
              <w:marLeft w:val="0"/>
              <w:marRight w:val="0"/>
              <w:marTop w:val="0"/>
              <w:marBottom w:val="0"/>
              <w:divBdr>
                <w:top w:val="none" w:sz="0" w:space="0" w:color="auto"/>
                <w:left w:val="none" w:sz="0" w:space="0" w:color="auto"/>
                <w:bottom w:val="none" w:sz="0" w:space="0" w:color="auto"/>
                <w:right w:val="none" w:sz="0" w:space="0" w:color="auto"/>
              </w:divBdr>
            </w:div>
            <w:div w:id="977492791">
              <w:marLeft w:val="0"/>
              <w:marRight w:val="0"/>
              <w:marTop w:val="0"/>
              <w:marBottom w:val="0"/>
              <w:divBdr>
                <w:top w:val="none" w:sz="0" w:space="0" w:color="auto"/>
                <w:left w:val="none" w:sz="0" w:space="0" w:color="auto"/>
                <w:bottom w:val="none" w:sz="0" w:space="0" w:color="auto"/>
                <w:right w:val="none" w:sz="0" w:space="0" w:color="auto"/>
              </w:divBdr>
            </w:div>
            <w:div w:id="1847938011">
              <w:marLeft w:val="0"/>
              <w:marRight w:val="0"/>
              <w:marTop w:val="0"/>
              <w:marBottom w:val="0"/>
              <w:divBdr>
                <w:top w:val="none" w:sz="0" w:space="0" w:color="auto"/>
                <w:left w:val="none" w:sz="0" w:space="0" w:color="auto"/>
                <w:bottom w:val="none" w:sz="0" w:space="0" w:color="auto"/>
                <w:right w:val="none" w:sz="0" w:space="0" w:color="auto"/>
              </w:divBdr>
            </w:div>
            <w:div w:id="682900264">
              <w:marLeft w:val="0"/>
              <w:marRight w:val="0"/>
              <w:marTop w:val="0"/>
              <w:marBottom w:val="0"/>
              <w:divBdr>
                <w:top w:val="none" w:sz="0" w:space="0" w:color="auto"/>
                <w:left w:val="none" w:sz="0" w:space="0" w:color="auto"/>
                <w:bottom w:val="none" w:sz="0" w:space="0" w:color="auto"/>
                <w:right w:val="none" w:sz="0" w:space="0" w:color="auto"/>
              </w:divBdr>
            </w:div>
            <w:div w:id="20478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5110</Words>
  <Characters>28109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2020-11-09T03:07:00Z</dcterms:created>
  <dcterms:modified xsi:type="dcterms:W3CDTF">2020-11-09T03:07:00Z</dcterms:modified>
</cp:coreProperties>
</file>