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1EFB1" w14:textId="48CDEDE6" w:rsidR="004D3E37" w:rsidRPr="0075113A" w:rsidRDefault="004D3E37" w:rsidP="0075113A">
      <w:pPr>
        <w:pStyle w:val="Sinespaciado"/>
        <w:spacing w:line="360" w:lineRule="auto"/>
        <w:jc w:val="center"/>
        <w:rPr>
          <w:rFonts w:ascii="Times New Roman" w:hAnsi="Times New Roman" w:cs="Times New Roman"/>
          <w:b/>
          <w:bCs/>
        </w:rPr>
      </w:pPr>
      <w:r w:rsidRPr="0075113A">
        <w:rPr>
          <w:rFonts w:ascii="Times New Roman" w:hAnsi="Times New Roman" w:cs="Times New Roman"/>
          <w:b/>
          <w:bCs/>
        </w:rPr>
        <w:t xml:space="preserve">COMUNICADO DE PRENSA 49 DEL </w:t>
      </w:r>
      <w:r w:rsidR="007535AF" w:rsidRPr="0075113A">
        <w:rPr>
          <w:rFonts w:ascii="Times New Roman" w:hAnsi="Times New Roman" w:cs="Times New Roman"/>
          <w:b/>
          <w:bCs/>
        </w:rPr>
        <w:t>19</w:t>
      </w:r>
      <w:r w:rsidRPr="0075113A">
        <w:rPr>
          <w:rFonts w:ascii="Times New Roman" w:hAnsi="Times New Roman" w:cs="Times New Roman"/>
          <w:b/>
          <w:bCs/>
        </w:rPr>
        <w:t xml:space="preserve"> Y 20 DE NOVIEMBRE DE 2020</w:t>
      </w:r>
    </w:p>
    <w:p w14:paraId="6A3D1147" w14:textId="11B8B837" w:rsidR="00FA0FDC" w:rsidRPr="0075113A" w:rsidRDefault="004D3E37" w:rsidP="0075113A">
      <w:pPr>
        <w:pStyle w:val="Sinespaciado"/>
        <w:spacing w:line="360" w:lineRule="auto"/>
        <w:jc w:val="center"/>
        <w:rPr>
          <w:rFonts w:ascii="Times New Roman" w:hAnsi="Times New Roman" w:cs="Times New Roman"/>
        </w:rPr>
      </w:pPr>
      <w:r w:rsidRPr="0075113A">
        <w:rPr>
          <w:rFonts w:ascii="Times New Roman" w:hAnsi="Times New Roman" w:cs="Times New Roman"/>
          <w:b/>
          <w:bCs/>
        </w:rPr>
        <w:t>SENTENCIA C-486/20</w:t>
      </w:r>
    </w:p>
    <w:p w14:paraId="43CCCE00" w14:textId="77777777" w:rsidR="00FA0FDC" w:rsidRPr="0075113A" w:rsidRDefault="00FA0FDC" w:rsidP="0075113A">
      <w:pPr>
        <w:pStyle w:val="Sinespaciado"/>
        <w:spacing w:line="360" w:lineRule="auto"/>
        <w:jc w:val="center"/>
        <w:rPr>
          <w:rFonts w:ascii="Times New Roman" w:hAnsi="Times New Roman" w:cs="Times New Roman"/>
        </w:rPr>
      </w:pPr>
    </w:p>
    <w:p w14:paraId="07CC40D3" w14:textId="5B172023" w:rsidR="00FA0FDC" w:rsidRPr="0075113A" w:rsidRDefault="004D3E37" w:rsidP="0075113A">
      <w:pPr>
        <w:pStyle w:val="Sinespaciado"/>
        <w:spacing w:line="360" w:lineRule="auto"/>
        <w:jc w:val="both"/>
        <w:rPr>
          <w:rFonts w:ascii="Times New Roman" w:hAnsi="Times New Roman" w:cs="Times New Roman"/>
        </w:rPr>
      </w:pPr>
      <w:r w:rsidRPr="0075113A">
        <w:rPr>
          <w:rStyle w:val="Cuerpodeltexto7105pto"/>
          <w:rFonts w:ascii="Times New Roman" w:hAnsi="Times New Roman" w:cs="Times New Roman"/>
          <w:sz w:val="24"/>
          <w:szCs w:val="24"/>
        </w:rPr>
        <w:t>L</w:t>
      </w:r>
      <w:r w:rsidRPr="0075113A">
        <w:rPr>
          <w:rStyle w:val="Cuerpodeltexto7Versales"/>
          <w:rFonts w:ascii="Times New Roman" w:hAnsi="Times New Roman" w:cs="Times New Roman"/>
          <w:sz w:val="24"/>
          <w:szCs w:val="24"/>
        </w:rPr>
        <w:t xml:space="preserve">A LIMITACIÓN A DEDUCCIONES POR CONCEPTO DE PAGO DE REGALÍAS A INTANGIBLES SE AJUSTA AL </w:t>
      </w:r>
      <w:r w:rsidR="00792051" w:rsidRPr="0075113A">
        <w:rPr>
          <w:rStyle w:val="Cuerpodeltexto71"/>
          <w:rFonts w:ascii="Times New Roman" w:hAnsi="Times New Roman" w:cs="Times New Roman"/>
          <w:sz w:val="24"/>
          <w:szCs w:val="24"/>
        </w:rPr>
        <w:t>DERECHO A LA IGUALDAD</w:t>
      </w:r>
      <w:r w:rsidR="00792051" w:rsidRPr="0075113A">
        <w:rPr>
          <w:rStyle w:val="Cuerpodeltexto7105pto"/>
          <w:rFonts w:ascii="Times New Roman" w:hAnsi="Times New Roman" w:cs="Times New Roman"/>
          <w:sz w:val="24"/>
          <w:szCs w:val="24"/>
        </w:rPr>
        <w:t xml:space="preserve">, </w:t>
      </w:r>
      <w:r w:rsidR="00792051" w:rsidRPr="0075113A">
        <w:rPr>
          <w:rStyle w:val="Cuerpodeltexto71"/>
          <w:rFonts w:ascii="Times New Roman" w:hAnsi="Times New Roman" w:cs="Times New Roman"/>
          <w:sz w:val="24"/>
          <w:szCs w:val="24"/>
        </w:rPr>
        <w:t>A LA DIMENSIÓN SIST</w:t>
      </w:r>
      <w:r w:rsidR="00F6442A" w:rsidRPr="0075113A">
        <w:rPr>
          <w:rStyle w:val="Cuerpodeltexto71"/>
          <w:rFonts w:ascii="Times New Roman" w:hAnsi="Times New Roman" w:cs="Times New Roman"/>
          <w:sz w:val="24"/>
          <w:szCs w:val="24"/>
        </w:rPr>
        <w:t>É</w:t>
      </w:r>
      <w:r w:rsidR="00792051" w:rsidRPr="0075113A">
        <w:rPr>
          <w:rStyle w:val="Cuerpodeltexto71"/>
          <w:rFonts w:ascii="Times New Roman" w:hAnsi="Times New Roman" w:cs="Times New Roman"/>
          <w:sz w:val="24"/>
          <w:szCs w:val="24"/>
        </w:rPr>
        <w:t>MICA DE LA EQUIDAD EN SU DIMENSIÓN HORIZONTAL</w:t>
      </w:r>
      <w:r w:rsidR="00792051" w:rsidRPr="0075113A">
        <w:rPr>
          <w:rStyle w:val="Cuerpodeltexto7105pto"/>
          <w:rFonts w:ascii="Times New Roman" w:hAnsi="Times New Roman" w:cs="Times New Roman"/>
          <w:sz w:val="24"/>
          <w:szCs w:val="24"/>
        </w:rPr>
        <w:t xml:space="preserve">, </w:t>
      </w:r>
      <w:r w:rsidR="00792051" w:rsidRPr="0075113A">
        <w:rPr>
          <w:rStyle w:val="Cuerpodeltexto71"/>
          <w:rFonts w:ascii="Times New Roman" w:hAnsi="Times New Roman" w:cs="Times New Roman"/>
          <w:sz w:val="24"/>
          <w:szCs w:val="24"/>
        </w:rPr>
        <w:t>ASÍ COMO COMO A LOS PRINCIPIOS DE JUSTICIA Y EQUIDAD TRIBUTARIA</w:t>
      </w:r>
    </w:p>
    <w:p w14:paraId="19E53535" w14:textId="77777777" w:rsidR="004D3E37" w:rsidRPr="0075113A" w:rsidRDefault="004D3E37" w:rsidP="0075113A">
      <w:pPr>
        <w:pStyle w:val="Sinespaciado"/>
        <w:spacing w:line="360" w:lineRule="auto"/>
        <w:jc w:val="both"/>
        <w:rPr>
          <w:rFonts w:ascii="Times New Roman" w:hAnsi="Times New Roman" w:cs="Times New Roman"/>
        </w:rPr>
      </w:pPr>
    </w:p>
    <w:p w14:paraId="41DF9AF8" w14:textId="1B121D5B" w:rsidR="00FA0FDC" w:rsidRPr="0075113A" w:rsidRDefault="00792051" w:rsidP="0075113A">
      <w:pPr>
        <w:pStyle w:val="Sinespaciado"/>
        <w:spacing w:line="360" w:lineRule="auto"/>
        <w:jc w:val="both"/>
        <w:rPr>
          <w:rFonts w:ascii="Times New Roman" w:hAnsi="Times New Roman" w:cs="Times New Roman"/>
        </w:rPr>
      </w:pPr>
      <w:r w:rsidRPr="0075113A">
        <w:rPr>
          <w:rFonts w:ascii="Times New Roman" w:hAnsi="Times New Roman" w:cs="Times New Roman"/>
          <w:b/>
          <w:bCs/>
        </w:rPr>
        <w:t>IV.</w:t>
      </w:r>
      <w:r w:rsidR="004D3E37" w:rsidRPr="0075113A">
        <w:rPr>
          <w:rFonts w:ascii="Times New Roman" w:hAnsi="Times New Roman" w:cs="Times New Roman"/>
          <w:b/>
          <w:bCs/>
        </w:rPr>
        <w:tab/>
      </w:r>
      <w:r w:rsidRPr="0075113A">
        <w:rPr>
          <w:rFonts w:ascii="Times New Roman" w:hAnsi="Times New Roman" w:cs="Times New Roman"/>
          <w:b/>
          <w:bCs/>
        </w:rPr>
        <w:t>EXPEDIENTE D-13572 -</w:t>
      </w:r>
      <w:r w:rsidRPr="0075113A">
        <w:rPr>
          <w:rFonts w:ascii="Times New Roman" w:hAnsi="Times New Roman" w:cs="Times New Roman"/>
        </w:rPr>
        <w:t xml:space="preserve"> </w:t>
      </w:r>
      <w:r w:rsidRPr="0075113A">
        <w:rPr>
          <w:rStyle w:val="Cuerpodeltexto813pto"/>
          <w:rFonts w:ascii="Times New Roman" w:hAnsi="Times New Roman" w:cs="Times New Roman"/>
          <w:sz w:val="24"/>
          <w:szCs w:val="24"/>
        </w:rPr>
        <w:t>S</w:t>
      </w:r>
      <w:r w:rsidRPr="0075113A">
        <w:rPr>
          <w:rFonts w:ascii="Times New Roman" w:hAnsi="Times New Roman" w:cs="Times New Roman"/>
          <w:b/>
          <w:bCs/>
        </w:rPr>
        <w:t>ENTENCIA</w:t>
      </w:r>
      <w:r w:rsidRPr="0075113A">
        <w:rPr>
          <w:rFonts w:ascii="Times New Roman" w:hAnsi="Times New Roman" w:cs="Times New Roman"/>
        </w:rPr>
        <w:t xml:space="preserve"> </w:t>
      </w:r>
      <w:r w:rsidRPr="0075113A">
        <w:rPr>
          <w:rStyle w:val="Cuerpodeltexto813pto"/>
          <w:rFonts w:ascii="Times New Roman" w:hAnsi="Times New Roman" w:cs="Times New Roman"/>
          <w:sz w:val="24"/>
          <w:szCs w:val="24"/>
        </w:rPr>
        <w:t xml:space="preserve">C-486/20 </w:t>
      </w:r>
      <w:r w:rsidRPr="0075113A">
        <w:rPr>
          <w:rStyle w:val="Cuerpodeltexto89pto"/>
          <w:rFonts w:ascii="Times New Roman" w:hAnsi="Times New Roman" w:cs="Times New Roman"/>
          <w:sz w:val="24"/>
          <w:szCs w:val="24"/>
        </w:rPr>
        <w:t>(noviembre19)</w:t>
      </w:r>
    </w:p>
    <w:p w14:paraId="3A48FE66" w14:textId="77777777" w:rsidR="00FA0FDC" w:rsidRPr="0075113A" w:rsidRDefault="00792051" w:rsidP="0075113A">
      <w:pPr>
        <w:pStyle w:val="Sinespaciado"/>
        <w:spacing w:line="360" w:lineRule="auto"/>
        <w:ind w:firstLine="708"/>
        <w:jc w:val="both"/>
        <w:rPr>
          <w:rFonts w:ascii="Times New Roman" w:hAnsi="Times New Roman" w:cs="Times New Roman"/>
        </w:rPr>
      </w:pPr>
      <w:r w:rsidRPr="0075113A">
        <w:rPr>
          <w:rFonts w:ascii="Times New Roman" w:hAnsi="Times New Roman" w:cs="Times New Roman"/>
        </w:rPr>
        <w:t>M.P. Antonio José Lizarazo Ocampo</w:t>
      </w:r>
    </w:p>
    <w:p w14:paraId="23CA11E5" w14:textId="77777777" w:rsidR="004D3E37" w:rsidRPr="0075113A" w:rsidRDefault="004D3E37" w:rsidP="0075113A">
      <w:pPr>
        <w:pStyle w:val="Sinespaciado"/>
        <w:spacing w:line="360" w:lineRule="auto"/>
        <w:jc w:val="both"/>
        <w:rPr>
          <w:rStyle w:val="Ttulo121"/>
          <w:rFonts w:ascii="Times New Roman" w:hAnsi="Times New Roman" w:cs="Times New Roman"/>
          <w:sz w:val="24"/>
          <w:szCs w:val="24"/>
        </w:rPr>
      </w:pPr>
      <w:bookmarkStart w:id="0" w:name="bookmark0"/>
    </w:p>
    <w:p w14:paraId="1D5474E2" w14:textId="5F297F0E" w:rsidR="00FA0FDC" w:rsidRPr="0075113A" w:rsidRDefault="00792051" w:rsidP="0075113A">
      <w:pPr>
        <w:pStyle w:val="Sinespaciado"/>
        <w:numPr>
          <w:ilvl w:val="0"/>
          <w:numId w:val="2"/>
        </w:numPr>
        <w:spacing w:line="360" w:lineRule="auto"/>
        <w:jc w:val="center"/>
        <w:rPr>
          <w:rFonts w:ascii="Times New Roman" w:hAnsi="Times New Roman" w:cs="Times New Roman"/>
        </w:rPr>
      </w:pPr>
      <w:r w:rsidRPr="0075113A">
        <w:rPr>
          <w:rStyle w:val="Ttulo121"/>
          <w:rFonts w:ascii="Times New Roman" w:hAnsi="Times New Roman" w:cs="Times New Roman"/>
          <w:sz w:val="24"/>
          <w:szCs w:val="24"/>
        </w:rPr>
        <w:t>Norma demandada</w:t>
      </w:r>
      <w:bookmarkEnd w:id="0"/>
    </w:p>
    <w:p w14:paraId="4C7F81FA" w14:textId="77777777" w:rsidR="004D3E37" w:rsidRPr="0075113A" w:rsidRDefault="004D3E37" w:rsidP="0075113A">
      <w:pPr>
        <w:pStyle w:val="Sinespaciado"/>
        <w:spacing w:line="360" w:lineRule="auto"/>
        <w:jc w:val="center"/>
        <w:rPr>
          <w:rFonts w:ascii="Times New Roman" w:hAnsi="Times New Roman" w:cs="Times New Roman"/>
        </w:rPr>
      </w:pPr>
    </w:p>
    <w:p w14:paraId="4C14D62C" w14:textId="0AD5F0B2" w:rsidR="00FA0FDC" w:rsidRPr="0075113A" w:rsidRDefault="00792051" w:rsidP="0075113A">
      <w:pPr>
        <w:pStyle w:val="Sinespaciado"/>
        <w:spacing w:line="360" w:lineRule="auto"/>
        <w:jc w:val="center"/>
        <w:rPr>
          <w:rFonts w:ascii="Times New Roman" w:hAnsi="Times New Roman" w:cs="Times New Roman"/>
          <w:b/>
          <w:bCs/>
          <w:sz w:val="36"/>
          <w:szCs w:val="36"/>
          <w:highlight w:val="green"/>
        </w:rPr>
      </w:pPr>
      <w:r w:rsidRPr="0075113A">
        <w:rPr>
          <w:rFonts w:ascii="Times New Roman" w:hAnsi="Times New Roman" w:cs="Times New Roman"/>
          <w:b/>
          <w:bCs/>
          <w:sz w:val="36"/>
          <w:szCs w:val="36"/>
          <w:highlight w:val="green"/>
        </w:rPr>
        <w:t>LEY 1819 DE 2016</w:t>
      </w:r>
    </w:p>
    <w:p w14:paraId="5669282E" w14:textId="77777777" w:rsidR="00FA0FDC" w:rsidRPr="0075113A" w:rsidRDefault="00792051" w:rsidP="0075113A">
      <w:pPr>
        <w:pStyle w:val="Sinespaciado"/>
        <w:spacing w:line="360" w:lineRule="auto"/>
        <w:jc w:val="center"/>
        <w:rPr>
          <w:rFonts w:ascii="Times New Roman" w:hAnsi="Times New Roman" w:cs="Times New Roman"/>
          <w:sz w:val="36"/>
          <w:szCs w:val="36"/>
          <w:highlight w:val="green"/>
        </w:rPr>
      </w:pPr>
      <w:r w:rsidRPr="0075113A">
        <w:rPr>
          <w:rFonts w:ascii="Times New Roman" w:hAnsi="Times New Roman" w:cs="Times New Roman"/>
          <w:sz w:val="36"/>
          <w:szCs w:val="36"/>
          <w:highlight w:val="green"/>
        </w:rPr>
        <w:t>(diciembre 29)</w:t>
      </w:r>
    </w:p>
    <w:p w14:paraId="68471FCD" w14:textId="77777777" w:rsidR="004D3E37" w:rsidRPr="0075113A" w:rsidRDefault="004D3E37" w:rsidP="0075113A">
      <w:pPr>
        <w:pStyle w:val="Sinespaciado"/>
        <w:spacing w:line="360" w:lineRule="auto"/>
        <w:jc w:val="center"/>
        <w:rPr>
          <w:rFonts w:ascii="Times New Roman" w:hAnsi="Times New Roman" w:cs="Times New Roman"/>
          <w:sz w:val="36"/>
          <w:szCs w:val="36"/>
          <w:highlight w:val="green"/>
        </w:rPr>
      </w:pPr>
    </w:p>
    <w:p w14:paraId="1B375085" w14:textId="79387758" w:rsidR="00FA0FDC" w:rsidRPr="0075113A" w:rsidRDefault="00792051" w:rsidP="0075113A">
      <w:pPr>
        <w:pStyle w:val="Sinespaciado"/>
        <w:spacing w:line="360" w:lineRule="auto"/>
        <w:jc w:val="both"/>
        <w:rPr>
          <w:rFonts w:ascii="Times New Roman" w:hAnsi="Times New Roman" w:cs="Times New Roman"/>
          <w:i/>
          <w:iCs/>
          <w:sz w:val="36"/>
          <w:szCs w:val="36"/>
          <w:highlight w:val="green"/>
        </w:rPr>
      </w:pPr>
      <w:r w:rsidRPr="0075113A">
        <w:rPr>
          <w:rFonts w:ascii="Times New Roman" w:hAnsi="Times New Roman" w:cs="Times New Roman"/>
          <w:i/>
          <w:iCs/>
          <w:sz w:val="36"/>
          <w:szCs w:val="36"/>
          <w:highlight w:val="green"/>
        </w:rPr>
        <w:t>Por medio de la cual se adopta una reforma tributaria estructural, se fortalecen los mecanismos para la</w:t>
      </w:r>
      <w:r w:rsidR="004D3E37" w:rsidRPr="0075113A">
        <w:rPr>
          <w:rFonts w:ascii="Times New Roman" w:hAnsi="Times New Roman" w:cs="Times New Roman"/>
          <w:i/>
          <w:iCs/>
          <w:sz w:val="36"/>
          <w:szCs w:val="36"/>
          <w:highlight w:val="green"/>
        </w:rPr>
        <w:t xml:space="preserve"> </w:t>
      </w:r>
      <w:r w:rsidRPr="0075113A">
        <w:rPr>
          <w:rFonts w:ascii="Times New Roman" w:hAnsi="Times New Roman" w:cs="Times New Roman"/>
          <w:i/>
          <w:iCs/>
          <w:sz w:val="36"/>
          <w:szCs w:val="36"/>
          <w:highlight w:val="green"/>
        </w:rPr>
        <w:t>lucha contra la evasión y la elusión fiscal, y se dictan otras disposiciones</w:t>
      </w:r>
    </w:p>
    <w:p w14:paraId="7DC77EA4" w14:textId="77777777" w:rsidR="004D3E37" w:rsidRPr="0075113A" w:rsidRDefault="004D3E37" w:rsidP="0075113A">
      <w:pPr>
        <w:pStyle w:val="Sinespaciado"/>
        <w:spacing w:line="360" w:lineRule="auto"/>
        <w:jc w:val="both"/>
        <w:rPr>
          <w:rStyle w:val="Cuerpodeltexto4Negrita"/>
          <w:rFonts w:ascii="Times New Roman" w:hAnsi="Times New Roman" w:cs="Times New Roman"/>
          <w:sz w:val="36"/>
          <w:szCs w:val="36"/>
          <w:highlight w:val="green"/>
        </w:rPr>
      </w:pPr>
    </w:p>
    <w:p w14:paraId="3418AFB2" w14:textId="06477105" w:rsidR="00FA0FDC" w:rsidRPr="0075113A" w:rsidRDefault="00792051" w:rsidP="0075113A">
      <w:pPr>
        <w:pStyle w:val="Sinespaciado"/>
        <w:spacing w:line="360" w:lineRule="auto"/>
        <w:jc w:val="both"/>
        <w:rPr>
          <w:rFonts w:ascii="Times New Roman" w:hAnsi="Times New Roman" w:cs="Times New Roman"/>
          <w:sz w:val="36"/>
          <w:szCs w:val="36"/>
          <w:highlight w:val="green"/>
        </w:rPr>
      </w:pPr>
      <w:r w:rsidRPr="0075113A">
        <w:rPr>
          <w:rStyle w:val="Cuerpodeltexto4Negrita"/>
          <w:rFonts w:ascii="Times New Roman" w:hAnsi="Times New Roman" w:cs="Times New Roman"/>
          <w:sz w:val="36"/>
          <w:szCs w:val="36"/>
          <w:highlight w:val="green"/>
        </w:rPr>
        <w:t xml:space="preserve">Artículo 70. </w:t>
      </w:r>
      <w:r w:rsidRPr="0075113A">
        <w:rPr>
          <w:rFonts w:ascii="Times New Roman" w:hAnsi="Times New Roman" w:cs="Times New Roman"/>
          <w:sz w:val="36"/>
          <w:szCs w:val="36"/>
          <w:highlight w:val="green"/>
        </w:rPr>
        <w:t>Modifíquese el artículo 120 del Estatuto Tributario el cual quedará así:</w:t>
      </w:r>
    </w:p>
    <w:p w14:paraId="16178D2B" w14:textId="77777777" w:rsidR="004D3E37" w:rsidRPr="0075113A" w:rsidRDefault="004D3E37" w:rsidP="0075113A">
      <w:pPr>
        <w:pStyle w:val="Sinespaciado"/>
        <w:spacing w:line="360" w:lineRule="auto"/>
        <w:jc w:val="both"/>
        <w:rPr>
          <w:rFonts w:ascii="Times New Roman" w:hAnsi="Times New Roman" w:cs="Times New Roman"/>
          <w:sz w:val="36"/>
          <w:szCs w:val="36"/>
          <w:highlight w:val="green"/>
        </w:rPr>
      </w:pPr>
    </w:p>
    <w:p w14:paraId="32190E0A" w14:textId="695251C3" w:rsidR="00FA0FDC" w:rsidRPr="0075113A" w:rsidRDefault="00792051" w:rsidP="0075113A">
      <w:pPr>
        <w:pStyle w:val="Sinespaciado"/>
        <w:spacing w:line="360" w:lineRule="auto"/>
        <w:jc w:val="both"/>
        <w:rPr>
          <w:rFonts w:ascii="Times New Roman" w:hAnsi="Times New Roman" w:cs="Times New Roman"/>
          <w:sz w:val="36"/>
          <w:szCs w:val="36"/>
          <w:highlight w:val="green"/>
        </w:rPr>
      </w:pPr>
      <w:r w:rsidRPr="0075113A">
        <w:rPr>
          <w:rFonts w:ascii="Times New Roman" w:hAnsi="Times New Roman" w:cs="Times New Roman"/>
          <w:b/>
          <w:bCs/>
          <w:sz w:val="36"/>
          <w:szCs w:val="36"/>
          <w:highlight w:val="green"/>
        </w:rPr>
        <w:t>Artículo 120.</w:t>
      </w:r>
      <w:r w:rsidRPr="0075113A">
        <w:rPr>
          <w:rFonts w:ascii="Times New Roman" w:hAnsi="Times New Roman" w:cs="Times New Roman"/>
          <w:sz w:val="36"/>
          <w:szCs w:val="36"/>
          <w:highlight w:val="green"/>
        </w:rPr>
        <w:t xml:space="preserve"> </w:t>
      </w:r>
      <w:r w:rsidRPr="0075113A">
        <w:rPr>
          <w:rStyle w:val="Cuerpodeltexto7SinnegritaCursiva"/>
          <w:rFonts w:ascii="Times New Roman" w:hAnsi="Times New Roman" w:cs="Times New Roman"/>
          <w:b w:val="0"/>
          <w:bCs w:val="0"/>
          <w:sz w:val="36"/>
          <w:szCs w:val="36"/>
          <w:highlight w:val="green"/>
        </w:rPr>
        <w:t xml:space="preserve">Limitaciones a pagos de regalías por concepto de </w:t>
      </w:r>
      <w:r w:rsidRPr="0075113A">
        <w:rPr>
          <w:rStyle w:val="Cuerpodeltexto7SinnegritaCursiva"/>
          <w:rFonts w:ascii="Times New Roman" w:hAnsi="Times New Roman" w:cs="Times New Roman"/>
          <w:b w:val="0"/>
          <w:bCs w:val="0"/>
          <w:sz w:val="36"/>
          <w:szCs w:val="36"/>
          <w:highlight w:val="green"/>
        </w:rPr>
        <w:lastRenderedPageBreak/>
        <w:t>intangibles.</w:t>
      </w:r>
      <w:r w:rsidRPr="0075113A">
        <w:rPr>
          <w:rFonts w:ascii="Times New Roman" w:hAnsi="Times New Roman" w:cs="Times New Roman"/>
          <w:sz w:val="36"/>
          <w:szCs w:val="36"/>
          <w:highlight w:val="green"/>
        </w:rPr>
        <w:t xml:space="preserve"> </w:t>
      </w:r>
      <w:r w:rsidRPr="0075113A">
        <w:rPr>
          <w:rStyle w:val="Cuerpodeltexto72"/>
          <w:rFonts w:ascii="Times New Roman" w:hAnsi="Times New Roman" w:cs="Times New Roman"/>
          <w:sz w:val="36"/>
          <w:szCs w:val="36"/>
          <w:highlight w:val="green"/>
        </w:rPr>
        <w:t>No será aceptada la deducción por concepto de pago de regalías a vinculados económicos del exterior ni zonas francas, correspondiente a la explotación de un intangible formado en el territorio nacional.</w:t>
      </w:r>
    </w:p>
    <w:p w14:paraId="39DFB6D0" w14:textId="77777777" w:rsidR="004D3E37" w:rsidRPr="0075113A" w:rsidRDefault="004D3E37" w:rsidP="0075113A">
      <w:pPr>
        <w:pStyle w:val="Sinespaciado"/>
        <w:spacing w:line="360" w:lineRule="auto"/>
        <w:jc w:val="both"/>
        <w:rPr>
          <w:rFonts w:ascii="Times New Roman" w:hAnsi="Times New Roman" w:cs="Times New Roman"/>
          <w:sz w:val="36"/>
          <w:szCs w:val="36"/>
          <w:highlight w:val="green"/>
        </w:rPr>
      </w:pPr>
    </w:p>
    <w:p w14:paraId="063C6F53" w14:textId="73D8FC0A" w:rsidR="00FA0FDC" w:rsidRPr="0075113A" w:rsidRDefault="00792051" w:rsidP="0075113A">
      <w:pPr>
        <w:pStyle w:val="Sinespaciado"/>
        <w:spacing w:line="360" w:lineRule="auto"/>
        <w:jc w:val="both"/>
        <w:rPr>
          <w:rFonts w:ascii="Times New Roman" w:hAnsi="Times New Roman" w:cs="Times New Roman"/>
          <w:sz w:val="36"/>
          <w:szCs w:val="36"/>
        </w:rPr>
      </w:pPr>
      <w:r w:rsidRPr="0075113A">
        <w:rPr>
          <w:rFonts w:ascii="Times New Roman" w:hAnsi="Times New Roman" w:cs="Times New Roman"/>
          <w:sz w:val="36"/>
          <w:szCs w:val="36"/>
          <w:highlight w:val="green"/>
        </w:rPr>
        <w:t>No serán deducibles los pagos por concepto de regalías realizadas durante el año o periodo gravable, cuando dichas regalías estén asociadas a la adquisición de productos terminados</w:t>
      </w:r>
      <w:r w:rsidR="004D3E37" w:rsidRPr="0075113A">
        <w:rPr>
          <w:rFonts w:ascii="Times New Roman" w:hAnsi="Times New Roman" w:cs="Times New Roman"/>
          <w:sz w:val="36"/>
          <w:szCs w:val="36"/>
          <w:highlight w:val="green"/>
        </w:rPr>
        <w:t>”</w:t>
      </w:r>
      <w:r w:rsidRPr="0075113A">
        <w:rPr>
          <w:rFonts w:ascii="Times New Roman" w:hAnsi="Times New Roman" w:cs="Times New Roman"/>
          <w:sz w:val="36"/>
          <w:szCs w:val="36"/>
          <w:highlight w:val="green"/>
        </w:rPr>
        <w:t>.</w:t>
      </w:r>
    </w:p>
    <w:p w14:paraId="3D5F5469" w14:textId="77777777" w:rsidR="004D3E37" w:rsidRPr="0075113A" w:rsidRDefault="004D3E37" w:rsidP="0075113A">
      <w:pPr>
        <w:pStyle w:val="Sinespaciado"/>
        <w:spacing w:line="360" w:lineRule="auto"/>
        <w:jc w:val="both"/>
        <w:rPr>
          <w:rStyle w:val="Ttulo121"/>
          <w:rFonts w:ascii="Times New Roman" w:hAnsi="Times New Roman" w:cs="Times New Roman"/>
          <w:sz w:val="24"/>
          <w:szCs w:val="24"/>
        </w:rPr>
      </w:pPr>
      <w:bookmarkStart w:id="1" w:name="bookmark1"/>
    </w:p>
    <w:p w14:paraId="578786E3" w14:textId="2E7E07C2" w:rsidR="00FA0FDC" w:rsidRPr="0075113A" w:rsidRDefault="00792051" w:rsidP="0075113A">
      <w:pPr>
        <w:pStyle w:val="Sinespaciado"/>
        <w:numPr>
          <w:ilvl w:val="0"/>
          <w:numId w:val="2"/>
        </w:numPr>
        <w:spacing w:line="360" w:lineRule="auto"/>
        <w:jc w:val="both"/>
        <w:rPr>
          <w:rFonts w:ascii="Times New Roman" w:hAnsi="Times New Roman" w:cs="Times New Roman"/>
        </w:rPr>
      </w:pPr>
      <w:r w:rsidRPr="0075113A">
        <w:rPr>
          <w:rStyle w:val="Ttulo121"/>
          <w:rFonts w:ascii="Times New Roman" w:hAnsi="Times New Roman" w:cs="Times New Roman"/>
          <w:sz w:val="24"/>
          <w:szCs w:val="24"/>
        </w:rPr>
        <w:t>Decisión</w:t>
      </w:r>
      <w:bookmarkEnd w:id="1"/>
    </w:p>
    <w:p w14:paraId="348A6587" w14:textId="77777777" w:rsidR="004D3E37" w:rsidRPr="0075113A" w:rsidRDefault="004D3E37" w:rsidP="0075113A">
      <w:pPr>
        <w:pStyle w:val="Sinespaciado"/>
        <w:spacing w:line="360" w:lineRule="auto"/>
        <w:jc w:val="both"/>
        <w:rPr>
          <w:rStyle w:val="Cuerpodeltexto6Sincursiva"/>
          <w:rFonts w:ascii="Times New Roman" w:hAnsi="Times New Roman" w:cs="Times New Roman"/>
          <w:i w:val="0"/>
          <w:iCs w:val="0"/>
          <w:sz w:val="24"/>
          <w:szCs w:val="24"/>
        </w:rPr>
      </w:pPr>
    </w:p>
    <w:p w14:paraId="054E941A" w14:textId="34337132" w:rsidR="00FA0FDC" w:rsidRPr="0075113A" w:rsidRDefault="00792051" w:rsidP="0075113A">
      <w:pPr>
        <w:pStyle w:val="Sinespaciado"/>
        <w:spacing w:line="360" w:lineRule="auto"/>
        <w:jc w:val="both"/>
        <w:rPr>
          <w:rFonts w:ascii="Times New Roman" w:hAnsi="Times New Roman" w:cs="Times New Roman"/>
          <w:i/>
          <w:iCs/>
        </w:rPr>
      </w:pPr>
      <w:r w:rsidRPr="0075113A">
        <w:rPr>
          <w:rStyle w:val="Cuerpodeltexto6Sincursiva"/>
          <w:rFonts w:ascii="Times New Roman" w:hAnsi="Times New Roman" w:cs="Times New Roman"/>
          <w:i w:val="0"/>
          <w:iCs w:val="0"/>
          <w:sz w:val="24"/>
          <w:szCs w:val="24"/>
        </w:rPr>
        <w:t xml:space="preserve">Declarar la </w:t>
      </w:r>
      <w:r w:rsidRPr="0075113A">
        <w:rPr>
          <w:rStyle w:val="Cuerpodeltexto6NegritaSincursiva"/>
          <w:rFonts w:ascii="Times New Roman" w:hAnsi="Times New Roman" w:cs="Times New Roman"/>
          <w:i w:val="0"/>
          <w:iCs w:val="0"/>
          <w:sz w:val="24"/>
          <w:szCs w:val="24"/>
        </w:rPr>
        <w:t>EXEQUIBILIDAD</w:t>
      </w:r>
      <w:r w:rsidRPr="0075113A">
        <w:rPr>
          <w:rStyle w:val="Cuerpodeltexto6Sincursiva"/>
          <w:rFonts w:ascii="Times New Roman" w:hAnsi="Times New Roman" w:cs="Times New Roman"/>
          <w:i w:val="0"/>
          <w:iCs w:val="0"/>
          <w:sz w:val="24"/>
          <w:szCs w:val="24"/>
        </w:rPr>
        <w:t xml:space="preserve">, por los cargos examinados en esta sentencia, de la expresión </w:t>
      </w:r>
      <w:r w:rsidRPr="0075113A">
        <w:rPr>
          <w:rFonts w:ascii="Times New Roman" w:hAnsi="Times New Roman" w:cs="Times New Roman"/>
          <w:i/>
          <w:iCs/>
        </w:rPr>
        <w:t>“No será aceptada la deducción por concepto de pago de regalías a vinculados económicos del exterior ni zonas francas, correspondiente a la explotación de un intangible formado en el territorio nacional”</w:t>
      </w:r>
      <w:r w:rsidRPr="0075113A">
        <w:rPr>
          <w:rStyle w:val="Cuerpodeltexto6NegritaSincursiva"/>
          <w:rFonts w:ascii="Times New Roman" w:hAnsi="Times New Roman" w:cs="Times New Roman"/>
          <w:i w:val="0"/>
          <w:iCs w:val="0"/>
          <w:sz w:val="24"/>
          <w:szCs w:val="24"/>
        </w:rPr>
        <w:t xml:space="preserve"> </w:t>
      </w:r>
      <w:r w:rsidRPr="0075113A">
        <w:rPr>
          <w:rStyle w:val="Cuerpodeltexto6Sincursiva"/>
          <w:rFonts w:ascii="Times New Roman" w:hAnsi="Times New Roman" w:cs="Times New Roman"/>
          <w:i w:val="0"/>
          <w:iCs w:val="0"/>
          <w:sz w:val="24"/>
          <w:szCs w:val="24"/>
        </w:rPr>
        <w:t xml:space="preserve">contenida en el artículo 70 de la Ley 1819 de 2016, </w:t>
      </w:r>
      <w:r w:rsidRPr="0075113A">
        <w:rPr>
          <w:rFonts w:ascii="Times New Roman" w:hAnsi="Times New Roman" w:cs="Times New Roman"/>
          <w:i/>
          <w:iCs/>
        </w:rPr>
        <w:t>“Por medio de la cual se adopta una reforma tributaria estructural, se fortalecen los mecanismos para la lucha contra la evasión y la elusión fiscal, y se dictan otras disposiciones”.</w:t>
      </w:r>
    </w:p>
    <w:p w14:paraId="27BB7CE5" w14:textId="77777777" w:rsidR="004D3E37" w:rsidRPr="0075113A" w:rsidRDefault="004D3E37" w:rsidP="0075113A">
      <w:pPr>
        <w:pStyle w:val="Sinespaciado"/>
        <w:spacing w:line="360" w:lineRule="auto"/>
        <w:jc w:val="both"/>
        <w:rPr>
          <w:rStyle w:val="Ttulo121"/>
          <w:rFonts w:ascii="Times New Roman" w:hAnsi="Times New Roman" w:cs="Times New Roman"/>
          <w:sz w:val="24"/>
          <w:szCs w:val="24"/>
        </w:rPr>
      </w:pPr>
      <w:bookmarkStart w:id="2" w:name="bookmark2"/>
    </w:p>
    <w:p w14:paraId="3294508F" w14:textId="627DF66C" w:rsidR="00FA0FDC" w:rsidRPr="0075113A" w:rsidRDefault="00792051" w:rsidP="0075113A">
      <w:pPr>
        <w:pStyle w:val="Sinespaciado"/>
        <w:numPr>
          <w:ilvl w:val="0"/>
          <w:numId w:val="2"/>
        </w:numPr>
        <w:spacing w:line="360" w:lineRule="auto"/>
        <w:jc w:val="both"/>
        <w:rPr>
          <w:rFonts w:ascii="Times New Roman" w:hAnsi="Times New Roman" w:cs="Times New Roman"/>
        </w:rPr>
      </w:pPr>
      <w:r w:rsidRPr="0075113A">
        <w:rPr>
          <w:rStyle w:val="Ttulo121"/>
          <w:rFonts w:ascii="Times New Roman" w:hAnsi="Times New Roman" w:cs="Times New Roman"/>
          <w:sz w:val="24"/>
          <w:szCs w:val="24"/>
        </w:rPr>
        <w:t>Síntesis de los fundamentos</w:t>
      </w:r>
      <w:bookmarkEnd w:id="2"/>
    </w:p>
    <w:p w14:paraId="616B68B7" w14:textId="77777777" w:rsidR="004D3E37" w:rsidRPr="0075113A" w:rsidRDefault="004D3E37" w:rsidP="0075113A">
      <w:pPr>
        <w:pStyle w:val="Sinespaciado"/>
        <w:spacing w:line="360" w:lineRule="auto"/>
        <w:jc w:val="both"/>
        <w:rPr>
          <w:rFonts w:ascii="Times New Roman" w:hAnsi="Times New Roman" w:cs="Times New Roman"/>
        </w:rPr>
      </w:pPr>
    </w:p>
    <w:p w14:paraId="7EE350BE" w14:textId="09461A4B" w:rsidR="00FA0FDC" w:rsidRPr="0075113A" w:rsidRDefault="00792051" w:rsidP="0075113A">
      <w:pPr>
        <w:pStyle w:val="Sinespaciado"/>
        <w:spacing w:line="360" w:lineRule="auto"/>
        <w:jc w:val="both"/>
        <w:rPr>
          <w:rFonts w:ascii="Times New Roman" w:hAnsi="Times New Roman" w:cs="Times New Roman"/>
        </w:rPr>
      </w:pPr>
      <w:r w:rsidRPr="0075113A">
        <w:rPr>
          <w:rFonts w:ascii="Times New Roman" w:hAnsi="Times New Roman" w:cs="Times New Roman"/>
        </w:rPr>
        <w:t xml:space="preserve">La Corte Constitucional se pronunció sobre cuatro cargos vinculados, en su orden, (i) con el derecho a la igualdad y el principio de equidad tributaria </w:t>
      </w:r>
      <w:r w:rsidRPr="0075113A">
        <w:rPr>
          <w:rStyle w:val="Cuerpodeltexto2Cursiva"/>
          <w:rFonts w:ascii="Times New Roman" w:hAnsi="Times New Roman" w:cs="Times New Roman"/>
          <w:b w:val="0"/>
          <w:bCs w:val="0"/>
          <w:sz w:val="24"/>
          <w:szCs w:val="24"/>
        </w:rPr>
        <w:t>(</w:t>
      </w:r>
      <w:r w:rsidRPr="0075113A">
        <w:rPr>
          <w:rStyle w:val="Cuerpodeltexto2Cursiva0"/>
          <w:rFonts w:ascii="Times New Roman" w:hAnsi="Times New Roman" w:cs="Times New Roman"/>
          <w:sz w:val="24"/>
          <w:szCs w:val="24"/>
        </w:rPr>
        <w:t>en su dimensión sistémica horizontal</w:t>
      </w:r>
      <w:r w:rsidRPr="0075113A">
        <w:rPr>
          <w:rStyle w:val="Cuerpodeltexto2Cursiva"/>
          <w:rFonts w:ascii="Times New Roman" w:hAnsi="Times New Roman" w:cs="Times New Roman"/>
          <w:b w:val="0"/>
          <w:bCs w:val="0"/>
          <w:sz w:val="24"/>
          <w:szCs w:val="24"/>
        </w:rPr>
        <w:t>);</w:t>
      </w:r>
      <w:r w:rsidRPr="0075113A">
        <w:rPr>
          <w:rFonts w:ascii="Times New Roman" w:hAnsi="Times New Roman" w:cs="Times New Roman"/>
        </w:rPr>
        <w:t xml:space="preserve"> (ii) con la capacidad contributiva y la justicia tributaria </w:t>
      </w:r>
      <w:r w:rsidRPr="0075113A">
        <w:rPr>
          <w:rStyle w:val="Cuerpodeltexto2Cursiva"/>
          <w:rFonts w:ascii="Times New Roman" w:hAnsi="Times New Roman" w:cs="Times New Roman"/>
          <w:b w:val="0"/>
          <w:bCs w:val="0"/>
          <w:sz w:val="24"/>
          <w:szCs w:val="24"/>
        </w:rPr>
        <w:t>(</w:t>
      </w:r>
      <w:r w:rsidRPr="0075113A">
        <w:rPr>
          <w:rStyle w:val="Cuerpodeltexto2Cursiva0"/>
          <w:rFonts w:ascii="Times New Roman" w:hAnsi="Times New Roman" w:cs="Times New Roman"/>
          <w:sz w:val="24"/>
          <w:szCs w:val="24"/>
        </w:rPr>
        <w:t>incluida la valoración individual de la equidad en el tributo</w:t>
      </w:r>
      <w:r w:rsidRPr="0075113A">
        <w:rPr>
          <w:rStyle w:val="Cuerpodeltexto2Cursiva"/>
          <w:rFonts w:ascii="Times New Roman" w:hAnsi="Times New Roman" w:cs="Times New Roman"/>
          <w:b w:val="0"/>
          <w:bCs w:val="0"/>
          <w:sz w:val="24"/>
          <w:szCs w:val="24"/>
        </w:rPr>
        <w:t>);</w:t>
      </w:r>
      <w:r w:rsidRPr="0075113A">
        <w:rPr>
          <w:rFonts w:ascii="Times New Roman" w:hAnsi="Times New Roman" w:cs="Times New Roman"/>
        </w:rPr>
        <w:t xml:space="preserve"> (iii) con la configuración de una supuesta omisión legislativa relativa; y </w:t>
      </w:r>
      <w:r w:rsidRPr="0075113A">
        <w:rPr>
          <w:rFonts w:ascii="Times New Roman" w:hAnsi="Times New Roman" w:cs="Times New Roman"/>
        </w:rPr>
        <w:lastRenderedPageBreak/>
        <w:t>(iv) con el principio de certeza como manifestación del principio de legalidad de los tributos.</w:t>
      </w:r>
    </w:p>
    <w:p w14:paraId="560FBC61" w14:textId="77777777" w:rsidR="004D3E37" w:rsidRPr="0075113A" w:rsidRDefault="004D3E37" w:rsidP="0075113A">
      <w:pPr>
        <w:pStyle w:val="Sinespaciado"/>
        <w:spacing w:line="360" w:lineRule="auto"/>
        <w:jc w:val="both"/>
        <w:rPr>
          <w:rFonts w:ascii="Times New Roman" w:hAnsi="Times New Roman" w:cs="Times New Roman"/>
        </w:rPr>
      </w:pPr>
    </w:p>
    <w:p w14:paraId="719D7E35" w14:textId="709D1A88" w:rsidR="00FA0FDC" w:rsidRPr="0075113A" w:rsidRDefault="00792051" w:rsidP="0075113A">
      <w:pPr>
        <w:pStyle w:val="Sinespaciado"/>
        <w:spacing w:line="360" w:lineRule="auto"/>
        <w:jc w:val="both"/>
        <w:rPr>
          <w:rFonts w:ascii="Times New Roman" w:hAnsi="Times New Roman" w:cs="Times New Roman"/>
        </w:rPr>
      </w:pPr>
      <w:r w:rsidRPr="0075113A">
        <w:rPr>
          <w:rFonts w:ascii="Times New Roman" w:hAnsi="Times New Roman" w:cs="Times New Roman"/>
        </w:rPr>
        <w:t>En cuanto al primer cargo, concluyó que el citado precepto legal se ajusta al derecho a la igualdad y a la dimensión sistémica de la equidad en su vertiente horizontal, teniendo en cuenta que la asimilación que se realiza por las actoras, frente a aquellos contribuyentes que también pagan regalías por intangibles formados en el exterior y frente a aquellos que asumen ese valor por la explotación de intangibles formados en Colombia a compañías no vinculadas, corresponden a situaciones no asimilables y, por ende, no susceptibles de comparación, pues la condición de cada contribuyente y de cada vínculo alegado son distintos.</w:t>
      </w:r>
    </w:p>
    <w:p w14:paraId="7B9E841F" w14:textId="77777777" w:rsidR="004D3E37" w:rsidRPr="0075113A" w:rsidRDefault="004D3E37" w:rsidP="0075113A">
      <w:pPr>
        <w:pStyle w:val="Sinespaciado"/>
        <w:spacing w:line="360" w:lineRule="auto"/>
        <w:jc w:val="both"/>
        <w:rPr>
          <w:rFonts w:ascii="Times New Roman" w:hAnsi="Times New Roman" w:cs="Times New Roman"/>
        </w:rPr>
      </w:pPr>
    </w:p>
    <w:p w14:paraId="41FFBAC1" w14:textId="34BAC183" w:rsidR="00FA0FDC" w:rsidRPr="0075113A" w:rsidRDefault="00792051" w:rsidP="0075113A">
      <w:pPr>
        <w:pStyle w:val="Sinespaciado"/>
        <w:spacing w:line="360" w:lineRule="auto"/>
        <w:jc w:val="both"/>
        <w:rPr>
          <w:rFonts w:ascii="Times New Roman" w:hAnsi="Times New Roman" w:cs="Times New Roman"/>
        </w:rPr>
      </w:pPr>
      <w:r w:rsidRPr="0075113A">
        <w:rPr>
          <w:rFonts w:ascii="Times New Roman" w:hAnsi="Times New Roman" w:cs="Times New Roman"/>
        </w:rPr>
        <w:t>En lo que respecta al segundo cargo, explicó que el control de constitucionalidad dirigido a determinar si el Legislador se ajustó o no a los principios de justicia y de equidad tributaria y, por ende, si se sujetó o no efectivamente a una base reveladora de la capacidad contributiva de las personas y de su posibilidad real de financiar el tributo en los términos del artículo 95.9 del Texto Superior, se encuentra sometido a la verificación de si la medida fiscal adoptada es acorde con el principio de razonabilidad. Al llevar a cabo dicho juicio en su intensidad leve, encontró que el fin buscado por la norma es constitucionalmente legítimo, además de que el medio empleado no está proscrito por la Carta y es idóneo para alcanzar dicho fin.</w:t>
      </w:r>
    </w:p>
    <w:p w14:paraId="1F6B58F3" w14:textId="77777777" w:rsidR="004D3E37" w:rsidRPr="0075113A" w:rsidRDefault="004D3E37" w:rsidP="0075113A">
      <w:pPr>
        <w:pStyle w:val="Sinespaciado"/>
        <w:spacing w:line="360" w:lineRule="auto"/>
        <w:jc w:val="both"/>
        <w:rPr>
          <w:rFonts w:ascii="Times New Roman" w:hAnsi="Times New Roman" w:cs="Times New Roman"/>
        </w:rPr>
      </w:pPr>
    </w:p>
    <w:p w14:paraId="0AAC4F90" w14:textId="0B3F88AF" w:rsidR="00FA0FDC" w:rsidRPr="0075113A" w:rsidRDefault="00792051" w:rsidP="0075113A">
      <w:pPr>
        <w:pStyle w:val="Sinespaciado"/>
        <w:spacing w:line="360" w:lineRule="auto"/>
        <w:jc w:val="both"/>
        <w:rPr>
          <w:rFonts w:ascii="Times New Roman" w:hAnsi="Times New Roman" w:cs="Times New Roman"/>
        </w:rPr>
      </w:pPr>
      <w:r w:rsidRPr="0075113A">
        <w:rPr>
          <w:rFonts w:ascii="Times New Roman" w:hAnsi="Times New Roman" w:cs="Times New Roman"/>
        </w:rPr>
        <w:t>En lo atinente al cargo por omisión legislativa relativa, consideró que, superado el argumento sobre la supuesta vulneración del derecho a la igualdad argüido por las demandantes, este cargo no podría prosperar toda vez que un componente necesario de este tipo de juicios es, precisamente, la constatación de un mandato expreso en términos de incluir al grupo que presuntamente el Legislador no incluyó.</w:t>
      </w:r>
    </w:p>
    <w:p w14:paraId="5AE56F65" w14:textId="77777777" w:rsidR="004D3E37" w:rsidRPr="0075113A" w:rsidRDefault="004D3E37" w:rsidP="0075113A">
      <w:pPr>
        <w:pStyle w:val="Sinespaciado"/>
        <w:spacing w:line="360" w:lineRule="auto"/>
        <w:jc w:val="both"/>
        <w:rPr>
          <w:rFonts w:ascii="Times New Roman" w:hAnsi="Times New Roman" w:cs="Times New Roman"/>
        </w:rPr>
      </w:pPr>
    </w:p>
    <w:p w14:paraId="0F750BCD" w14:textId="74401EAB" w:rsidR="00FA0FDC" w:rsidRPr="0075113A" w:rsidRDefault="00792051" w:rsidP="0075113A">
      <w:pPr>
        <w:pStyle w:val="Sinespaciado"/>
        <w:spacing w:line="360" w:lineRule="auto"/>
        <w:jc w:val="both"/>
        <w:rPr>
          <w:rFonts w:ascii="Times New Roman" w:hAnsi="Times New Roman" w:cs="Times New Roman"/>
        </w:rPr>
      </w:pPr>
      <w:r w:rsidRPr="0075113A">
        <w:rPr>
          <w:rFonts w:ascii="Times New Roman" w:hAnsi="Times New Roman" w:cs="Times New Roman"/>
        </w:rPr>
        <w:t xml:space="preserve">Finalmente, en lo que atañe al principio de certeza como expresión de la legalidad de los tributos, sostuvo que la expresión </w:t>
      </w:r>
      <w:r w:rsidRPr="0075113A">
        <w:rPr>
          <w:rStyle w:val="Cuerpodeltexto2Cursiva0"/>
          <w:rFonts w:ascii="Times New Roman" w:hAnsi="Times New Roman" w:cs="Times New Roman"/>
          <w:sz w:val="24"/>
          <w:szCs w:val="24"/>
        </w:rPr>
        <w:t xml:space="preserve">“intangible formado en el territorio nacional” </w:t>
      </w:r>
      <w:r w:rsidRPr="0075113A">
        <w:rPr>
          <w:rFonts w:ascii="Times New Roman" w:hAnsi="Times New Roman" w:cs="Times New Roman"/>
        </w:rPr>
        <w:t>es susceptible de ser aprehendida por su intérprete con el grado de claridad suficiente requerido para su aplicación.</w:t>
      </w:r>
    </w:p>
    <w:p w14:paraId="2EFB985F" w14:textId="77777777" w:rsidR="004D3E37" w:rsidRPr="0075113A" w:rsidRDefault="004D3E37" w:rsidP="0075113A">
      <w:pPr>
        <w:pStyle w:val="Sinespaciado"/>
        <w:spacing w:line="360" w:lineRule="auto"/>
        <w:jc w:val="both"/>
        <w:rPr>
          <w:rStyle w:val="Ttulo121"/>
          <w:rFonts w:ascii="Times New Roman" w:hAnsi="Times New Roman" w:cs="Times New Roman"/>
          <w:sz w:val="24"/>
          <w:szCs w:val="24"/>
        </w:rPr>
      </w:pPr>
      <w:bookmarkStart w:id="3" w:name="bookmark3"/>
    </w:p>
    <w:p w14:paraId="18526BB3" w14:textId="20182A00" w:rsidR="00FA0FDC" w:rsidRPr="0075113A" w:rsidRDefault="00792051" w:rsidP="0075113A">
      <w:pPr>
        <w:pStyle w:val="Sinespaciado"/>
        <w:numPr>
          <w:ilvl w:val="0"/>
          <w:numId w:val="2"/>
        </w:numPr>
        <w:spacing w:line="360" w:lineRule="auto"/>
        <w:jc w:val="both"/>
        <w:rPr>
          <w:rFonts w:ascii="Times New Roman" w:hAnsi="Times New Roman" w:cs="Times New Roman"/>
        </w:rPr>
      </w:pPr>
      <w:r w:rsidRPr="0075113A">
        <w:rPr>
          <w:rStyle w:val="Ttulo121"/>
          <w:rFonts w:ascii="Times New Roman" w:hAnsi="Times New Roman" w:cs="Times New Roman"/>
          <w:sz w:val="24"/>
          <w:szCs w:val="24"/>
        </w:rPr>
        <w:t>Salvamento de voto</w:t>
      </w:r>
      <w:bookmarkEnd w:id="3"/>
    </w:p>
    <w:p w14:paraId="6ACEF9EB" w14:textId="77777777" w:rsidR="004D3E37" w:rsidRPr="0075113A" w:rsidRDefault="004D3E37" w:rsidP="0075113A">
      <w:pPr>
        <w:pStyle w:val="Sinespaciado"/>
        <w:spacing w:line="360" w:lineRule="auto"/>
        <w:jc w:val="both"/>
        <w:rPr>
          <w:rFonts w:ascii="Times New Roman" w:hAnsi="Times New Roman" w:cs="Times New Roman"/>
        </w:rPr>
      </w:pPr>
    </w:p>
    <w:p w14:paraId="2CFA7CA8" w14:textId="35473E09" w:rsidR="00FA0FDC" w:rsidRPr="0075113A" w:rsidRDefault="00792051" w:rsidP="0075113A">
      <w:pPr>
        <w:pStyle w:val="Sinespaciado"/>
        <w:spacing w:line="360" w:lineRule="auto"/>
        <w:jc w:val="both"/>
        <w:rPr>
          <w:rFonts w:ascii="Times New Roman" w:hAnsi="Times New Roman" w:cs="Times New Roman"/>
        </w:rPr>
      </w:pPr>
      <w:r w:rsidRPr="0075113A">
        <w:rPr>
          <w:rFonts w:ascii="Times New Roman" w:hAnsi="Times New Roman" w:cs="Times New Roman"/>
        </w:rPr>
        <w:t xml:space="preserve">En relación con los distintos cargos que fueron planteados en la demanda y que dieron lugar a un fallo de fondo, el magistrado </w:t>
      </w:r>
      <w:r w:rsidR="004D3E37" w:rsidRPr="0075113A">
        <w:rPr>
          <w:rStyle w:val="Cuerpodeltexto2Negrita"/>
          <w:rFonts w:ascii="Times New Roman" w:hAnsi="Times New Roman" w:cs="Times New Roman"/>
          <w:sz w:val="24"/>
          <w:szCs w:val="24"/>
        </w:rPr>
        <w:t>A</w:t>
      </w:r>
      <w:r w:rsidR="004D3E37" w:rsidRPr="0075113A">
        <w:rPr>
          <w:rStyle w:val="Cuerpodeltexto29ptoNegritaVersales"/>
          <w:rFonts w:ascii="Times New Roman" w:hAnsi="Times New Roman" w:cs="Times New Roman"/>
          <w:sz w:val="24"/>
          <w:szCs w:val="24"/>
        </w:rPr>
        <w:t xml:space="preserve">LEJANDRO </w:t>
      </w:r>
      <w:r w:rsidR="004D3E37" w:rsidRPr="0075113A">
        <w:rPr>
          <w:rStyle w:val="Cuerpodeltexto2Negrita"/>
          <w:rFonts w:ascii="Times New Roman" w:hAnsi="Times New Roman" w:cs="Times New Roman"/>
          <w:sz w:val="24"/>
          <w:szCs w:val="24"/>
        </w:rPr>
        <w:t>L</w:t>
      </w:r>
      <w:r w:rsidR="004D3E37" w:rsidRPr="0075113A">
        <w:rPr>
          <w:rStyle w:val="Cuerpodeltexto29ptoNegritaVersales"/>
          <w:rFonts w:ascii="Times New Roman" w:hAnsi="Times New Roman" w:cs="Times New Roman"/>
          <w:sz w:val="24"/>
          <w:szCs w:val="24"/>
        </w:rPr>
        <w:t xml:space="preserve">INARES </w:t>
      </w:r>
      <w:r w:rsidR="004D3E37" w:rsidRPr="0075113A">
        <w:rPr>
          <w:rStyle w:val="Cuerpodeltexto2Negrita"/>
          <w:rFonts w:ascii="Times New Roman" w:hAnsi="Times New Roman" w:cs="Times New Roman"/>
          <w:sz w:val="24"/>
          <w:szCs w:val="24"/>
        </w:rPr>
        <w:t>C</w:t>
      </w:r>
      <w:r w:rsidR="004D3E37" w:rsidRPr="0075113A">
        <w:rPr>
          <w:rStyle w:val="Cuerpodeltexto29ptoNegritaVersales"/>
          <w:rFonts w:ascii="Times New Roman" w:hAnsi="Times New Roman" w:cs="Times New Roman"/>
          <w:sz w:val="24"/>
          <w:szCs w:val="24"/>
        </w:rPr>
        <w:t>ANTILLO</w:t>
      </w:r>
      <w:r w:rsidRPr="0075113A">
        <w:rPr>
          <w:rStyle w:val="Cuerpodeltexto29ptoNegritaVersales"/>
          <w:rFonts w:ascii="Times New Roman" w:hAnsi="Times New Roman" w:cs="Times New Roman"/>
          <w:sz w:val="24"/>
          <w:szCs w:val="24"/>
        </w:rPr>
        <w:t xml:space="preserve"> </w:t>
      </w:r>
      <w:r w:rsidRPr="0075113A">
        <w:rPr>
          <w:rFonts w:ascii="Times New Roman" w:hAnsi="Times New Roman" w:cs="Times New Roman"/>
        </w:rPr>
        <w:t>se apartó de lo resuelto por este Tribunal y manifestó su salvamento de voto, al considerar -en específico- que el precepto legal acusado sí vulnera la capacidad contributiva y los mandatos de justicia y equidad tributaria (CP art. 95.9). A su juicio, si bien esta Corporación ha señalado que las deducciones son de origen legal y no constitucional, de suerte que su consagración se somete al principio básico de autonomía legislativa, no es menos cierto que la Corte igualmente ha admitido que dicha atribución, a pesar de ser amplia, no es absoluta, por lo que debe ser ejercida dentro de los estrictos límites que se aplican tanto a los tributos individualmente considerados, como al sistema tributario en su conjunto.</w:t>
      </w:r>
    </w:p>
    <w:p w14:paraId="3A3F1BD2" w14:textId="77777777" w:rsidR="004D3E37" w:rsidRPr="0075113A" w:rsidRDefault="004D3E37" w:rsidP="0075113A">
      <w:pPr>
        <w:pStyle w:val="Sinespaciado"/>
        <w:spacing w:line="360" w:lineRule="auto"/>
        <w:jc w:val="both"/>
        <w:rPr>
          <w:rFonts w:ascii="Times New Roman" w:hAnsi="Times New Roman" w:cs="Times New Roman"/>
        </w:rPr>
      </w:pPr>
    </w:p>
    <w:p w14:paraId="208D0F93" w14:textId="7B36E114" w:rsidR="00FA0FDC" w:rsidRPr="0075113A" w:rsidRDefault="00792051" w:rsidP="0075113A">
      <w:pPr>
        <w:pStyle w:val="Sinespaciado"/>
        <w:spacing w:line="360" w:lineRule="auto"/>
        <w:jc w:val="both"/>
        <w:rPr>
          <w:rFonts w:ascii="Times New Roman" w:hAnsi="Times New Roman" w:cs="Times New Roman"/>
        </w:rPr>
      </w:pPr>
      <w:r w:rsidRPr="0075113A">
        <w:rPr>
          <w:rFonts w:ascii="Times New Roman" w:hAnsi="Times New Roman" w:cs="Times New Roman"/>
        </w:rPr>
        <w:t xml:space="preserve">En este contexto, para el magistrado </w:t>
      </w:r>
      <w:r w:rsidR="004D3E37" w:rsidRPr="0075113A">
        <w:rPr>
          <w:rStyle w:val="Cuerpodeltexto2Negrita"/>
          <w:rFonts w:ascii="Times New Roman" w:hAnsi="Times New Roman" w:cs="Times New Roman"/>
          <w:sz w:val="24"/>
          <w:szCs w:val="24"/>
        </w:rPr>
        <w:t>L</w:t>
      </w:r>
      <w:r w:rsidR="004D3E37" w:rsidRPr="0075113A">
        <w:rPr>
          <w:rStyle w:val="Cuerpodeltexto29ptoNegritaVersales"/>
          <w:rFonts w:ascii="Times New Roman" w:hAnsi="Times New Roman" w:cs="Times New Roman"/>
          <w:sz w:val="24"/>
          <w:szCs w:val="24"/>
        </w:rPr>
        <w:t>INARES</w:t>
      </w:r>
      <w:r w:rsidRPr="0075113A">
        <w:rPr>
          <w:rFonts w:ascii="Times New Roman" w:hAnsi="Times New Roman" w:cs="Times New Roman"/>
        </w:rPr>
        <w:t>, el control de constitucionalidad dirigido a determinar si el Legislador se ajustó o no a los principios de equidad y justicia tributaria y, por ende, si se sujetó o no efectivamente a una base reveladora de la capacidad contributiva de las personas y de su posibilidad real de pagar el tributo, se encuentra sometido a la verificación de si la medida fiscal adoptada es acorde con el principio de razonabilidad. Así lo ha admitido este Tribunal, de forma reiterada, entre otras, en las sentencias C-409 de 1996, C-734 de 2002, C-876 de 2002, C-250 de 2003, C-1003 de 2004, C-164 de 2014 y C-052 de 2016.</w:t>
      </w:r>
    </w:p>
    <w:p w14:paraId="6F07EFD7" w14:textId="77777777" w:rsidR="004D3E37" w:rsidRPr="0075113A" w:rsidRDefault="004D3E37" w:rsidP="0075113A">
      <w:pPr>
        <w:pStyle w:val="Sinespaciado"/>
        <w:spacing w:line="360" w:lineRule="auto"/>
        <w:jc w:val="both"/>
        <w:rPr>
          <w:rFonts w:ascii="Times New Roman" w:hAnsi="Times New Roman" w:cs="Times New Roman"/>
        </w:rPr>
      </w:pPr>
    </w:p>
    <w:p w14:paraId="5E9B4C5F" w14:textId="22D2867F" w:rsidR="00FA0FDC" w:rsidRPr="0075113A" w:rsidRDefault="00792051" w:rsidP="0075113A">
      <w:pPr>
        <w:pStyle w:val="Sinespaciado"/>
        <w:spacing w:line="360" w:lineRule="auto"/>
        <w:jc w:val="both"/>
        <w:rPr>
          <w:rFonts w:ascii="Times New Roman" w:hAnsi="Times New Roman" w:cs="Times New Roman"/>
        </w:rPr>
      </w:pPr>
      <w:r w:rsidRPr="0075113A">
        <w:rPr>
          <w:rFonts w:ascii="Times New Roman" w:hAnsi="Times New Roman" w:cs="Times New Roman"/>
        </w:rPr>
        <w:t xml:space="preserve">Siguiendo entonces </w:t>
      </w:r>
      <w:proofErr w:type="gramStart"/>
      <w:r w:rsidRPr="0075113A">
        <w:rPr>
          <w:rFonts w:ascii="Times New Roman" w:hAnsi="Times New Roman" w:cs="Times New Roman"/>
        </w:rPr>
        <w:t>el test</w:t>
      </w:r>
      <w:proofErr w:type="gramEnd"/>
      <w:r w:rsidRPr="0075113A">
        <w:rPr>
          <w:rFonts w:ascii="Times New Roman" w:hAnsi="Times New Roman" w:cs="Times New Roman"/>
        </w:rPr>
        <w:t xml:space="preserve"> leve que se ha impuesto en materia tributaria, a juicio del magistrado </w:t>
      </w:r>
      <w:r w:rsidR="004D3E37" w:rsidRPr="0075113A">
        <w:rPr>
          <w:rStyle w:val="Cuerpodeltexto2Negrita"/>
          <w:rFonts w:ascii="Times New Roman" w:hAnsi="Times New Roman" w:cs="Times New Roman"/>
          <w:sz w:val="24"/>
          <w:szCs w:val="24"/>
        </w:rPr>
        <w:t>L</w:t>
      </w:r>
      <w:r w:rsidR="004D3E37" w:rsidRPr="0075113A">
        <w:rPr>
          <w:rStyle w:val="Cuerpodeltexto29ptoNegritaVersales"/>
          <w:rFonts w:ascii="Times New Roman" w:hAnsi="Times New Roman" w:cs="Times New Roman"/>
          <w:sz w:val="24"/>
          <w:szCs w:val="24"/>
        </w:rPr>
        <w:t>INARES</w:t>
      </w:r>
      <w:r w:rsidRPr="0075113A">
        <w:rPr>
          <w:rStyle w:val="Cuerpodeltexto2Negrita"/>
          <w:rFonts w:ascii="Times New Roman" w:hAnsi="Times New Roman" w:cs="Times New Roman"/>
          <w:sz w:val="24"/>
          <w:szCs w:val="24"/>
        </w:rPr>
        <w:t xml:space="preserve">, </w:t>
      </w:r>
      <w:r w:rsidRPr="0075113A">
        <w:rPr>
          <w:rFonts w:ascii="Times New Roman" w:hAnsi="Times New Roman" w:cs="Times New Roman"/>
        </w:rPr>
        <w:t xml:space="preserve">la medida adoptada por la norma legal acusada no es </w:t>
      </w:r>
      <w:r w:rsidRPr="0075113A">
        <w:rPr>
          <w:rStyle w:val="Cuerpodeltexto2Cursiva0"/>
          <w:rFonts w:ascii="Times New Roman" w:hAnsi="Times New Roman" w:cs="Times New Roman"/>
          <w:sz w:val="24"/>
          <w:szCs w:val="24"/>
        </w:rPr>
        <w:t>idónea</w:t>
      </w:r>
      <w:r w:rsidRPr="0075113A">
        <w:rPr>
          <w:rStyle w:val="Cuerpodeltexto2Negrita"/>
          <w:rFonts w:ascii="Times New Roman" w:hAnsi="Times New Roman" w:cs="Times New Roman"/>
          <w:sz w:val="24"/>
          <w:szCs w:val="24"/>
        </w:rPr>
        <w:t xml:space="preserve"> </w:t>
      </w:r>
      <w:r w:rsidRPr="0075113A">
        <w:rPr>
          <w:rFonts w:ascii="Times New Roman" w:hAnsi="Times New Roman" w:cs="Times New Roman"/>
        </w:rPr>
        <w:t xml:space="preserve">ni </w:t>
      </w:r>
      <w:r w:rsidRPr="0075113A">
        <w:rPr>
          <w:rStyle w:val="Cuerpodeltexto2Cursiva0"/>
          <w:rFonts w:ascii="Times New Roman" w:hAnsi="Times New Roman" w:cs="Times New Roman"/>
          <w:sz w:val="24"/>
          <w:szCs w:val="24"/>
        </w:rPr>
        <w:t>adecuada</w:t>
      </w:r>
      <w:r w:rsidRPr="0075113A">
        <w:rPr>
          <w:rStyle w:val="Cuerpodeltexto2Negrita"/>
          <w:rFonts w:ascii="Times New Roman" w:hAnsi="Times New Roman" w:cs="Times New Roman"/>
          <w:sz w:val="24"/>
          <w:szCs w:val="24"/>
        </w:rPr>
        <w:t xml:space="preserve"> </w:t>
      </w:r>
      <w:r w:rsidRPr="0075113A">
        <w:rPr>
          <w:rFonts w:ascii="Times New Roman" w:hAnsi="Times New Roman" w:cs="Times New Roman"/>
        </w:rPr>
        <w:t xml:space="preserve">para conseguir los fines propuestos, por cuanto su ámbito de regulación no se dirige de manera directa y específica hacia la prevención de una operación constitutiva de elusión. Por el contrario, bajo una descripción amplia y genérica, se termina consagrando una prohibición de deducción de plano que excluye la posibilidad de tener como erogación para efectos determinar la renta líquida del impuesto sobre la renta, los pagos que se hacen por regalías entre vinculados económicos del territorio nacional hacia el exterior, por el solo y único hecho de que se haga uso de un </w:t>
      </w:r>
      <w:r w:rsidRPr="0075113A">
        <w:rPr>
          <w:rStyle w:val="Cuerpodeltexto2Cursiva0"/>
          <w:rFonts w:ascii="Times New Roman" w:hAnsi="Times New Roman" w:cs="Times New Roman"/>
          <w:sz w:val="24"/>
          <w:szCs w:val="24"/>
        </w:rPr>
        <w:t>intangible formado en Colombia</w:t>
      </w:r>
      <w:r w:rsidRPr="0075113A">
        <w:rPr>
          <w:rStyle w:val="Cuerpodeltexto2Cursiva"/>
          <w:rFonts w:ascii="Times New Roman" w:hAnsi="Times New Roman" w:cs="Times New Roman"/>
          <w:b w:val="0"/>
          <w:bCs w:val="0"/>
          <w:sz w:val="24"/>
          <w:szCs w:val="24"/>
        </w:rPr>
        <w:t>.</w:t>
      </w:r>
      <w:r w:rsidRPr="0075113A">
        <w:rPr>
          <w:rFonts w:ascii="Times New Roman" w:hAnsi="Times New Roman" w:cs="Times New Roman"/>
        </w:rPr>
        <w:t xml:space="preserve"> En este sentido, para el magistrado </w:t>
      </w:r>
      <w:r w:rsidR="004D3E37" w:rsidRPr="0075113A">
        <w:rPr>
          <w:rStyle w:val="Cuerpodeltexto2Negrita"/>
          <w:rFonts w:ascii="Times New Roman" w:hAnsi="Times New Roman" w:cs="Times New Roman"/>
          <w:sz w:val="24"/>
          <w:szCs w:val="24"/>
        </w:rPr>
        <w:t>L</w:t>
      </w:r>
      <w:r w:rsidR="004D3E37" w:rsidRPr="0075113A">
        <w:rPr>
          <w:rStyle w:val="Cuerpodeltexto29ptoNegritaVersales"/>
          <w:rFonts w:ascii="Times New Roman" w:hAnsi="Times New Roman" w:cs="Times New Roman"/>
          <w:sz w:val="24"/>
          <w:szCs w:val="24"/>
        </w:rPr>
        <w:t>INARES</w:t>
      </w:r>
      <w:r w:rsidRPr="0075113A">
        <w:rPr>
          <w:rFonts w:ascii="Times New Roman" w:hAnsi="Times New Roman" w:cs="Times New Roman"/>
        </w:rPr>
        <w:t xml:space="preserve">, no se brindó ningún elemento de juicio para entender por qué esa operación, que en realidad es la prevista en la norma </w:t>
      </w:r>
      <w:r w:rsidRPr="0075113A">
        <w:rPr>
          <w:rFonts w:ascii="Times New Roman" w:hAnsi="Times New Roman" w:cs="Times New Roman"/>
        </w:rPr>
        <w:lastRenderedPageBreak/>
        <w:t>acusada, constituye una práctica de elusión en todos los casos.</w:t>
      </w:r>
    </w:p>
    <w:p w14:paraId="06CDCDC7" w14:textId="66C2DF12" w:rsidR="00FA0FDC" w:rsidRPr="0075113A" w:rsidRDefault="00792051" w:rsidP="0075113A">
      <w:pPr>
        <w:pStyle w:val="Sinespaciado"/>
        <w:spacing w:line="360" w:lineRule="auto"/>
        <w:jc w:val="both"/>
        <w:rPr>
          <w:rFonts w:ascii="Times New Roman" w:hAnsi="Times New Roman" w:cs="Times New Roman"/>
        </w:rPr>
      </w:pPr>
      <w:r w:rsidRPr="0075113A">
        <w:rPr>
          <w:rFonts w:ascii="Times New Roman" w:hAnsi="Times New Roman" w:cs="Times New Roman"/>
        </w:rPr>
        <w:t xml:space="preserve">En efecto, en todas las explicaciones brindadas sobre el precepto demandado, se justificó que la práctica fiscal agresiva que se busca </w:t>
      </w:r>
      <w:proofErr w:type="gramStart"/>
      <w:r w:rsidRPr="0075113A">
        <w:rPr>
          <w:rFonts w:ascii="Times New Roman" w:hAnsi="Times New Roman" w:cs="Times New Roman"/>
        </w:rPr>
        <w:t>precaver,</w:t>
      </w:r>
      <w:proofErr w:type="gramEnd"/>
      <w:r w:rsidRPr="0075113A">
        <w:rPr>
          <w:rFonts w:ascii="Times New Roman" w:hAnsi="Times New Roman" w:cs="Times New Roman"/>
        </w:rPr>
        <w:t xml:space="preserve"> es aquella en la que alguien forma un intangible en el territorio nacional, incurriendo en gastos deducibles, y luego lo transfiere o cede (pagando impuestos) a una vinculada en el exterior o zona franca, reservando el uso del intangible a cambio de una regalía (con retención en la fuente). Se justificó que esa operación, a mediano y largo plazo, llevaba a que los </w:t>
      </w:r>
      <w:r w:rsidR="004D3E37" w:rsidRPr="0075113A">
        <w:rPr>
          <w:rFonts w:ascii="Times New Roman" w:hAnsi="Times New Roman" w:cs="Times New Roman"/>
        </w:rPr>
        <w:t>“</w:t>
      </w:r>
      <w:r w:rsidRPr="0075113A">
        <w:rPr>
          <w:rStyle w:val="Cuerpodeltexto2Cursiva0"/>
          <w:rFonts w:ascii="Times New Roman" w:hAnsi="Times New Roman" w:cs="Times New Roman"/>
          <w:sz w:val="24"/>
          <w:szCs w:val="24"/>
        </w:rPr>
        <w:t>beneficios tributarios”</w:t>
      </w:r>
      <w:r w:rsidRPr="0075113A">
        <w:rPr>
          <w:rStyle w:val="Cuerpodeltexto2Negrita"/>
          <w:rFonts w:ascii="Times New Roman" w:hAnsi="Times New Roman" w:cs="Times New Roman"/>
          <w:sz w:val="24"/>
          <w:szCs w:val="24"/>
        </w:rPr>
        <w:t xml:space="preserve"> </w:t>
      </w:r>
      <w:r w:rsidRPr="0075113A">
        <w:rPr>
          <w:rFonts w:ascii="Times New Roman" w:hAnsi="Times New Roman" w:cs="Times New Roman"/>
        </w:rPr>
        <w:t>no compensaran y fuesen mayores a la tributación final del contribuyente involucrado, calculando, específicamente, el valor del impuesto pagado por el intangible y la retención en la fuente sobre las regalías. A pesar de ello, en ningún aparte de la disposición legal impugnada se incluye como condición la venta, transferencia o licenciamiento previo de quien formó el intangible, y menos aún, que éste lo introduzca de nuevo al territorio nacional a cambio de un canon o regalía, como parte de una operación entre vinculados económicos.</w:t>
      </w:r>
    </w:p>
    <w:p w14:paraId="323DB396" w14:textId="77777777" w:rsidR="004D3E37" w:rsidRPr="0075113A" w:rsidRDefault="004D3E37" w:rsidP="0075113A">
      <w:pPr>
        <w:pStyle w:val="Sinespaciado"/>
        <w:spacing w:line="360" w:lineRule="auto"/>
        <w:jc w:val="both"/>
        <w:rPr>
          <w:rFonts w:ascii="Times New Roman" w:hAnsi="Times New Roman" w:cs="Times New Roman"/>
        </w:rPr>
      </w:pPr>
    </w:p>
    <w:p w14:paraId="205C0909" w14:textId="3DCE2973" w:rsidR="00FA0FDC" w:rsidRPr="0075113A" w:rsidRDefault="00792051" w:rsidP="0075113A">
      <w:pPr>
        <w:pStyle w:val="Sinespaciado"/>
        <w:spacing w:line="360" w:lineRule="auto"/>
        <w:jc w:val="both"/>
        <w:rPr>
          <w:rFonts w:ascii="Times New Roman" w:hAnsi="Times New Roman" w:cs="Times New Roman"/>
        </w:rPr>
      </w:pPr>
      <w:r w:rsidRPr="0075113A">
        <w:rPr>
          <w:rFonts w:ascii="Times New Roman" w:hAnsi="Times New Roman" w:cs="Times New Roman"/>
        </w:rPr>
        <w:t xml:space="preserve">Por lo anterior, a juicio del magistrado </w:t>
      </w:r>
      <w:r w:rsidR="004D3E37" w:rsidRPr="0075113A">
        <w:rPr>
          <w:rStyle w:val="Cuerpodeltexto2Negrita"/>
          <w:rFonts w:ascii="Times New Roman" w:hAnsi="Times New Roman" w:cs="Times New Roman"/>
          <w:sz w:val="24"/>
          <w:szCs w:val="24"/>
        </w:rPr>
        <w:t>L</w:t>
      </w:r>
      <w:r w:rsidR="004D3E37" w:rsidRPr="0075113A">
        <w:rPr>
          <w:rStyle w:val="Cuerpodeltexto29ptoNegritaVersales"/>
          <w:rFonts w:ascii="Times New Roman" w:hAnsi="Times New Roman" w:cs="Times New Roman"/>
          <w:sz w:val="24"/>
          <w:szCs w:val="24"/>
        </w:rPr>
        <w:t xml:space="preserve">INARES </w:t>
      </w:r>
      <w:r w:rsidR="004D3E37" w:rsidRPr="0075113A">
        <w:rPr>
          <w:rStyle w:val="Cuerpodeltexto2Negrita"/>
          <w:rFonts w:ascii="Times New Roman" w:hAnsi="Times New Roman" w:cs="Times New Roman"/>
          <w:sz w:val="24"/>
          <w:szCs w:val="24"/>
        </w:rPr>
        <w:t>C</w:t>
      </w:r>
      <w:r w:rsidR="004D3E37" w:rsidRPr="0075113A">
        <w:rPr>
          <w:rStyle w:val="Cuerpodeltexto29ptoNegritaVersales"/>
          <w:rFonts w:ascii="Times New Roman" w:hAnsi="Times New Roman" w:cs="Times New Roman"/>
          <w:sz w:val="24"/>
          <w:szCs w:val="24"/>
        </w:rPr>
        <w:t>ANTILLO</w:t>
      </w:r>
      <w:r w:rsidRPr="0075113A">
        <w:rPr>
          <w:rFonts w:ascii="Times New Roman" w:hAnsi="Times New Roman" w:cs="Times New Roman"/>
        </w:rPr>
        <w:t xml:space="preserve">, es claro que la medida prevista en la norma acusada no se ajusta al requisito de idoneidad o aptitud, que constituye la base </w:t>
      </w:r>
      <w:proofErr w:type="gramStart"/>
      <w:r w:rsidRPr="0075113A">
        <w:rPr>
          <w:rFonts w:ascii="Times New Roman" w:hAnsi="Times New Roman" w:cs="Times New Roman"/>
        </w:rPr>
        <w:t>del test</w:t>
      </w:r>
      <w:proofErr w:type="gramEnd"/>
      <w:r w:rsidRPr="0075113A">
        <w:rPr>
          <w:rFonts w:ascii="Times New Roman" w:hAnsi="Times New Roman" w:cs="Times New Roman"/>
        </w:rPr>
        <w:t xml:space="preserve"> leve de razonabilidad, ya que su contenido y sus ingredientes normativos no están realmente dirigidos a precaver la operación que se considera generadora de elusión. Lo que se está afectando, sin que exista una justa causa que lo autorice, es el proceso de creación de intangibles en Colombia </w:t>
      </w:r>
      <w:r w:rsidRPr="0075113A">
        <w:rPr>
          <w:rStyle w:val="Cuerpodeltexto2Cursiva"/>
          <w:rFonts w:ascii="Times New Roman" w:hAnsi="Times New Roman" w:cs="Times New Roman"/>
          <w:b w:val="0"/>
          <w:bCs w:val="0"/>
          <w:sz w:val="24"/>
          <w:szCs w:val="24"/>
        </w:rPr>
        <w:t>(</w:t>
      </w:r>
      <w:r w:rsidRPr="0075113A">
        <w:rPr>
          <w:rStyle w:val="Cuerpodeltexto2Cursiva0"/>
          <w:rFonts w:ascii="Times New Roman" w:hAnsi="Times New Roman" w:cs="Times New Roman"/>
          <w:sz w:val="24"/>
          <w:szCs w:val="24"/>
        </w:rPr>
        <w:t>patentes, marcas de fábrica o de comercio, modelos de utilidad, nombres comerciales, dibujos industriales, derechos de autor y conexos, etc.</w:t>
      </w:r>
      <w:r w:rsidRPr="0075113A">
        <w:rPr>
          <w:rStyle w:val="Cuerpodeltexto2Cursiva"/>
          <w:rFonts w:ascii="Times New Roman" w:hAnsi="Times New Roman" w:cs="Times New Roman"/>
          <w:b w:val="0"/>
          <w:bCs w:val="0"/>
          <w:sz w:val="24"/>
          <w:szCs w:val="24"/>
        </w:rPr>
        <w:t>),</w:t>
      </w:r>
      <w:r w:rsidRPr="0075113A">
        <w:rPr>
          <w:rFonts w:ascii="Times New Roman" w:hAnsi="Times New Roman" w:cs="Times New Roman"/>
        </w:rPr>
        <w:t xml:space="preserve"> pues emerge, con absoluta claridad, que la otra expresión de utilización de los intangibles, como lo es la autorización de uso o licenciamiento de un activo inmaterial </w:t>
      </w:r>
      <w:r w:rsidRPr="0075113A">
        <w:rPr>
          <w:rStyle w:val="Cuerpodeltexto2Cursiva0"/>
          <w:rFonts w:ascii="Times New Roman" w:hAnsi="Times New Roman" w:cs="Times New Roman"/>
          <w:sz w:val="24"/>
          <w:szCs w:val="24"/>
        </w:rPr>
        <w:t>formado en el exterior</w:t>
      </w:r>
      <w:r w:rsidRPr="0075113A">
        <w:rPr>
          <w:rStyle w:val="Cuerpodeltexto2Cursiva"/>
          <w:rFonts w:ascii="Times New Roman" w:hAnsi="Times New Roman" w:cs="Times New Roman"/>
          <w:b w:val="0"/>
          <w:bCs w:val="0"/>
          <w:sz w:val="24"/>
          <w:szCs w:val="24"/>
        </w:rPr>
        <w:t>,</w:t>
      </w:r>
      <w:r w:rsidRPr="0075113A">
        <w:rPr>
          <w:rFonts w:ascii="Times New Roman" w:hAnsi="Times New Roman" w:cs="Times New Roman"/>
        </w:rPr>
        <w:t xml:space="preserve"> entre esos mismos vinculados económicos, sí admite su deducibilidad, al tenor de lo previsto en el artículo 124 del Estatuto Tributario.</w:t>
      </w:r>
    </w:p>
    <w:p w14:paraId="3E4AB175" w14:textId="77777777" w:rsidR="004D3E37" w:rsidRPr="0075113A" w:rsidRDefault="004D3E37" w:rsidP="0075113A">
      <w:pPr>
        <w:pStyle w:val="Sinespaciado"/>
        <w:spacing w:line="360" w:lineRule="auto"/>
        <w:jc w:val="both"/>
        <w:rPr>
          <w:rFonts w:ascii="Times New Roman" w:hAnsi="Times New Roman" w:cs="Times New Roman"/>
        </w:rPr>
      </w:pPr>
    </w:p>
    <w:p w14:paraId="05D36B86" w14:textId="2918FA65" w:rsidR="00FA0FDC" w:rsidRPr="0075113A" w:rsidRDefault="00792051" w:rsidP="0075113A">
      <w:pPr>
        <w:pStyle w:val="Sinespaciado"/>
        <w:spacing w:line="360" w:lineRule="auto"/>
        <w:jc w:val="both"/>
        <w:rPr>
          <w:rFonts w:ascii="Times New Roman" w:hAnsi="Times New Roman" w:cs="Times New Roman"/>
        </w:rPr>
      </w:pPr>
      <w:r w:rsidRPr="0075113A">
        <w:rPr>
          <w:rFonts w:ascii="Times New Roman" w:hAnsi="Times New Roman" w:cs="Times New Roman"/>
        </w:rPr>
        <w:t xml:space="preserve">Las deducciones no son beneficios, por más de que la jurisprudencia haya usado erróneamente ese concepto; se trata de minoraciones estructurales que se restan o detraen de la renta para determinar la base gravable del impuesto, conforme a los mandatos de justicia y equidad, es decir, para hallar la verdadera capacidad contributiva. Eliminar de plano tal posibilidad, sin que </w:t>
      </w:r>
      <w:r w:rsidRPr="0075113A">
        <w:rPr>
          <w:rFonts w:ascii="Times New Roman" w:hAnsi="Times New Roman" w:cs="Times New Roman"/>
        </w:rPr>
        <w:lastRenderedPageBreak/>
        <w:t>exista un principio de razón suficiente, como acontece con la norma demandada, lo que conduce es a que se impongan tributos por fuera de la realidad económica del contribuyente, desconociendo el deber de ajustar las cargas impositivas a una base reveladora ajustada a derecho, a lo que es justo, a lo que es lo correcto, a lo que efectivamente constituyen ingresos y genera una renta depurada y susceptible de ser gravada.</w:t>
      </w:r>
    </w:p>
    <w:p w14:paraId="15CAA015" w14:textId="77777777" w:rsidR="004D3E37" w:rsidRPr="0075113A" w:rsidRDefault="004D3E37" w:rsidP="0075113A">
      <w:pPr>
        <w:pStyle w:val="Sinespaciado"/>
        <w:spacing w:line="360" w:lineRule="auto"/>
        <w:jc w:val="both"/>
        <w:rPr>
          <w:rFonts w:ascii="Times New Roman" w:hAnsi="Times New Roman" w:cs="Times New Roman"/>
        </w:rPr>
      </w:pPr>
    </w:p>
    <w:p w14:paraId="1AD0B193" w14:textId="0DD671FC" w:rsidR="00FA0FDC" w:rsidRDefault="00792051" w:rsidP="0075113A">
      <w:pPr>
        <w:pStyle w:val="Sinespaciado"/>
        <w:spacing w:line="360" w:lineRule="auto"/>
        <w:jc w:val="both"/>
        <w:rPr>
          <w:rFonts w:ascii="Times New Roman" w:hAnsi="Times New Roman" w:cs="Times New Roman"/>
        </w:rPr>
      </w:pPr>
      <w:r w:rsidRPr="0075113A">
        <w:rPr>
          <w:rFonts w:ascii="Times New Roman" w:hAnsi="Times New Roman" w:cs="Times New Roman"/>
        </w:rPr>
        <w:t xml:space="preserve">Por lo demás, para el magistrado </w:t>
      </w:r>
      <w:r w:rsidR="004D3E37" w:rsidRPr="0075113A">
        <w:rPr>
          <w:rStyle w:val="Cuerpodeltexto2Negrita"/>
          <w:rFonts w:ascii="Times New Roman" w:hAnsi="Times New Roman" w:cs="Times New Roman"/>
          <w:sz w:val="24"/>
          <w:szCs w:val="24"/>
        </w:rPr>
        <w:t>L</w:t>
      </w:r>
      <w:r w:rsidR="004D3E37" w:rsidRPr="0075113A">
        <w:rPr>
          <w:rStyle w:val="Cuerpodeltexto29ptoNegritaVersales"/>
          <w:rFonts w:ascii="Times New Roman" w:hAnsi="Times New Roman" w:cs="Times New Roman"/>
          <w:sz w:val="24"/>
          <w:szCs w:val="24"/>
        </w:rPr>
        <w:t>INARES</w:t>
      </w:r>
      <w:r w:rsidRPr="0075113A">
        <w:rPr>
          <w:rFonts w:ascii="Times New Roman" w:hAnsi="Times New Roman" w:cs="Times New Roman"/>
        </w:rPr>
        <w:t xml:space="preserve">, el precepto acusado solo conduce a desincentivar </w:t>
      </w:r>
      <w:r w:rsidRPr="0075113A">
        <w:rPr>
          <w:rStyle w:val="Cuerpodeltexto2Cursiva0"/>
          <w:rFonts w:ascii="Times New Roman" w:hAnsi="Times New Roman" w:cs="Times New Roman"/>
          <w:sz w:val="24"/>
          <w:szCs w:val="24"/>
        </w:rPr>
        <w:t>ex ante</w:t>
      </w:r>
      <w:r w:rsidRPr="0075113A">
        <w:rPr>
          <w:rStyle w:val="Cuerpodeltexto2Negrita"/>
          <w:rFonts w:ascii="Times New Roman" w:hAnsi="Times New Roman" w:cs="Times New Roman"/>
          <w:sz w:val="24"/>
          <w:szCs w:val="24"/>
        </w:rPr>
        <w:t xml:space="preserve"> </w:t>
      </w:r>
      <w:r w:rsidRPr="0075113A">
        <w:rPr>
          <w:rFonts w:ascii="Times New Roman" w:hAnsi="Times New Roman" w:cs="Times New Roman"/>
        </w:rPr>
        <w:t>la formación de intangibles en Colombia, aunado a que presume la mala fe del contribuyente que utiliza esos activos inmateriales dentro de esquemas de vinculación económica, que implican el pago de regalías al exterior o a zonas francas. Incluso, se renuncia de antemano a las funciones de fiscalización que tiene la DIAN, entre ellas, las derivadas del régimen de precios de transferencia. Todo lo anterior en una clara violación de la justicia y equidad tributaria, ya que, por fuera del sustento básico que brinda el principio de razonabilidad, se termina imponiendo una base gravable que no corresponde con la realidad económica del contribuyente.</w:t>
      </w:r>
    </w:p>
    <w:p w14:paraId="76DF9866" w14:textId="67C256C9" w:rsidR="0075113A" w:rsidRPr="0075113A" w:rsidRDefault="0075113A" w:rsidP="0075113A">
      <w:pPr>
        <w:pStyle w:val="Sinespaciado"/>
        <w:spacing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sectPr w:rsidR="0075113A" w:rsidRPr="0075113A" w:rsidSect="004D3E37">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AB18E" w14:textId="77777777" w:rsidR="00F278E0" w:rsidRDefault="00F278E0">
      <w:r>
        <w:separator/>
      </w:r>
    </w:p>
  </w:endnote>
  <w:endnote w:type="continuationSeparator" w:id="0">
    <w:p w14:paraId="41838D1F" w14:textId="77777777" w:rsidR="00F278E0" w:rsidRDefault="00F2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9117C" w14:textId="77777777" w:rsidR="00F278E0" w:rsidRDefault="00F278E0"/>
  </w:footnote>
  <w:footnote w:type="continuationSeparator" w:id="0">
    <w:p w14:paraId="2044627B" w14:textId="77777777" w:rsidR="00F278E0" w:rsidRDefault="00F278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A50BF"/>
    <w:multiLevelType w:val="multilevel"/>
    <w:tmpl w:val="DAE4D8F2"/>
    <w:lvl w:ilvl="0">
      <w:start w:val="1"/>
      <w:numFmt w:val="decimal"/>
      <w:lvlText w:val="%1."/>
      <w:lvlJc w:val="left"/>
      <w:rPr>
        <w:rFonts w:ascii="Century Gothic" w:eastAsia="Century Gothic" w:hAnsi="Century Gothic" w:cs="Century Gothic"/>
        <w:b/>
        <w:bCs/>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FB444E"/>
    <w:multiLevelType w:val="hybridMultilevel"/>
    <w:tmpl w:val="655AB556"/>
    <w:lvl w:ilvl="0" w:tplc="EBBC2D4E">
      <w:start w:val="1"/>
      <w:numFmt w:val="decimal"/>
      <w:lvlText w:val="%1."/>
      <w:lvlJc w:val="left"/>
      <w:pPr>
        <w:ind w:left="720" w:hanging="360"/>
      </w:pPr>
      <w:rPr>
        <w:rFonts w:eastAsia="Century Gothic" w:cs="Century Gothic"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DC"/>
    <w:rsid w:val="004D3E37"/>
    <w:rsid w:val="00672229"/>
    <w:rsid w:val="0075113A"/>
    <w:rsid w:val="007535AF"/>
    <w:rsid w:val="00792051"/>
    <w:rsid w:val="00F278E0"/>
    <w:rsid w:val="00F6442A"/>
    <w:rsid w:val="00FA0F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5B3B"/>
  <w15:docId w15:val="{ABD46ED4-9018-4E15-B308-057FDB63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7">
    <w:name w:val="Cuerpo del texto (7)_"/>
    <w:basedOn w:val="Fuentedeprrafopredeter"/>
    <w:link w:val="Cuerpodeltexto70"/>
    <w:rPr>
      <w:rFonts w:ascii="Century Gothic" w:eastAsia="Century Gothic" w:hAnsi="Century Gothic" w:cs="Century Gothic"/>
      <w:b/>
      <w:bCs/>
      <w:i w:val="0"/>
      <w:iCs w:val="0"/>
      <w:smallCaps w:val="0"/>
      <w:strike w:val="0"/>
      <w:sz w:val="18"/>
      <w:szCs w:val="18"/>
      <w:u w:val="none"/>
    </w:rPr>
  </w:style>
  <w:style w:type="character" w:customStyle="1" w:styleId="Cuerpodeltexto7105pto">
    <w:name w:val="Cuerpo del texto (7) + 10;5 pto"/>
    <w:basedOn w:val="Cuerpodeltexto7"/>
    <w:rPr>
      <w:rFonts w:ascii="Century Gothic" w:eastAsia="Century Gothic" w:hAnsi="Century Gothic" w:cs="Century Gothic"/>
      <w:b/>
      <w:bCs/>
      <w:i w:val="0"/>
      <w:iCs w:val="0"/>
      <w:smallCaps w:val="0"/>
      <w:strike w:val="0"/>
      <w:color w:val="000000"/>
      <w:spacing w:val="0"/>
      <w:w w:val="100"/>
      <w:position w:val="0"/>
      <w:sz w:val="21"/>
      <w:szCs w:val="21"/>
      <w:u w:val="none"/>
      <w:lang w:val="es-ES" w:eastAsia="es-ES" w:bidi="es-ES"/>
    </w:rPr>
  </w:style>
  <w:style w:type="character" w:customStyle="1" w:styleId="Cuerpodeltexto7Versales">
    <w:name w:val="Cuerpo del texto (7) + Versales"/>
    <w:basedOn w:val="Cuerpodeltexto7"/>
    <w:rPr>
      <w:rFonts w:ascii="Century Gothic" w:eastAsia="Century Gothic" w:hAnsi="Century Gothic" w:cs="Century Gothic"/>
      <w:b/>
      <w:bCs/>
      <w:i w:val="0"/>
      <w:iCs w:val="0"/>
      <w:smallCaps/>
      <w:strike w:val="0"/>
      <w:color w:val="000000"/>
      <w:spacing w:val="0"/>
      <w:w w:val="100"/>
      <w:position w:val="0"/>
      <w:sz w:val="18"/>
      <w:szCs w:val="18"/>
      <w:u w:val="none"/>
      <w:lang w:val="es-ES" w:eastAsia="es-ES" w:bidi="es-ES"/>
    </w:rPr>
  </w:style>
  <w:style w:type="character" w:customStyle="1" w:styleId="Cuerpodeltexto71">
    <w:name w:val="Cuerpo del texto (7)"/>
    <w:basedOn w:val="Cuerpodeltexto7"/>
    <w:rPr>
      <w:rFonts w:ascii="Century Gothic" w:eastAsia="Century Gothic" w:hAnsi="Century Gothic" w:cs="Century Gothic"/>
      <w:b/>
      <w:bCs/>
      <w:i w:val="0"/>
      <w:iCs w:val="0"/>
      <w:smallCaps w:val="0"/>
      <w:strike w:val="0"/>
      <w:color w:val="000000"/>
      <w:spacing w:val="0"/>
      <w:w w:val="100"/>
      <w:position w:val="0"/>
      <w:sz w:val="18"/>
      <w:szCs w:val="18"/>
      <w:u w:val="none"/>
      <w:lang w:val="es-ES" w:eastAsia="es-ES" w:bidi="es-ES"/>
    </w:rPr>
  </w:style>
  <w:style w:type="character" w:customStyle="1" w:styleId="Cuerpodeltexto8">
    <w:name w:val="Cuerpo del texto (8)_"/>
    <w:basedOn w:val="Fuentedeprrafopredeter"/>
    <w:link w:val="Cuerpodeltexto80"/>
    <w:rPr>
      <w:rFonts w:ascii="Century Gothic" w:eastAsia="Century Gothic" w:hAnsi="Century Gothic" w:cs="Century Gothic"/>
      <w:b/>
      <w:bCs/>
      <w:i w:val="0"/>
      <w:iCs w:val="0"/>
      <w:smallCaps w:val="0"/>
      <w:strike w:val="0"/>
      <w:sz w:val="21"/>
      <w:szCs w:val="21"/>
      <w:u w:val="none"/>
    </w:rPr>
  </w:style>
  <w:style w:type="character" w:customStyle="1" w:styleId="Cuerpodeltexto813pto">
    <w:name w:val="Cuerpo del texto (8) + 13 pto"/>
    <w:basedOn w:val="Cuerpodeltexto8"/>
    <w:rPr>
      <w:rFonts w:ascii="Century Gothic" w:eastAsia="Century Gothic" w:hAnsi="Century Gothic" w:cs="Century Gothic"/>
      <w:b/>
      <w:bCs/>
      <w:i w:val="0"/>
      <w:iCs w:val="0"/>
      <w:smallCaps w:val="0"/>
      <w:strike w:val="0"/>
      <w:color w:val="000000"/>
      <w:spacing w:val="0"/>
      <w:w w:val="100"/>
      <w:position w:val="0"/>
      <w:sz w:val="26"/>
      <w:szCs w:val="26"/>
      <w:u w:val="none"/>
      <w:lang w:val="es-ES" w:eastAsia="es-ES" w:bidi="es-ES"/>
    </w:rPr>
  </w:style>
  <w:style w:type="character" w:customStyle="1" w:styleId="Cuerpodeltexto89pto">
    <w:name w:val="Cuerpo del texto (8) + 9 pto"/>
    <w:basedOn w:val="Cuerpodeltexto8"/>
    <w:rPr>
      <w:rFonts w:ascii="Century Gothic" w:eastAsia="Century Gothic" w:hAnsi="Century Gothic" w:cs="Century Gothic"/>
      <w:b/>
      <w:bCs/>
      <w:i w:val="0"/>
      <w:iCs w:val="0"/>
      <w:smallCaps w:val="0"/>
      <w:strike w:val="0"/>
      <w:color w:val="000000"/>
      <w:spacing w:val="0"/>
      <w:w w:val="100"/>
      <w:position w:val="0"/>
      <w:sz w:val="18"/>
      <w:szCs w:val="18"/>
      <w:u w:val="none"/>
      <w:lang w:val="es-ES" w:eastAsia="es-ES" w:bidi="es-ES"/>
    </w:rPr>
  </w:style>
  <w:style w:type="character" w:customStyle="1" w:styleId="Cuerpodeltexto2">
    <w:name w:val="Cuerpo del texto (2)_"/>
    <w:basedOn w:val="Fuentedeprrafopredeter"/>
    <w:link w:val="Cuerpodeltexto20"/>
    <w:rPr>
      <w:rFonts w:ascii="Century Gothic" w:eastAsia="Century Gothic" w:hAnsi="Century Gothic" w:cs="Century Gothic"/>
      <w:b w:val="0"/>
      <w:bCs w:val="0"/>
      <w:i w:val="0"/>
      <w:iCs w:val="0"/>
      <w:smallCaps w:val="0"/>
      <w:strike w:val="0"/>
      <w:sz w:val="21"/>
      <w:szCs w:val="21"/>
      <w:u w:val="none"/>
    </w:rPr>
  </w:style>
  <w:style w:type="character" w:customStyle="1" w:styleId="Ttulo12">
    <w:name w:val="Título #1 (2)_"/>
    <w:basedOn w:val="Fuentedeprrafopredeter"/>
    <w:link w:val="Ttulo120"/>
    <w:rPr>
      <w:rFonts w:ascii="Century Gothic" w:eastAsia="Century Gothic" w:hAnsi="Century Gothic" w:cs="Century Gothic"/>
      <w:b/>
      <w:bCs/>
      <w:i w:val="0"/>
      <w:iCs w:val="0"/>
      <w:smallCaps w:val="0"/>
      <w:strike w:val="0"/>
      <w:sz w:val="21"/>
      <w:szCs w:val="21"/>
      <w:u w:val="none"/>
    </w:rPr>
  </w:style>
  <w:style w:type="character" w:customStyle="1" w:styleId="Ttulo121">
    <w:name w:val="Título #1 (2)"/>
    <w:basedOn w:val="Ttulo12"/>
    <w:rPr>
      <w:rFonts w:ascii="Century Gothic" w:eastAsia="Century Gothic" w:hAnsi="Century Gothic" w:cs="Century Gothic"/>
      <w:b/>
      <w:bCs/>
      <w:i w:val="0"/>
      <w:iCs w:val="0"/>
      <w:smallCaps w:val="0"/>
      <w:strike w:val="0"/>
      <w:color w:val="000000"/>
      <w:spacing w:val="0"/>
      <w:w w:val="100"/>
      <w:position w:val="0"/>
      <w:sz w:val="21"/>
      <w:szCs w:val="21"/>
      <w:u w:val="none"/>
      <w:lang w:val="es-ES" w:eastAsia="es-ES" w:bidi="es-ES"/>
    </w:rPr>
  </w:style>
  <w:style w:type="character" w:customStyle="1" w:styleId="Cuerpodeltexto4">
    <w:name w:val="Cuerpo del texto (4)_"/>
    <w:basedOn w:val="Fuentedeprrafopredeter"/>
    <w:link w:val="Cuerpodeltexto40"/>
    <w:rPr>
      <w:rFonts w:ascii="Century Gothic" w:eastAsia="Century Gothic" w:hAnsi="Century Gothic" w:cs="Century Gothic"/>
      <w:b w:val="0"/>
      <w:bCs w:val="0"/>
      <w:i w:val="0"/>
      <w:iCs w:val="0"/>
      <w:smallCaps w:val="0"/>
      <w:strike w:val="0"/>
      <w:sz w:val="18"/>
      <w:szCs w:val="18"/>
      <w:u w:val="none"/>
    </w:rPr>
  </w:style>
  <w:style w:type="character" w:customStyle="1" w:styleId="Cuerpodeltexto9">
    <w:name w:val="Cuerpo del texto (9)_"/>
    <w:basedOn w:val="Fuentedeprrafopredeter"/>
    <w:link w:val="Cuerpodeltexto90"/>
    <w:rPr>
      <w:rFonts w:ascii="Century Gothic" w:eastAsia="Century Gothic" w:hAnsi="Century Gothic" w:cs="Century Gothic"/>
      <w:b w:val="0"/>
      <w:bCs w:val="0"/>
      <w:i/>
      <w:iCs/>
      <w:smallCaps w:val="0"/>
      <w:strike w:val="0"/>
      <w:sz w:val="18"/>
      <w:szCs w:val="18"/>
      <w:u w:val="none"/>
    </w:rPr>
  </w:style>
  <w:style w:type="character" w:customStyle="1" w:styleId="Cuerpodeltexto4Negrita">
    <w:name w:val="Cuerpo del texto (4) + Negrita"/>
    <w:basedOn w:val="Cuerpodeltexto4"/>
    <w:rPr>
      <w:rFonts w:ascii="Century Gothic" w:eastAsia="Century Gothic" w:hAnsi="Century Gothic" w:cs="Century Gothic"/>
      <w:b/>
      <w:bCs/>
      <w:i w:val="0"/>
      <w:iCs w:val="0"/>
      <w:smallCaps w:val="0"/>
      <w:strike w:val="0"/>
      <w:color w:val="000000"/>
      <w:spacing w:val="0"/>
      <w:w w:val="100"/>
      <w:position w:val="0"/>
      <w:sz w:val="18"/>
      <w:szCs w:val="18"/>
      <w:u w:val="none"/>
      <w:lang w:val="es-ES" w:eastAsia="es-ES" w:bidi="es-ES"/>
    </w:rPr>
  </w:style>
  <w:style w:type="character" w:customStyle="1" w:styleId="Cuerpodeltexto7SinnegritaCursiva">
    <w:name w:val="Cuerpo del texto (7) + Sin negrita;Cursiva"/>
    <w:basedOn w:val="Cuerpodeltexto7"/>
    <w:rPr>
      <w:rFonts w:ascii="Century Gothic" w:eastAsia="Century Gothic" w:hAnsi="Century Gothic" w:cs="Century Gothic"/>
      <w:b/>
      <w:bCs/>
      <w:i/>
      <w:iCs/>
      <w:smallCaps w:val="0"/>
      <w:strike w:val="0"/>
      <w:color w:val="000000"/>
      <w:spacing w:val="0"/>
      <w:w w:val="100"/>
      <w:position w:val="0"/>
      <w:sz w:val="18"/>
      <w:szCs w:val="18"/>
      <w:u w:val="none"/>
      <w:lang w:val="es-ES" w:eastAsia="es-ES" w:bidi="es-ES"/>
    </w:rPr>
  </w:style>
  <w:style w:type="character" w:customStyle="1" w:styleId="Cuerpodeltexto72">
    <w:name w:val="Cuerpo del texto (7)"/>
    <w:basedOn w:val="Cuerpodeltexto7"/>
    <w:rPr>
      <w:rFonts w:ascii="Century Gothic" w:eastAsia="Century Gothic" w:hAnsi="Century Gothic" w:cs="Century Gothic"/>
      <w:b/>
      <w:bCs/>
      <w:i w:val="0"/>
      <w:iCs w:val="0"/>
      <w:smallCaps w:val="0"/>
      <w:strike w:val="0"/>
      <w:color w:val="000000"/>
      <w:spacing w:val="0"/>
      <w:w w:val="100"/>
      <w:position w:val="0"/>
      <w:sz w:val="18"/>
      <w:szCs w:val="18"/>
      <w:u w:val="single"/>
      <w:lang w:val="es-ES" w:eastAsia="es-ES" w:bidi="es-ES"/>
    </w:rPr>
  </w:style>
  <w:style w:type="character" w:customStyle="1" w:styleId="Cuerpodeltexto6">
    <w:name w:val="Cuerpo del texto (6)_"/>
    <w:basedOn w:val="Fuentedeprrafopredeter"/>
    <w:link w:val="Cuerpodeltexto60"/>
    <w:rPr>
      <w:rFonts w:ascii="Century Gothic" w:eastAsia="Century Gothic" w:hAnsi="Century Gothic" w:cs="Century Gothic"/>
      <w:b w:val="0"/>
      <w:bCs w:val="0"/>
      <w:i/>
      <w:iCs/>
      <w:smallCaps w:val="0"/>
      <w:strike w:val="0"/>
      <w:sz w:val="21"/>
      <w:szCs w:val="21"/>
      <w:u w:val="none"/>
    </w:rPr>
  </w:style>
  <w:style w:type="character" w:customStyle="1" w:styleId="Cuerpodeltexto6Sincursiva">
    <w:name w:val="Cuerpo del texto (6) + Sin cursiva"/>
    <w:basedOn w:val="Cuerpodeltexto6"/>
    <w:rPr>
      <w:rFonts w:ascii="Century Gothic" w:eastAsia="Century Gothic" w:hAnsi="Century Gothic" w:cs="Century Gothic"/>
      <w:b w:val="0"/>
      <w:bCs w:val="0"/>
      <w:i/>
      <w:iCs/>
      <w:smallCaps w:val="0"/>
      <w:strike w:val="0"/>
      <w:color w:val="000000"/>
      <w:spacing w:val="0"/>
      <w:w w:val="100"/>
      <w:position w:val="0"/>
      <w:sz w:val="21"/>
      <w:szCs w:val="21"/>
      <w:u w:val="none"/>
      <w:lang w:val="es-ES" w:eastAsia="es-ES" w:bidi="es-ES"/>
    </w:rPr>
  </w:style>
  <w:style w:type="character" w:customStyle="1" w:styleId="Cuerpodeltexto6NegritaSincursiva">
    <w:name w:val="Cuerpo del texto (6) + Negrita;Sin cursiva"/>
    <w:basedOn w:val="Cuerpodeltexto6"/>
    <w:rPr>
      <w:rFonts w:ascii="Century Gothic" w:eastAsia="Century Gothic" w:hAnsi="Century Gothic" w:cs="Century Gothic"/>
      <w:b/>
      <w:bCs/>
      <w:i/>
      <w:iCs/>
      <w:smallCaps w:val="0"/>
      <w:strike w:val="0"/>
      <w:color w:val="000000"/>
      <w:spacing w:val="0"/>
      <w:w w:val="100"/>
      <w:position w:val="0"/>
      <w:sz w:val="21"/>
      <w:szCs w:val="21"/>
      <w:u w:val="none"/>
      <w:lang w:val="es-ES" w:eastAsia="es-ES" w:bidi="es-ES"/>
    </w:rPr>
  </w:style>
  <w:style w:type="character" w:customStyle="1" w:styleId="Cuerpodeltexto2Cursiva">
    <w:name w:val="Cuerpo del texto (2) + Cursiva"/>
    <w:basedOn w:val="Cuerpodeltexto2"/>
    <w:rPr>
      <w:rFonts w:ascii="Century Gothic" w:eastAsia="Century Gothic" w:hAnsi="Century Gothic" w:cs="Century Gothic"/>
      <w:b/>
      <w:bCs/>
      <w:i/>
      <w:iCs/>
      <w:smallCaps w:val="0"/>
      <w:strike w:val="0"/>
      <w:color w:val="000000"/>
      <w:spacing w:val="0"/>
      <w:w w:val="100"/>
      <w:position w:val="0"/>
      <w:sz w:val="21"/>
      <w:szCs w:val="21"/>
      <w:u w:val="none"/>
      <w:lang w:val="es-ES" w:eastAsia="es-ES" w:bidi="es-ES"/>
    </w:rPr>
  </w:style>
  <w:style w:type="character" w:customStyle="1" w:styleId="Cuerpodeltexto2Cursiva0">
    <w:name w:val="Cuerpo del texto (2) + Cursiva"/>
    <w:basedOn w:val="Cuerpodeltexto2"/>
    <w:rPr>
      <w:rFonts w:ascii="Century Gothic" w:eastAsia="Century Gothic" w:hAnsi="Century Gothic" w:cs="Century Gothic"/>
      <w:b w:val="0"/>
      <w:bCs w:val="0"/>
      <w:i/>
      <w:iCs/>
      <w:smallCaps w:val="0"/>
      <w:strike w:val="0"/>
      <w:color w:val="000000"/>
      <w:spacing w:val="0"/>
      <w:w w:val="100"/>
      <w:position w:val="0"/>
      <w:sz w:val="21"/>
      <w:szCs w:val="21"/>
      <w:u w:val="none"/>
      <w:lang w:val="es-ES" w:eastAsia="es-ES" w:bidi="es-ES"/>
    </w:rPr>
  </w:style>
  <w:style w:type="character" w:customStyle="1" w:styleId="Cuerpodeltexto2Negrita">
    <w:name w:val="Cuerpo del texto (2) + Negrita"/>
    <w:basedOn w:val="Cuerpodeltexto2"/>
    <w:rPr>
      <w:rFonts w:ascii="Century Gothic" w:eastAsia="Century Gothic" w:hAnsi="Century Gothic" w:cs="Century Gothic"/>
      <w:b/>
      <w:bCs/>
      <w:i w:val="0"/>
      <w:iCs w:val="0"/>
      <w:smallCaps w:val="0"/>
      <w:strike w:val="0"/>
      <w:color w:val="000000"/>
      <w:spacing w:val="0"/>
      <w:w w:val="100"/>
      <w:position w:val="0"/>
      <w:sz w:val="21"/>
      <w:szCs w:val="21"/>
      <w:u w:val="none"/>
      <w:lang w:val="es-ES" w:eastAsia="es-ES" w:bidi="es-ES"/>
    </w:rPr>
  </w:style>
  <w:style w:type="character" w:customStyle="1" w:styleId="Cuerpodeltexto29ptoNegritaVersales">
    <w:name w:val="Cuerpo del texto (2) + 9 pto;Negrita;Versales"/>
    <w:basedOn w:val="Cuerpodeltexto2"/>
    <w:rPr>
      <w:rFonts w:ascii="Century Gothic" w:eastAsia="Century Gothic" w:hAnsi="Century Gothic" w:cs="Century Gothic"/>
      <w:b/>
      <w:bCs/>
      <w:i w:val="0"/>
      <w:iCs w:val="0"/>
      <w:smallCaps/>
      <w:strike w:val="0"/>
      <w:color w:val="000000"/>
      <w:spacing w:val="0"/>
      <w:w w:val="100"/>
      <w:position w:val="0"/>
      <w:sz w:val="18"/>
      <w:szCs w:val="18"/>
      <w:u w:val="none"/>
      <w:lang w:val="es-ES" w:eastAsia="es-ES" w:bidi="es-ES"/>
    </w:rPr>
  </w:style>
  <w:style w:type="paragraph" w:customStyle="1" w:styleId="Cuerpodeltexto70">
    <w:name w:val="Cuerpo del texto (7)"/>
    <w:basedOn w:val="Normal"/>
    <w:link w:val="Cuerpodeltexto7"/>
    <w:pPr>
      <w:shd w:val="clear" w:color="auto" w:fill="FFFFFF"/>
      <w:spacing w:after="60" w:line="0" w:lineRule="atLeast"/>
      <w:jc w:val="both"/>
    </w:pPr>
    <w:rPr>
      <w:rFonts w:ascii="Century Gothic" w:eastAsia="Century Gothic" w:hAnsi="Century Gothic" w:cs="Century Gothic"/>
      <w:b/>
      <w:bCs/>
      <w:sz w:val="18"/>
      <w:szCs w:val="18"/>
    </w:rPr>
  </w:style>
  <w:style w:type="paragraph" w:customStyle="1" w:styleId="Cuerpodeltexto80">
    <w:name w:val="Cuerpo del texto (8)"/>
    <w:basedOn w:val="Normal"/>
    <w:link w:val="Cuerpodeltexto8"/>
    <w:pPr>
      <w:shd w:val="clear" w:color="auto" w:fill="FFFFFF"/>
      <w:spacing w:before="780" w:after="60" w:line="0" w:lineRule="atLeast"/>
    </w:pPr>
    <w:rPr>
      <w:rFonts w:ascii="Century Gothic" w:eastAsia="Century Gothic" w:hAnsi="Century Gothic" w:cs="Century Gothic"/>
      <w:b/>
      <w:bCs/>
      <w:sz w:val="21"/>
      <w:szCs w:val="21"/>
    </w:rPr>
  </w:style>
  <w:style w:type="paragraph" w:customStyle="1" w:styleId="Cuerpodeltexto20">
    <w:name w:val="Cuerpo del texto (2)"/>
    <w:basedOn w:val="Normal"/>
    <w:link w:val="Cuerpodeltexto2"/>
    <w:pPr>
      <w:shd w:val="clear" w:color="auto" w:fill="FFFFFF"/>
      <w:spacing w:after="180" w:line="269" w:lineRule="exact"/>
      <w:jc w:val="both"/>
    </w:pPr>
    <w:rPr>
      <w:rFonts w:ascii="Century Gothic" w:eastAsia="Century Gothic" w:hAnsi="Century Gothic" w:cs="Century Gothic"/>
      <w:sz w:val="21"/>
      <w:szCs w:val="21"/>
    </w:rPr>
  </w:style>
  <w:style w:type="paragraph" w:customStyle="1" w:styleId="Ttulo120">
    <w:name w:val="Título #1 (2)"/>
    <w:basedOn w:val="Normal"/>
    <w:link w:val="Ttulo12"/>
    <w:pPr>
      <w:shd w:val="clear" w:color="auto" w:fill="FFFFFF"/>
      <w:spacing w:before="240" w:after="300" w:line="0" w:lineRule="atLeast"/>
      <w:jc w:val="both"/>
      <w:outlineLvl w:val="0"/>
    </w:pPr>
    <w:rPr>
      <w:rFonts w:ascii="Century Gothic" w:eastAsia="Century Gothic" w:hAnsi="Century Gothic" w:cs="Century Gothic"/>
      <w:b/>
      <w:bCs/>
      <w:sz w:val="21"/>
      <w:szCs w:val="21"/>
    </w:rPr>
  </w:style>
  <w:style w:type="paragraph" w:customStyle="1" w:styleId="Cuerpodeltexto40">
    <w:name w:val="Cuerpo del texto (4)"/>
    <w:basedOn w:val="Normal"/>
    <w:link w:val="Cuerpodeltexto4"/>
    <w:pPr>
      <w:shd w:val="clear" w:color="auto" w:fill="FFFFFF"/>
      <w:spacing w:after="300" w:line="0" w:lineRule="atLeast"/>
      <w:jc w:val="center"/>
    </w:pPr>
    <w:rPr>
      <w:rFonts w:ascii="Century Gothic" w:eastAsia="Century Gothic" w:hAnsi="Century Gothic" w:cs="Century Gothic"/>
      <w:sz w:val="18"/>
      <w:szCs w:val="18"/>
    </w:rPr>
  </w:style>
  <w:style w:type="paragraph" w:customStyle="1" w:styleId="Cuerpodeltexto90">
    <w:name w:val="Cuerpo del texto (9)"/>
    <w:basedOn w:val="Normal"/>
    <w:link w:val="Cuerpodeltexto9"/>
    <w:pPr>
      <w:shd w:val="clear" w:color="auto" w:fill="FFFFFF"/>
      <w:spacing w:before="300" w:after="180" w:line="221" w:lineRule="exact"/>
      <w:jc w:val="center"/>
    </w:pPr>
    <w:rPr>
      <w:rFonts w:ascii="Century Gothic" w:eastAsia="Century Gothic" w:hAnsi="Century Gothic" w:cs="Century Gothic"/>
      <w:i/>
      <w:iCs/>
      <w:sz w:val="18"/>
      <w:szCs w:val="18"/>
    </w:rPr>
  </w:style>
  <w:style w:type="paragraph" w:customStyle="1" w:styleId="Cuerpodeltexto60">
    <w:name w:val="Cuerpo del texto (6)"/>
    <w:basedOn w:val="Normal"/>
    <w:link w:val="Cuerpodeltexto6"/>
    <w:pPr>
      <w:shd w:val="clear" w:color="auto" w:fill="FFFFFF"/>
      <w:spacing w:before="420" w:after="180" w:line="269" w:lineRule="exact"/>
      <w:jc w:val="both"/>
    </w:pPr>
    <w:rPr>
      <w:rFonts w:ascii="Century Gothic" w:eastAsia="Century Gothic" w:hAnsi="Century Gothic" w:cs="Century Gothic"/>
      <w:i/>
      <w:iCs/>
      <w:sz w:val="21"/>
      <w:szCs w:val="21"/>
    </w:rPr>
  </w:style>
  <w:style w:type="paragraph" w:styleId="Sinespaciado">
    <w:name w:val="No Spacing"/>
    <w:uiPriority w:val="1"/>
    <w:qFormat/>
    <w:rsid w:val="004D3E37"/>
    <w:rPr>
      <w:color w:val="000000"/>
    </w:rPr>
  </w:style>
  <w:style w:type="paragraph" w:styleId="Prrafodelista">
    <w:name w:val="List Paragraph"/>
    <w:basedOn w:val="Normal"/>
    <w:uiPriority w:val="34"/>
    <w:qFormat/>
    <w:rsid w:val="004D3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1624</Words>
  <Characters>8933</Characters>
  <Application>Microsoft Office Word</Application>
  <DocSecurity>0</DocSecurity>
  <Lines>74</Lines>
  <Paragraphs>21</Paragraphs>
  <ScaleCrop>false</ScaleCrop>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Sachica</dc:creator>
  <cp:keywords/>
  <cp:lastModifiedBy>Guillermo Alzate Duque</cp:lastModifiedBy>
  <cp:revision>2</cp:revision>
  <dcterms:created xsi:type="dcterms:W3CDTF">2020-12-04T00:14:00Z</dcterms:created>
  <dcterms:modified xsi:type="dcterms:W3CDTF">2020-12-04T00:14:00Z</dcterms:modified>
</cp:coreProperties>
</file>