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AED4" w14:textId="17C4684C" w:rsidR="00F4291F" w:rsidRPr="00B14B55" w:rsidRDefault="00F4291F" w:rsidP="00B14B5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green"/>
        </w:rPr>
      </w:pPr>
      <w:bookmarkStart w:id="0" w:name="bookmark0"/>
      <w:r w:rsidRPr="00B14B55">
        <w:rPr>
          <w:rFonts w:ascii="Times New Roman" w:hAnsi="Times New Roman" w:cs="Times New Roman"/>
          <w:b/>
          <w:bCs/>
          <w:sz w:val="36"/>
          <w:szCs w:val="36"/>
          <w:highlight w:val="green"/>
        </w:rPr>
        <w:t>BOLETÍN 169 DEL 20 DE NOVIEMBRE DE 2020</w:t>
      </w:r>
    </w:p>
    <w:p w14:paraId="64E1E6BA" w14:textId="621C5B0E" w:rsidR="00F4291F" w:rsidRPr="00B14B55" w:rsidRDefault="00F4291F" w:rsidP="00B14B5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green"/>
        </w:rPr>
      </w:pPr>
      <w:r w:rsidRPr="00B14B55">
        <w:rPr>
          <w:rFonts w:ascii="Times New Roman" w:hAnsi="Times New Roman" w:cs="Times New Roman"/>
          <w:b/>
          <w:bCs/>
          <w:sz w:val="36"/>
          <w:szCs w:val="36"/>
          <w:highlight w:val="green"/>
        </w:rPr>
        <w:t>CORTE CONSTITUCIONAL</w:t>
      </w:r>
    </w:p>
    <w:p w14:paraId="67F3543C" w14:textId="77777777" w:rsidR="00F4291F" w:rsidRPr="00B14B55" w:rsidRDefault="00F4291F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sz w:val="36"/>
          <w:szCs w:val="36"/>
          <w:highlight w:val="green"/>
        </w:rPr>
      </w:pPr>
    </w:p>
    <w:p w14:paraId="48205E14" w14:textId="73FDBAC7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highlight w:val="green"/>
        </w:rPr>
      </w:pPr>
      <w:r w:rsidRPr="00B14B55">
        <w:rPr>
          <w:rFonts w:ascii="Times New Roman" w:hAnsi="Times New Roman" w:cs="Times New Roman"/>
          <w:b/>
          <w:bCs/>
          <w:sz w:val="36"/>
          <w:szCs w:val="36"/>
          <w:highlight w:val="green"/>
        </w:rPr>
        <w:t>Corte declara inconstitucional, con efectos inmediatos, las contribuciones especiales a cargo de las personas prestadoras de los servicios públicos domiciliarios</w:t>
      </w:r>
      <w:bookmarkEnd w:id="0"/>
    </w:p>
    <w:p w14:paraId="184135A5" w14:textId="77777777" w:rsidR="00F4291F" w:rsidRPr="00B14B55" w:rsidRDefault="00F4291F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sz w:val="36"/>
          <w:szCs w:val="36"/>
          <w:highlight w:val="green"/>
        </w:rPr>
      </w:pPr>
      <w:bookmarkStart w:id="1" w:name="bookmark1"/>
    </w:p>
    <w:p w14:paraId="1CC5EDB9" w14:textId="2D9DC2A6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highlight w:val="green"/>
        </w:rPr>
      </w:pPr>
      <w:r w:rsidRPr="00B14B55">
        <w:rPr>
          <w:rFonts w:ascii="Times New Roman" w:hAnsi="Times New Roman" w:cs="Times New Roman"/>
          <w:b/>
          <w:bCs/>
          <w:sz w:val="36"/>
          <w:szCs w:val="36"/>
          <w:highlight w:val="green"/>
        </w:rPr>
        <w:t>Boletín No. 169</w:t>
      </w:r>
      <w:bookmarkEnd w:id="1"/>
    </w:p>
    <w:p w14:paraId="703D9E7B" w14:textId="77777777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14B55">
        <w:rPr>
          <w:rStyle w:val="Cuerpodeltexto4Tahoma7pto"/>
          <w:rFonts w:ascii="Times New Roman" w:hAnsi="Times New Roman" w:cs="Times New Roman"/>
          <w:sz w:val="36"/>
          <w:szCs w:val="36"/>
          <w:highlight w:val="green"/>
        </w:rPr>
        <w:t>Bogotá, 20 de noviembre</w:t>
      </w:r>
    </w:p>
    <w:p w14:paraId="42A114BD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36"/>
          <w:szCs w:val="36"/>
        </w:rPr>
      </w:pPr>
    </w:p>
    <w:p w14:paraId="06F5D171" w14:textId="18B3BE88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14B55">
        <w:rPr>
          <w:rStyle w:val="Cuerpodeltexto4Tahoma7pto"/>
          <w:rFonts w:ascii="Times New Roman" w:hAnsi="Times New Roman" w:cs="Times New Roman"/>
          <w:sz w:val="36"/>
          <w:szCs w:val="36"/>
          <w:highlight w:val="green"/>
        </w:rPr>
        <w:t>La Corte Constitucional declaró inexequible el artículo 18 de la Ley 1955 de 2019 (Plan Nacional de Desarrollo 2018-2022), que establece las contribuciones especiales a favor de la Comisión de Regulación de Energía y Gas, de la Comisión de Regulación de Agua Potable y Saneamiento Básico y de la Superintendencia de Servicios Públicos Domiciliarlos.</w:t>
      </w:r>
    </w:p>
    <w:p w14:paraId="3D3B9749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36"/>
          <w:szCs w:val="36"/>
        </w:rPr>
      </w:pPr>
    </w:p>
    <w:p w14:paraId="1F70A02A" w14:textId="38A56C61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Tras realizar un recuento jurisprudencial sobre el principio de legalidad y su proyección en el principio de certeza tributarla, así como sobre los límites a la facultad reglamentaria del Gobierno Nacional en materia tributarla, la Corte determinó que esta disposición desconoció lo dispuesto en el artículo 338 constitucional.</w:t>
      </w:r>
    </w:p>
    <w:p w14:paraId="356732F3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24"/>
          <w:szCs w:val="24"/>
        </w:rPr>
      </w:pPr>
    </w:p>
    <w:p w14:paraId="3EBD2301" w14:textId="3227A163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 xml:space="preserve">Dicha disposición impone una limitación, permitiendo únicamente la fijación de la tarifa </w:t>
      </w: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lastRenderedPageBreak/>
        <w:t>para la recuperación de los costos en que se incurra para la prestación del servicio.</w:t>
      </w:r>
    </w:p>
    <w:p w14:paraId="362ABBA7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Ttulo22Sinnegrita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</w:p>
    <w:p w14:paraId="78F4BC98" w14:textId="531A61E7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Ttulo22Sinnegrita"/>
          <w:rFonts w:ascii="Times New Roman" w:hAnsi="Times New Roman" w:cs="Times New Roman"/>
          <w:b w:val="0"/>
          <w:bCs w:val="0"/>
          <w:sz w:val="24"/>
          <w:szCs w:val="24"/>
        </w:rPr>
        <w:t xml:space="preserve">De ahí que se pusiera de presente </w:t>
      </w:r>
      <w:r w:rsidRPr="00B14B55">
        <w:rPr>
          <w:rFonts w:ascii="Times New Roman" w:hAnsi="Times New Roman" w:cs="Times New Roman"/>
        </w:rPr>
        <w:t>una clara limitación y vacío de la norma demandada que resultaba insuperable, evidenciando un desconocimiento de los principios de legalidad y certeza del tributo.</w:t>
      </w:r>
      <w:bookmarkEnd w:id="2"/>
    </w:p>
    <w:p w14:paraId="2CDBC123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24"/>
          <w:szCs w:val="24"/>
        </w:rPr>
      </w:pPr>
    </w:p>
    <w:p w14:paraId="5FF40E40" w14:textId="206DBC41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Por lo demás, se pudo constatar un desconocimiento de la facultad reglamentaria del Gobierno Nacional y la reserva de Ley en cabeza del Congreso de la República.</w:t>
      </w:r>
    </w:p>
    <w:p w14:paraId="12F95508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24"/>
          <w:szCs w:val="24"/>
        </w:rPr>
      </w:pPr>
    </w:p>
    <w:p w14:paraId="30D390FB" w14:textId="651B5D66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Finalmente, señaló que el d</w:t>
      </w:r>
      <w:r w:rsidR="00F4291F"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i</w:t>
      </w: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ferimiento señalado por la Corte para la mayor parte del artículo 18 en la Sentencia C-464 de 2020, obedeció a un cambio de estándar jurisprudencial para la valoración del principio de unidad de materia en asuntos de naturaleza tributaria y de servicios públicos, elemento que no se presentó en este caso.</w:t>
      </w:r>
    </w:p>
    <w:p w14:paraId="1E3ECED6" w14:textId="77777777" w:rsidR="00F4291F" w:rsidRPr="00B14B55" w:rsidRDefault="00F4291F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24"/>
          <w:szCs w:val="24"/>
        </w:rPr>
      </w:pPr>
    </w:p>
    <w:p w14:paraId="3F6DBDF5" w14:textId="459FBAF5" w:rsidR="001532B5" w:rsidRPr="00B14B55" w:rsidRDefault="007C6F0D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 xml:space="preserve">De ahí que la </w:t>
      </w:r>
      <w:r w:rsidR="00F4291F"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i</w:t>
      </w: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nexequib</w:t>
      </w:r>
      <w:r w:rsidR="00F4291F"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i</w:t>
      </w: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lidad de la mencionada disposición (salvo el numeral 4° parcial ya declarado inexequible), surte efectos inmediatos y hacia el futuro.</w:t>
      </w:r>
    </w:p>
    <w:p w14:paraId="701D327F" w14:textId="2C18BAC9" w:rsidR="001532B5" w:rsidRDefault="007C6F0D" w:rsidP="00B14B55">
      <w:pPr>
        <w:pStyle w:val="Sinespaciado"/>
        <w:spacing w:line="360" w:lineRule="auto"/>
        <w:jc w:val="both"/>
        <w:rPr>
          <w:rStyle w:val="Cuerpodeltexto4Tahoma7pto"/>
          <w:rFonts w:ascii="Times New Roman" w:hAnsi="Times New Roman" w:cs="Times New Roman"/>
          <w:sz w:val="24"/>
          <w:szCs w:val="24"/>
        </w:rPr>
      </w:pPr>
      <w:r w:rsidRPr="00B14B55">
        <w:rPr>
          <w:rStyle w:val="Cuerpodeltexto4Tahoma7pto"/>
          <w:rFonts w:ascii="Times New Roman" w:hAnsi="Times New Roman" w:cs="Times New Roman"/>
          <w:sz w:val="24"/>
          <w:szCs w:val="24"/>
        </w:rPr>
        <w:t>Reserva de aclaración de voto de los magistrados Richard Ramírez, Antonio José Lizarazo y de la magistrada Diana Fajardo.</w:t>
      </w:r>
    </w:p>
    <w:p w14:paraId="4BC27401" w14:textId="0815EB81" w:rsidR="00B14B55" w:rsidRPr="00B14B55" w:rsidRDefault="00B14B55" w:rsidP="00B14B5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Cuerpodeltexto4Tahoma7pto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sectPr w:rsidR="00B14B55" w:rsidRPr="00B14B55" w:rsidSect="00F4291F">
      <w:pgSz w:w="12240" w:h="15840" w:code="1"/>
      <w:pgMar w:top="1418" w:right="1701" w:bottom="1418" w:left="1701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9F073" w14:textId="77777777" w:rsidR="00822988" w:rsidRDefault="00822988">
      <w:r>
        <w:separator/>
      </w:r>
    </w:p>
  </w:endnote>
  <w:endnote w:type="continuationSeparator" w:id="0">
    <w:p w14:paraId="3F89A0D0" w14:textId="77777777" w:rsidR="00822988" w:rsidRDefault="008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C7A1" w14:textId="77777777" w:rsidR="00822988" w:rsidRDefault="00822988"/>
  </w:footnote>
  <w:footnote w:type="continuationSeparator" w:id="0">
    <w:p w14:paraId="0CD07A1D" w14:textId="77777777" w:rsidR="00822988" w:rsidRDefault="008229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B5"/>
    <w:rsid w:val="001532B5"/>
    <w:rsid w:val="007C6F0D"/>
    <w:rsid w:val="00822988"/>
    <w:rsid w:val="00B14B55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B6E2"/>
  <w15:docId w15:val="{439C168D-0939-477E-86A9-415B4745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12">
    <w:name w:val="Título #1 (2)_"/>
    <w:basedOn w:val="Fuentedeprrafopredeter"/>
    <w:link w:val="Ttulo1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22">
    <w:name w:val="Título #2 (2)_"/>
    <w:basedOn w:val="Fuentedeprrafopredeter"/>
    <w:link w:val="Ttulo2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4Tahoma7pto">
    <w:name w:val="Cuerpo del texto (4) + Tahoma;7 pto"/>
    <w:basedOn w:val="Cuerpodeltexto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Ttulo22Sinnegrita">
    <w:name w:val="Título #2 (2) + Sin negrita"/>
    <w:basedOn w:val="Ttulo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after="60" w:line="394" w:lineRule="exact"/>
      <w:jc w:val="both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Ttulo220">
    <w:name w:val="Título #2 (2)"/>
    <w:basedOn w:val="Normal"/>
    <w:link w:val="Ttulo22"/>
    <w:pPr>
      <w:shd w:val="clear" w:color="auto" w:fill="FFFFFF"/>
      <w:spacing w:before="60" w:after="60" w:line="0" w:lineRule="atLeast"/>
      <w:jc w:val="both"/>
      <w:outlineLvl w:val="1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after="60" w:line="134" w:lineRule="exact"/>
      <w:jc w:val="both"/>
    </w:pPr>
    <w:rPr>
      <w:rFonts w:ascii="Calibri" w:eastAsia="Calibri" w:hAnsi="Calibri" w:cs="Calibri"/>
      <w:sz w:val="12"/>
      <w:szCs w:val="12"/>
    </w:rPr>
  </w:style>
  <w:style w:type="paragraph" w:styleId="Sinespaciado">
    <w:name w:val="No Spacing"/>
    <w:uiPriority w:val="1"/>
    <w:qFormat/>
    <w:rsid w:val="00F429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Constitucional de Colombia</dc:title>
  <dc:subject/>
  <dc:creator>Celeste</dc:creator>
  <cp:keywords/>
  <cp:lastModifiedBy>CNETCO</cp:lastModifiedBy>
  <cp:revision>2</cp:revision>
  <dcterms:created xsi:type="dcterms:W3CDTF">2020-11-23T16:14:00Z</dcterms:created>
  <dcterms:modified xsi:type="dcterms:W3CDTF">2020-11-23T16:14:00Z</dcterms:modified>
</cp:coreProperties>
</file>