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87" w:rsidRPr="00284A87" w:rsidRDefault="00284A87">
      <w:pPr>
        <w:rPr>
          <w:rFonts w:cs="Times New Roman"/>
          <w:szCs w:val="24"/>
        </w:rPr>
      </w:pPr>
    </w:p>
    <w:p w:rsidR="00284A87" w:rsidRPr="00284A87" w:rsidRDefault="00284A87" w:rsidP="00284A87">
      <w:pPr>
        <w:rPr>
          <w:rFonts w:cs="Times New Roman"/>
          <w:szCs w:val="24"/>
        </w:rPr>
      </w:pPr>
    </w:p>
    <w:p w:rsidR="00284A87" w:rsidRPr="00284A87" w:rsidRDefault="00284A87" w:rsidP="00284A87">
      <w:pPr>
        <w:rPr>
          <w:rFonts w:cs="Times New Roman"/>
          <w:szCs w:val="24"/>
        </w:rPr>
      </w:pPr>
    </w:p>
    <w:p w:rsidR="00284A87" w:rsidRPr="00284A87" w:rsidRDefault="00284A87" w:rsidP="00284A87">
      <w:pPr>
        <w:rPr>
          <w:rFonts w:cs="Times New Roman"/>
          <w:szCs w:val="24"/>
        </w:rPr>
      </w:pPr>
    </w:p>
    <w:p w:rsidR="00284A87" w:rsidRPr="00284A87" w:rsidRDefault="00284A87" w:rsidP="00284A87">
      <w:pPr>
        <w:pStyle w:val="default"/>
        <w:spacing w:before="0" w:beforeAutospacing="0" w:after="0" w:afterAutospacing="0"/>
        <w:jc w:val="center"/>
      </w:pPr>
      <w:r w:rsidRPr="00284A87">
        <w:tab/>
      </w:r>
      <w:r w:rsidRPr="00284A87">
        <w:rPr>
          <w:b/>
          <w:bCs/>
        </w:rPr>
        <w:t>CONCEPTO Nº 848391</w:t>
      </w:r>
    </w:p>
    <w:p w:rsidR="00284A87" w:rsidRPr="00284A87" w:rsidRDefault="00284A87" w:rsidP="00284A87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szCs w:val="24"/>
          <w:lang w:eastAsia="es-CO"/>
        </w:rPr>
        <w:t>19-07-2019</w:t>
      </w:r>
    </w:p>
    <w:p w:rsidR="00284A87" w:rsidRPr="00284A87" w:rsidRDefault="00284A87" w:rsidP="00284A87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szCs w:val="24"/>
          <w:lang w:eastAsia="es-CO"/>
        </w:rPr>
        <w:t>UGPP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Bogotá D.C.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szCs w:val="24"/>
          <w:lang w:eastAsia="es-CO"/>
        </w:rPr>
        <w:t>Asunto: </w:t>
      </w:r>
      <w:r w:rsidRPr="00284A87">
        <w:rPr>
          <w:rFonts w:eastAsia="Times New Roman" w:cs="Times New Roman"/>
          <w:szCs w:val="24"/>
          <w:lang w:eastAsia="es-CO"/>
        </w:rPr>
        <w:t>Respuesta Consulta - Radicado No. 2019200001955542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Respetado Señor: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De la manera más atenta esta Subdirección encontrándose dentro del término legal establecido en el numeral 2 del Artículo 14 del Código de Procedimiento Administrativo y de lo Contencioso Administrativo, se permite dar respuesta a su consulta, no sin antes advertirte que esta respuesta, no comprometerá la responsabilidad de la entidad que la atiende, ni serán de obligatorio cumplimiento o ejecución, conforme a lo dispuesto en el artículo 28 ibíd., constituyéndose simplemente en un criterio orientador: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Se plantean las siguientes inquietudes: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“De acuerdo con la derogatoria expresa del art 135 de la Ley 1753 de 2015 y el decaimiento de su decreto reglamentario 1273 do 2018, mediante el artículo 336 de la Ley 1955 de 2019 – PND, y teniendo en cuenta el nuevo artículo 244 del nuevo PND que menciona en su inciso primero y segundo la determinación del Ingreso Base de Cotización (IBC) de los independientes. Donde en ambos incisos mencionan: “… (…) con ingresos netos iguales o superiores...”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Agradezco resuelvan la inquietud de: ¿Qué se entiende por ingresos netos?”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Sobre el particular hacemos las siguientes precisiones: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 xml:space="preserve">A partir de la expedición del artículo 244 de la Ley 1955 de 2019- Ley del Plan Nacional de Desarrollo 2018-2022-PACTO POR COLOMBIA. PACTO POR LA EQUIDAD, fue derogado el artículo 135 de la Ley 1753 de 2015 </w:t>
      </w:r>
      <w:proofErr w:type="gramStart"/>
      <w:r w:rsidRPr="00284A87">
        <w:rPr>
          <w:rFonts w:eastAsia="Times New Roman" w:cs="Times New Roman"/>
          <w:szCs w:val="24"/>
          <w:lang w:eastAsia="es-CO"/>
        </w:rPr>
        <w:t>y</w:t>
      </w:r>
      <w:proofErr w:type="gramEnd"/>
      <w:r w:rsidRPr="00284A87">
        <w:rPr>
          <w:rFonts w:eastAsia="Times New Roman" w:cs="Times New Roman"/>
          <w:szCs w:val="24"/>
          <w:lang w:eastAsia="es-CO"/>
        </w:rPr>
        <w:t xml:space="preserve"> por consiguiente, actualmente los trabajadores independientes determinan el ingreso base de cotización para el Sistema de la Protección Social, así: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i/>
          <w:iCs/>
          <w:szCs w:val="24"/>
          <w:lang w:eastAsia="es-CO"/>
        </w:rPr>
        <w:t>ARTICULO 244°. INGRESO BASE DE COTIZACIÓN - IBC DE LOS INDEPENDIENTES. </w:t>
      </w:r>
      <w:r w:rsidRPr="00284A87">
        <w:rPr>
          <w:rFonts w:eastAsia="Times New Roman" w:cs="Times New Roman"/>
          <w:i/>
          <w:iCs/>
          <w:szCs w:val="24"/>
          <w:lang w:eastAsia="es-CO"/>
        </w:rPr>
        <w:t xml:space="preserve">Los trabajadores independientes con ingresos netos iguales o superiores a 1 salario mínimo legal mensual vigente que celebren contratos de prestación </w:t>
      </w:r>
      <w:r w:rsidRPr="00284A87">
        <w:rPr>
          <w:rFonts w:eastAsia="Times New Roman" w:cs="Times New Roman"/>
          <w:i/>
          <w:iCs/>
          <w:szCs w:val="24"/>
          <w:lang w:eastAsia="es-CO"/>
        </w:rPr>
        <w:lastRenderedPageBreak/>
        <w:t xml:space="preserve">de servicios personales, cotizarán mes </w:t>
      </w:r>
      <w:proofErr w:type="spellStart"/>
      <w:r w:rsidRPr="00284A87">
        <w:rPr>
          <w:rFonts w:eastAsia="Times New Roman" w:cs="Times New Roman"/>
          <w:i/>
          <w:iCs/>
          <w:szCs w:val="24"/>
          <w:lang w:eastAsia="es-CO"/>
        </w:rPr>
        <w:t>vecido</w:t>
      </w:r>
      <w:proofErr w:type="spellEnd"/>
      <w:r w:rsidRPr="00284A87">
        <w:rPr>
          <w:rFonts w:eastAsia="Times New Roman" w:cs="Times New Roman"/>
          <w:i/>
          <w:iCs/>
          <w:szCs w:val="24"/>
          <w:lang w:eastAsia="es-CO"/>
        </w:rPr>
        <w:t xml:space="preserve"> (sic) al Sistema de Seguridad Social Integral sobre una base mínima del 40% del valor </w:t>
      </w:r>
      <w:proofErr w:type="spellStart"/>
      <w:r w:rsidRPr="00284A87">
        <w:rPr>
          <w:rFonts w:eastAsia="Times New Roman" w:cs="Times New Roman"/>
          <w:i/>
          <w:iCs/>
          <w:szCs w:val="24"/>
          <w:lang w:eastAsia="es-CO"/>
        </w:rPr>
        <w:t>mensualizado</w:t>
      </w:r>
      <w:proofErr w:type="spellEnd"/>
      <w:r w:rsidRPr="00284A87">
        <w:rPr>
          <w:rFonts w:eastAsia="Times New Roman" w:cs="Times New Roman"/>
          <w:i/>
          <w:iCs/>
          <w:szCs w:val="24"/>
          <w:lang w:eastAsia="es-CO"/>
        </w:rPr>
        <w:t xml:space="preserve"> del contrato, sin incluir el valor del impuesto al Valor Agregado (IVA).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 xml:space="preserve">Los independientes por cuenta propia y los trabajadores independientes con contratos diferentes a prestación de servicios personales con ingresos netos iguales o superiores a un (1) solano mínimo legal mensual vigente efectuaran su cotización mes vencido, sobre una base mínima de cotización del 40% del valor </w:t>
      </w:r>
      <w:proofErr w:type="spellStart"/>
      <w:r w:rsidRPr="00284A87">
        <w:rPr>
          <w:rFonts w:eastAsia="Times New Roman" w:cs="Times New Roman"/>
          <w:i/>
          <w:iCs/>
          <w:szCs w:val="24"/>
          <w:lang w:eastAsia="es-CO"/>
        </w:rPr>
        <w:t>mensualizado</w:t>
      </w:r>
      <w:proofErr w:type="spellEnd"/>
      <w:r w:rsidRPr="00284A87">
        <w:rPr>
          <w:rFonts w:eastAsia="Times New Roman" w:cs="Times New Roman"/>
          <w:i/>
          <w:iCs/>
          <w:szCs w:val="24"/>
          <w:lang w:eastAsia="es-CO"/>
        </w:rPr>
        <w:t xml:space="preserve"> de los ingresos, sin incluir el valor del impuesto al Valor Agregado - IVA En estos casos será procedente la imputación de costos y deducciones siempre que se cumplan los criterios determinados en el </w:t>
      </w:r>
      <w:hyperlink r:id="rId4" w:tooltip="Estatuto Tributario CETA" w:history="1">
        <w:r w:rsidRPr="00284A87">
          <w:rPr>
            <w:rFonts w:eastAsia="Times New Roman" w:cs="Times New Roman"/>
            <w:i/>
            <w:iCs/>
            <w:szCs w:val="24"/>
            <w:u w:val="single"/>
            <w:lang w:eastAsia="es-CO"/>
          </w:rPr>
          <w:t>artículo 107</w:t>
        </w:r>
      </w:hyperlink>
      <w:r w:rsidRPr="00284A87">
        <w:rPr>
          <w:rFonts w:eastAsia="Times New Roman" w:cs="Times New Roman"/>
          <w:i/>
          <w:iCs/>
          <w:szCs w:val="24"/>
          <w:lang w:eastAsia="es-CO"/>
        </w:rPr>
        <w:t> del Estatuto Tributario y sin exceder los valores incluidos en la declaración de renta de la respectiva vigencia.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El Gobierno Nacional reglamentará el mecanismo para realizar la mensualización de que trata el presente artículo.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i/>
          <w:iCs/>
          <w:szCs w:val="24"/>
          <w:lang w:eastAsia="es-CO"/>
        </w:rPr>
        <w:t>PARÁGRAFO. </w:t>
      </w:r>
      <w:r w:rsidRPr="00284A87">
        <w:rPr>
          <w:rFonts w:eastAsia="Times New Roman" w:cs="Times New Roman"/>
          <w:i/>
          <w:iCs/>
          <w:szCs w:val="24"/>
          <w:lang w:eastAsia="es-CO"/>
        </w:rPr>
        <w:t>Para efectos de la determinación del ingreso base de cotización de los trabajadores independientes por cuenta propia y para quienes celebren contratos diferentes de prestación de servicios personales que impliquen subcontratación y/o compra de insumos o expensas, la Unidad de Gestión Pensional y Parafiscales-UGPP deberá, atendiendo a los datos estadísticos producidos por la Dirección de Impuestos y Aduanas Nacionales-DIAN, por el Departamento Administrativo Nacional de Estadística, por el Banco de la República, por la Superintendencia de Sociedades u otras entidades cuyas estadísticas fueren aplicables, determinar un esquema de presunción de costos.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No obstante lo anterior, los obligados podrán establecer costos diferentes de los definidos por el esquema de presunción de costos de la UGPP, siempre y cuando cuenten con los documentos que soporten costos y deducciones, los cuales deben cumplir con los requisitos establecidos en el </w:t>
      </w:r>
      <w:hyperlink r:id="rId5" w:tooltip="Estatuto Tributario CETA" w:history="1">
        <w:r w:rsidRPr="00284A87">
          <w:rPr>
            <w:rFonts w:eastAsia="Times New Roman" w:cs="Times New Roman"/>
            <w:i/>
            <w:iCs/>
            <w:szCs w:val="24"/>
            <w:u w:val="single"/>
            <w:lang w:eastAsia="es-CO"/>
          </w:rPr>
          <w:t>artículo 107</w:t>
        </w:r>
      </w:hyperlink>
      <w:r w:rsidRPr="00284A87">
        <w:rPr>
          <w:rFonts w:eastAsia="Times New Roman" w:cs="Times New Roman"/>
          <w:i/>
          <w:iCs/>
          <w:szCs w:val="24"/>
          <w:lang w:eastAsia="es-CO"/>
        </w:rPr>
        <w:t> del Estatuto Tributario y demás normas que regulen las exigencias para la validez de dichos documentos.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Como se observa, la obligación de cotizar al Sistema de la Seguridad Social Integral para los trabajadores independientes se deriva de los </w:t>
      </w:r>
      <w:r w:rsidRPr="00284A87">
        <w:rPr>
          <w:rFonts w:eastAsia="Times New Roman" w:cs="Times New Roman"/>
          <w:b/>
          <w:bCs/>
          <w:szCs w:val="24"/>
          <w:lang w:eastAsia="es-CO"/>
        </w:rPr>
        <w:t>ingresos netos mensuales </w:t>
      </w:r>
      <w:r w:rsidRPr="00284A87">
        <w:rPr>
          <w:rFonts w:eastAsia="Times New Roman" w:cs="Times New Roman"/>
          <w:szCs w:val="24"/>
          <w:lang w:eastAsia="es-CO"/>
        </w:rPr>
        <w:t xml:space="preserve">por valor igual o superior a un (1) salario mínimo legal mensual vigente </w:t>
      </w:r>
      <w:proofErr w:type="gramStart"/>
      <w:r w:rsidRPr="00284A87">
        <w:rPr>
          <w:rFonts w:eastAsia="Times New Roman" w:cs="Times New Roman"/>
          <w:szCs w:val="24"/>
          <w:lang w:eastAsia="es-CO"/>
        </w:rPr>
        <w:t>y</w:t>
      </w:r>
      <w:proofErr w:type="gramEnd"/>
      <w:r w:rsidRPr="00284A87">
        <w:rPr>
          <w:rFonts w:eastAsia="Times New Roman" w:cs="Times New Roman"/>
          <w:szCs w:val="24"/>
          <w:lang w:eastAsia="es-CO"/>
        </w:rPr>
        <w:t xml:space="preserve"> además, el pago se realiza mes vencido.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Igualmente, los trabajadores independientes se clasifican en dos grupos para determinar el ingreso base de cotización: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 xml:space="preserve">1. Los independientes que celebran contratos de prestación de servicios personales, quienes calculan el ingreso base de cotización sobre mínimo el 40% del valor </w:t>
      </w:r>
      <w:proofErr w:type="spellStart"/>
      <w:r w:rsidRPr="00284A87">
        <w:rPr>
          <w:rFonts w:eastAsia="Times New Roman" w:cs="Times New Roman"/>
          <w:szCs w:val="24"/>
          <w:lang w:eastAsia="es-CO"/>
        </w:rPr>
        <w:t>mensualizado</w:t>
      </w:r>
      <w:proofErr w:type="spellEnd"/>
      <w:r w:rsidRPr="00284A87">
        <w:rPr>
          <w:rFonts w:eastAsia="Times New Roman" w:cs="Times New Roman"/>
          <w:szCs w:val="24"/>
          <w:lang w:eastAsia="es-CO"/>
        </w:rPr>
        <w:t xml:space="preserve"> del contrato, sin IVA.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2. Los independientes que derivan sus ingresos por el ejercicio de una actividad per su cuenta y riesgo, o de la celebración de contratos distintos a los de prestación de servicios personales, quienes están autorizados para deducir de sus ingresos brutos las expensas y costos derivados de la actividad generadora de éstos, siempre que cumplan los requisitos del </w:t>
      </w:r>
      <w:hyperlink r:id="rId6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artículo 107</w:t>
        </w:r>
      </w:hyperlink>
      <w:r w:rsidRPr="00284A87">
        <w:rPr>
          <w:rFonts w:eastAsia="Times New Roman" w:cs="Times New Roman"/>
          <w:szCs w:val="24"/>
          <w:lang w:eastAsia="es-CO"/>
        </w:rPr>
        <w:t> del Estatuto Tributario.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lastRenderedPageBreak/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 xml:space="preserve">En este caso, la base de cotización mínima es del 40% del valor </w:t>
      </w:r>
      <w:proofErr w:type="spellStart"/>
      <w:r w:rsidRPr="00284A87">
        <w:rPr>
          <w:rFonts w:eastAsia="Times New Roman" w:cs="Times New Roman"/>
          <w:szCs w:val="24"/>
          <w:lang w:eastAsia="es-CO"/>
        </w:rPr>
        <w:t>mensualizado</w:t>
      </w:r>
      <w:proofErr w:type="spellEnd"/>
      <w:r w:rsidRPr="00284A87">
        <w:rPr>
          <w:rFonts w:eastAsia="Times New Roman" w:cs="Times New Roman"/>
          <w:szCs w:val="24"/>
          <w:lang w:eastAsia="es-CO"/>
        </w:rPr>
        <w:t xml:space="preserve"> de los ingresos notos sin IVA.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Los conceptos de “mensualización de ingresos y del contrato” que señala la norma se encuentra pendiente de reglamentación por parte del Gobierno Nacional, por lo que los trabajadores independientes por cuenta propia y con contratos distintos al de prestación de servicios personales establecen la base de cotización sobre los ingresos netos p</w:t>
      </w:r>
      <w:r>
        <w:rPr>
          <w:rFonts w:eastAsia="Times New Roman" w:cs="Times New Roman"/>
          <w:szCs w:val="24"/>
          <w:lang w:eastAsia="es-CO"/>
        </w:rPr>
        <w:t>ercibidos, y los contratistas de</w:t>
      </w:r>
      <w:r w:rsidRPr="00284A87">
        <w:rPr>
          <w:rFonts w:eastAsia="Times New Roman" w:cs="Times New Roman"/>
          <w:szCs w:val="24"/>
          <w:lang w:eastAsia="es-CO"/>
        </w:rPr>
        <w:t xml:space="preserve"> prestación de servidos personales sobre el valor </w:t>
      </w:r>
      <w:proofErr w:type="spellStart"/>
      <w:r w:rsidRPr="00284A87">
        <w:rPr>
          <w:rFonts w:eastAsia="Times New Roman" w:cs="Times New Roman"/>
          <w:szCs w:val="24"/>
          <w:lang w:eastAsia="es-CO"/>
        </w:rPr>
        <w:t>mensualizado</w:t>
      </w:r>
      <w:proofErr w:type="spellEnd"/>
      <w:r w:rsidRPr="00284A87">
        <w:rPr>
          <w:rFonts w:eastAsia="Times New Roman" w:cs="Times New Roman"/>
          <w:szCs w:val="24"/>
          <w:lang w:eastAsia="es-CO"/>
        </w:rPr>
        <w:t xml:space="preserve"> del contrato, </w:t>
      </w:r>
      <w:r w:rsidRPr="00284A87">
        <w:rPr>
          <w:rFonts w:eastAsia="Times New Roman" w:cs="Times New Roman"/>
          <w:szCs w:val="24"/>
          <w:highlight w:val="green"/>
          <w:lang w:eastAsia="es-CO"/>
        </w:rPr>
        <w:t>que en principio se puede establecer dividiendo el valor total por el número de meses de duración, claro está, que en aquellos casos que el contrato sea de valor o término indeterminado, cotizan sobre el valor mensual del contrato.</w:t>
      </w:r>
      <w:bookmarkStart w:id="0" w:name="_GoBack"/>
      <w:bookmarkEnd w:id="0"/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Frente a la aceptación de las deducciones que autoriza el </w:t>
      </w:r>
      <w:hyperlink r:id="rId7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artículo 107</w:t>
        </w:r>
      </w:hyperlink>
      <w:r w:rsidRPr="00284A87">
        <w:rPr>
          <w:rFonts w:eastAsia="Times New Roman" w:cs="Times New Roman"/>
          <w:szCs w:val="24"/>
          <w:lang w:eastAsia="es-CO"/>
        </w:rPr>
        <w:t> del E.T. para los independientes del segundo inciso de la norma citada, el H. Consejo de Estado- Sección IV, Expediente 16454 del 13 de agoste de 2009. Consejera Ponente: Martha Teresa Briceño de Valencia, expresó: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“Se resalta entonces que, en materia tributaria, sólo son aceptables como deducción las expensas que tengan relación de causalidad, que sean necesarias y proporcionadas respecto del ingreso percibido; de lo contrario, sólo son admitidas las deducciones expresamente reconocidas por la ley, siendo la aplicación de éstas últimas de carácter restrictivo, como quiera que responden a una excepción fiscal.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Además, la misma ley especifica cada uno de los requisitos esenciales para la aceptación de las mismas con los siguientes términos: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i/>
          <w:iCs/>
          <w:szCs w:val="24"/>
          <w:lang w:eastAsia="es-CO"/>
        </w:rPr>
        <w:t>“CAUSALIDAD:</w:t>
      </w:r>
      <w:r w:rsidRPr="00284A87">
        <w:rPr>
          <w:rFonts w:eastAsia="Times New Roman" w:cs="Times New Roman"/>
          <w:i/>
          <w:iCs/>
          <w:szCs w:val="24"/>
          <w:lang w:eastAsia="es-CO"/>
        </w:rPr>
        <w:t> Es el vínculo que guardan los gastos realizados con la actividad productora de renta”.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i/>
          <w:iCs/>
          <w:szCs w:val="24"/>
          <w:lang w:eastAsia="es-CO"/>
        </w:rPr>
        <w:t>NECESIDAD: </w:t>
      </w:r>
      <w:r w:rsidRPr="00284A87">
        <w:rPr>
          <w:rFonts w:eastAsia="Times New Roman" w:cs="Times New Roman"/>
          <w:i/>
          <w:iCs/>
          <w:szCs w:val="24"/>
          <w:lang w:eastAsia="es-CO"/>
        </w:rPr>
        <w:t>El requisito de la necesidad del gasto, debe establecerse en relación con el ingreso y no con la actividad que lo genera, hasta con que sea susceptible de generarlo o de ayudar a generarlo", y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i/>
          <w:iCs/>
          <w:szCs w:val="24"/>
          <w:lang w:eastAsia="es-CO"/>
        </w:rPr>
        <w:t>PROPORCIONALIDAD: Este presupuesto exige que la expensa guarde una proporción razonable con el ingreso (magnitud del gasto y beneficio que pueda generarse)”.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Los criterios de </w:t>
      </w:r>
      <w:r w:rsidRPr="00284A87">
        <w:rPr>
          <w:rFonts w:eastAsia="Times New Roman" w:cs="Times New Roman"/>
          <w:i/>
          <w:iCs/>
          <w:szCs w:val="24"/>
          <w:lang w:eastAsia="es-CO"/>
        </w:rPr>
        <w:t>necesidad y proporcionalidad </w:t>
      </w:r>
      <w:r w:rsidRPr="00284A87">
        <w:rPr>
          <w:rFonts w:eastAsia="Times New Roman" w:cs="Times New Roman"/>
          <w:szCs w:val="24"/>
          <w:lang w:eastAsia="es-CO"/>
        </w:rPr>
        <w:t>de las expensas deben determinarse con criterio comercial, teniendo en cuenta las normalmente acostumbradas en cada actividad y las limitaciones establecidas en los siguientes artículos al </w:t>
      </w:r>
      <w:hyperlink r:id="rId8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107</w:t>
        </w:r>
      </w:hyperlink>
      <w:r w:rsidRPr="00284A87">
        <w:rPr>
          <w:rFonts w:eastAsia="Times New Roman" w:cs="Times New Roman"/>
          <w:szCs w:val="24"/>
          <w:lang w:eastAsia="es-CO"/>
        </w:rPr>
        <w:t> mencionado, tales como las mencionadas en los artículos </w:t>
      </w:r>
      <w:hyperlink r:id="rId9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107-1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10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108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11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108-1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12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109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13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114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14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115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15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115-1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16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115-2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17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116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18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117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19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121</w:t>
        </w:r>
      </w:hyperlink>
      <w:r w:rsidRPr="00284A87">
        <w:rPr>
          <w:rFonts w:eastAsia="Times New Roman" w:cs="Times New Roman"/>
          <w:szCs w:val="24"/>
          <w:lang w:eastAsia="es-CO"/>
        </w:rPr>
        <w:t> y </w:t>
      </w:r>
      <w:hyperlink r:id="rId20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122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21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127-1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22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146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23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148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24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150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25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151</w:t>
        </w:r>
      </w:hyperlink>
      <w:r w:rsidRPr="00284A87">
        <w:rPr>
          <w:rFonts w:eastAsia="Times New Roman" w:cs="Times New Roman"/>
          <w:szCs w:val="24"/>
          <w:lang w:eastAsia="es-CO"/>
        </w:rPr>
        <w:t> y </w:t>
      </w:r>
      <w:hyperlink r:id="rId26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152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27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88-1</w:t>
        </w:r>
      </w:hyperlink>
      <w:r w:rsidRPr="00284A87">
        <w:rPr>
          <w:rFonts w:eastAsia="Times New Roman" w:cs="Times New Roman"/>
          <w:szCs w:val="24"/>
          <w:lang w:eastAsia="es-CO"/>
        </w:rPr>
        <w:t> y </w:t>
      </w:r>
      <w:hyperlink r:id="rId28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177</w:t>
        </w:r>
      </w:hyperlink>
      <w:r w:rsidRPr="00284A87">
        <w:rPr>
          <w:rFonts w:eastAsia="Times New Roman" w:cs="Times New Roman"/>
          <w:szCs w:val="24"/>
          <w:lang w:eastAsia="es-CO"/>
        </w:rPr>
        <w:t> del E.T.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Para quienes están obligados a llevar contabilidad, aplican las anteriormente señaladas y también las dispuestas en los artículos </w:t>
      </w:r>
      <w:hyperlink r:id="rId29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128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30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129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31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142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32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143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33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145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34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146</w:t>
        </w:r>
      </w:hyperlink>
      <w:r w:rsidRPr="00284A87">
        <w:rPr>
          <w:rFonts w:eastAsia="Times New Roman" w:cs="Times New Roman"/>
          <w:szCs w:val="24"/>
          <w:lang w:eastAsia="es-CO"/>
        </w:rPr>
        <w:t>, </w:t>
      </w:r>
      <w:hyperlink r:id="rId35" w:tooltip="Estatuto Tributario CETA" w:history="1">
        <w:r w:rsidRPr="00284A87">
          <w:rPr>
            <w:rFonts w:eastAsia="Times New Roman" w:cs="Times New Roman"/>
            <w:szCs w:val="24"/>
            <w:u w:val="single"/>
            <w:lang w:eastAsia="es-CO"/>
          </w:rPr>
          <w:t>148</w:t>
        </w:r>
      </w:hyperlink>
      <w:r w:rsidRPr="00284A87">
        <w:rPr>
          <w:rFonts w:eastAsia="Times New Roman" w:cs="Times New Roman"/>
          <w:szCs w:val="24"/>
          <w:lang w:eastAsia="es-CO"/>
        </w:rPr>
        <w:t xml:space="preserve"> ibídem y para la deducción de las expensas pueden diferirlas mensualmente durante la vigencia fiscal </w:t>
      </w:r>
      <w:r w:rsidRPr="00284A87">
        <w:rPr>
          <w:rFonts w:eastAsia="Times New Roman" w:cs="Times New Roman"/>
          <w:szCs w:val="24"/>
          <w:lang w:eastAsia="es-CO"/>
        </w:rPr>
        <w:lastRenderedPageBreak/>
        <w:t>correspondiente: en tanto, quienes no están obligados a llevar contabilidad, únicamente pueden deducir aquellas pagadas en el periodo que perciben el ingreso.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Así las cosas, respondemos a su consulta en los siguientes términos: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 xml:space="preserve">Los ingresos netos del primer grupo de independientes corresponden al 40% del valor </w:t>
      </w:r>
      <w:proofErr w:type="spellStart"/>
      <w:r w:rsidRPr="00284A87">
        <w:rPr>
          <w:rFonts w:eastAsia="Times New Roman" w:cs="Times New Roman"/>
          <w:szCs w:val="24"/>
          <w:lang w:eastAsia="es-CO"/>
        </w:rPr>
        <w:t>mensualizado</w:t>
      </w:r>
      <w:proofErr w:type="spellEnd"/>
      <w:r w:rsidRPr="00284A87">
        <w:rPr>
          <w:rFonts w:eastAsia="Times New Roman" w:cs="Times New Roman"/>
          <w:szCs w:val="24"/>
          <w:lang w:eastAsia="es-CO"/>
        </w:rPr>
        <w:t xml:space="preserve"> del contrato pues es la base mínima sobre la que deben cotizar, siempre que sea igual o superior a 1 </w:t>
      </w:r>
      <w:proofErr w:type="spellStart"/>
      <w:r w:rsidRPr="00284A87">
        <w:rPr>
          <w:rFonts w:eastAsia="Times New Roman" w:cs="Times New Roman"/>
          <w:szCs w:val="24"/>
          <w:lang w:eastAsia="es-CO"/>
        </w:rPr>
        <w:t>smlmv</w:t>
      </w:r>
      <w:proofErr w:type="spellEnd"/>
      <w:r w:rsidRPr="00284A87">
        <w:rPr>
          <w:rFonts w:eastAsia="Times New Roman" w:cs="Times New Roman"/>
          <w:szCs w:val="24"/>
          <w:lang w:eastAsia="es-CO"/>
        </w:rPr>
        <w:t>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Sobre el segundo grupo de independientes, esto es los que desarrollan su actividad económica, profesión u oficio por cuenta propia o la celebración de contratos diferentes a los (sic) prestación de servicios personales debe entenderse como ingresos netos los efectivamente percibidos una vez descontados los gastos y expensas siempre que cumplan con los requisitos de causalidad, necesidad y proporcionalidad.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Esperamos haber atendido su consulta.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Cordial saludo,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b/>
          <w:bCs/>
          <w:szCs w:val="24"/>
          <w:lang w:eastAsia="es-CO"/>
        </w:rPr>
        <w:t>CARLOS EDUARDO UMAÑA LIZARAZO</w:t>
      </w:r>
    </w:p>
    <w:p w:rsidR="00284A87" w:rsidRPr="00284A87" w:rsidRDefault="00284A87" w:rsidP="00284A87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284A87">
        <w:rPr>
          <w:rFonts w:eastAsia="Times New Roman" w:cs="Times New Roman"/>
          <w:szCs w:val="24"/>
          <w:lang w:eastAsia="es-CO"/>
        </w:rPr>
        <w:t>Director Jurídico</w:t>
      </w:r>
    </w:p>
    <w:p w:rsidR="00730617" w:rsidRPr="00284A87" w:rsidRDefault="00730617" w:rsidP="00284A87">
      <w:pPr>
        <w:tabs>
          <w:tab w:val="left" w:pos="1668"/>
        </w:tabs>
        <w:rPr>
          <w:rFonts w:cs="Times New Roman"/>
          <w:szCs w:val="24"/>
        </w:rPr>
      </w:pPr>
    </w:p>
    <w:sectPr w:rsidR="00730617" w:rsidRPr="00284A87" w:rsidSect="00284A8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87"/>
    <w:rsid w:val="00284A87"/>
    <w:rsid w:val="00730617"/>
    <w:rsid w:val="00A4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1057"/>
  <w15:chartTrackingRefBased/>
  <w15:docId w15:val="{DF744D57-511B-4604-AF27-C274A7DB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284A8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155" TargetMode="External"/><Relationship Id="rId13" Type="http://schemas.openxmlformats.org/officeDocument/2006/relationships/hyperlink" Target="https://www.ceta.org.co/html/vista_de_un_articulo.asp?Norma=164" TargetMode="External"/><Relationship Id="rId18" Type="http://schemas.openxmlformats.org/officeDocument/2006/relationships/hyperlink" Target="https://www.ceta.org.co/html/vista_de_un_articulo.asp?Norma=168" TargetMode="External"/><Relationship Id="rId26" Type="http://schemas.openxmlformats.org/officeDocument/2006/relationships/hyperlink" Target="https://www.ceta.org.co/html/vista_de_un_articulo.asp?Norma=2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eta.org.co/html/vista_de_un_articulo.asp?Norma=188" TargetMode="External"/><Relationship Id="rId34" Type="http://schemas.openxmlformats.org/officeDocument/2006/relationships/hyperlink" Target="https://www.ceta.org.co/html/vista_de_un_articulo.asp?Norma=208" TargetMode="External"/><Relationship Id="rId7" Type="http://schemas.openxmlformats.org/officeDocument/2006/relationships/hyperlink" Target="https://www.ceta.org.co/html/vista_de_un_articulo.asp?Norma=155" TargetMode="External"/><Relationship Id="rId12" Type="http://schemas.openxmlformats.org/officeDocument/2006/relationships/hyperlink" Target="https://www.ceta.org.co/html/vista_de_un_articulo.asp?Norma=159" TargetMode="External"/><Relationship Id="rId17" Type="http://schemas.openxmlformats.org/officeDocument/2006/relationships/hyperlink" Target="https://www.ceta.org.co/html/vista_de_un_articulo.asp?Norma=167" TargetMode="External"/><Relationship Id="rId25" Type="http://schemas.openxmlformats.org/officeDocument/2006/relationships/hyperlink" Target="https://www.ceta.org.co/html/vista_de_un_articulo.asp?Norma=213" TargetMode="External"/><Relationship Id="rId33" Type="http://schemas.openxmlformats.org/officeDocument/2006/relationships/hyperlink" Target="https://www.ceta.org.co/html/vista_de_un_articulo.asp?Norma=2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eta.org.co/html/vista_de_un_articulo.asp?Norma=42482" TargetMode="External"/><Relationship Id="rId20" Type="http://schemas.openxmlformats.org/officeDocument/2006/relationships/hyperlink" Target="https://www.ceta.org.co/html/vista_de_un_articulo.asp?Norma=173" TargetMode="External"/><Relationship Id="rId29" Type="http://schemas.openxmlformats.org/officeDocument/2006/relationships/hyperlink" Target="https://www.ceta.org.co/html/vista_de_un_articulo.asp?Norma=18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155" TargetMode="External"/><Relationship Id="rId11" Type="http://schemas.openxmlformats.org/officeDocument/2006/relationships/hyperlink" Target="https://www.ceta.org.co/html/vista_de_un_articulo.asp?Norma=157" TargetMode="External"/><Relationship Id="rId24" Type="http://schemas.openxmlformats.org/officeDocument/2006/relationships/hyperlink" Target="https://www.ceta.org.co/html/vista_de_un_articulo.asp?Norma=212" TargetMode="External"/><Relationship Id="rId32" Type="http://schemas.openxmlformats.org/officeDocument/2006/relationships/hyperlink" Target="https://www.ceta.org.co/html/vista_de_un_articulo.asp?Norma=20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eta.org.co/html/vista_de_un_articulo.asp?Norma=155" TargetMode="External"/><Relationship Id="rId15" Type="http://schemas.openxmlformats.org/officeDocument/2006/relationships/hyperlink" Target="https://www.ceta.org.co/html/vista_de_un_articulo.asp?Norma=166" TargetMode="External"/><Relationship Id="rId23" Type="http://schemas.openxmlformats.org/officeDocument/2006/relationships/hyperlink" Target="https://www.ceta.org.co/html/vista_de_un_articulo.asp?Norma=210" TargetMode="External"/><Relationship Id="rId28" Type="http://schemas.openxmlformats.org/officeDocument/2006/relationships/hyperlink" Target="https://www.ceta.org.co/html/vista_de_un_articulo.asp?Norma=24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eta.org.co/html/vista_de_un_articulo.asp?Norma=156" TargetMode="External"/><Relationship Id="rId19" Type="http://schemas.openxmlformats.org/officeDocument/2006/relationships/hyperlink" Target="https://www.ceta.org.co/html/vista_de_un_articulo.asp?Norma=172" TargetMode="External"/><Relationship Id="rId31" Type="http://schemas.openxmlformats.org/officeDocument/2006/relationships/hyperlink" Target="https://www.ceta.org.co/html/vista_de_un_articulo.asp?Norma=204" TargetMode="External"/><Relationship Id="rId4" Type="http://schemas.openxmlformats.org/officeDocument/2006/relationships/hyperlink" Target="https://www.ceta.org.co/html/vista_de_un_articulo.asp?Norma=155" TargetMode="External"/><Relationship Id="rId9" Type="http://schemas.openxmlformats.org/officeDocument/2006/relationships/hyperlink" Target="https://www.ceta.org.co/html/vista_de_un_articulo.asp?Norma=42479" TargetMode="External"/><Relationship Id="rId14" Type="http://schemas.openxmlformats.org/officeDocument/2006/relationships/hyperlink" Target="https://www.ceta.org.co/html/vista_de_un_articulo.asp?Norma=165" TargetMode="External"/><Relationship Id="rId22" Type="http://schemas.openxmlformats.org/officeDocument/2006/relationships/hyperlink" Target="https://www.ceta.org.co/html/vista_de_un_articulo.asp?Norma=208" TargetMode="External"/><Relationship Id="rId27" Type="http://schemas.openxmlformats.org/officeDocument/2006/relationships/hyperlink" Target="https://www.ceta.org.co/html/vista_de_un_articulo.asp?Norma=132" TargetMode="External"/><Relationship Id="rId30" Type="http://schemas.openxmlformats.org/officeDocument/2006/relationships/hyperlink" Target="https://www.ceta.org.co/html/vista_de_un_articulo.asp?Norma=190" TargetMode="External"/><Relationship Id="rId35" Type="http://schemas.openxmlformats.org/officeDocument/2006/relationships/hyperlink" Target="https://www.ceta.org.co/html/vista_de_un_articulo.asp?Norma=2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1874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2019-07-31T00:10:00Z</dcterms:created>
  <dcterms:modified xsi:type="dcterms:W3CDTF">2019-07-31T00:15:00Z</dcterms:modified>
</cp:coreProperties>
</file>