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5F8" w:rsidRPr="003625F8" w:rsidRDefault="003625F8" w:rsidP="003625F8">
      <w:pPr>
        <w:shd w:val="clear" w:color="auto" w:fill="FFFFFF"/>
        <w:spacing w:after="150" w:line="420" w:lineRule="atLeast"/>
        <w:jc w:val="both"/>
        <w:outlineLvl w:val="0"/>
        <w:rPr>
          <w:rFonts w:ascii="Arial" w:eastAsia="Times New Roman" w:hAnsi="Arial" w:cs="Arial"/>
          <w:color w:val="1B1B1B"/>
          <w:kern w:val="36"/>
          <w:sz w:val="45"/>
          <w:szCs w:val="45"/>
          <w:lang w:eastAsia="es-CO"/>
        </w:rPr>
      </w:pPr>
      <w:r w:rsidRPr="003625F8">
        <w:rPr>
          <w:rFonts w:ascii="Arial" w:eastAsia="Times New Roman" w:hAnsi="Arial" w:cs="Arial"/>
          <w:color w:val="1B1B1B"/>
          <w:kern w:val="36"/>
          <w:sz w:val="45"/>
          <w:szCs w:val="45"/>
          <w:lang w:eastAsia="es-CO"/>
        </w:rPr>
        <w:t>Comunicado - Siete reglas judiciales</w: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Noviembre 30, 2016 - 03:00 pm</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noProof/>
          <w:color w:val="6A6A6A"/>
          <w:sz w:val="21"/>
          <w:szCs w:val="21"/>
          <w:lang w:eastAsia="es-CO"/>
        </w:rPr>
        <w:drawing>
          <wp:inline distT="0" distB="0" distL="0" distR="0" wp14:anchorId="0364A742" wp14:editId="79B7FB13">
            <wp:extent cx="5425440" cy="1653540"/>
            <wp:effectExtent l="0" t="0" r="3810" b="3810"/>
            <wp:docPr id="1" name="Imagen 1" descr="Siete reglas judici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te reglas judiciale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1653540"/>
                    </a:xfrm>
                    <a:prstGeom prst="rect">
                      <a:avLst/>
                    </a:prstGeom>
                    <a:noFill/>
                    <a:ln>
                      <a:noFill/>
                    </a:ln>
                  </pic:spPr>
                </pic:pic>
              </a:graphicData>
            </a:graphic>
          </wp:inline>
        </w:drawing>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Siete reglas judiciales</w:t>
      </w:r>
    </w:p>
    <w:p w:rsidR="003625F8" w:rsidRPr="003625F8" w:rsidRDefault="003625F8" w:rsidP="003625F8">
      <w:pPr>
        <w:shd w:val="clear" w:color="auto" w:fill="FFFFFF"/>
        <w:spacing w:after="180" w:line="240" w:lineRule="auto"/>
        <w:jc w:val="both"/>
        <w:rPr>
          <w:rFonts w:ascii="Arial" w:eastAsia="Times New Roman" w:hAnsi="Arial" w:cs="Arial"/>
          <w:b/>
          <w:bCs/>
          <w:color w:val="6A6A6A"/>
          <w:sz w:val="21"/>
          <w:szCs w:val="21"/>
          <w:lang w:eastAsia="es-CO"/>
        </w:rPr>
      </w:pPr>
      <w:r w:rsidRPr="003625F8">
        <w:rPr>
          <w:rFonts w:ascii="Arial" w:eastAsia="Times New Roman" w:hAnsi="Arial" w:cs="Arial"/>
          <w:b/>
          <w:bCs/>
          <w:color w:val="6A6A6A"/>
          <w:sz w:val="21"/>
          <w:szCs w:val="21"/>
          <w:lang w:eastAsia="es-CO"/>
        </w:rPr>
        <w:t xml:space="preserve">Se publican las 7 Reglas Judiciales para el reconocimiento y pago en favor de los beneficiarios inválidos de las pensiones de sobrevivientes, según lo ordenado a través de la Sentencia T-187 de 2016 proferida por </w:t>
      </w:r>
      <w:proofErr w:type="gramStart"/>
      <w:r w:rsidRPr="003625F8">
        <w:rPr>
          <w:rFonts w:ascii="Arial" w:eastAsia="Times New Roman" w:hAnsi="Arial" w:cs="Arial"/>
          <w:b/>
          <w:bCs/>
          <w:color w:val="6A6A6A"/>
          <w:sz w:val="21"/>
          <w:szCs w:val="21"/>
          <w:lang w:eastAsia="es-CO"/>
        </w:rPr>
        <w:t>la  Sala</w:t>
      </w:r>
      <w:proofErr w:type="gramEnd"/>
      <w:r w:rsidRPr="003625F8">
        <w:rPr>
          <w:rFonts w:ascii="Arial" w:eastAsia="Times New Roman" w:hAnsi="Arial" w:cs="Arial"/>
          <w:b/>
          <w:bCs/>
          <w:color w:val="6A6A6A"/>
          <w:sz w:val="21"/>
          <w:szCs w:val="21"/>
          <w:lang w:eastAsia="es-CO"/>
        </w:rPr>
        <w:t xml:space="preserve"> Primera de Revisión de la Corte Constitucional</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A través de la </w:t>
      </w:r>
      <w:r w:rsidRPr="003625F8">
        <w:rPr>
          <w:rFonts w:ascii="Arial" w:eastAsia="Times New Roman" w:hAnsi="Arial" w:cs="Arial"/>
          <w:b/>
          <w:bCs/>
          <w:color w:val="6A6A6A"/>
          <w:sz w:val="21"/>
          <w:szCs w:val="21"/>
          <w:bdr w:val="none" w:sz="0" w:space="0" w:color="auto" w:frame="1"/>
          <w:lang w:eastAsia="es-CO"/>
        </w:rPr>
        <w:t>sentencia T-187 del 18 de abril de 2016, </w:t>
      </w:r>
      <w:r w:rsidRPr="003625F8">
        <w:rPr>
          <w:rFonts w:ascii="Arial" w:eastAsia="Times New Roman" w:hAnsi="Arial" w:cs="Arial"/>
          <w:color w:val="6A6A6A"/>
          <w:sz w:val="21"/>
          <w:szCs w:val="21"/>
          <w:lang w:eastAsia="es-CO"/>
        </w:rPr>
        <w:t>notificada el 3 de junio de 2016, expedida por la Sala Primera de Revisión de la Corte Constitucional, se dispuso, entre otras órdenes, que la </w:t>
      </w:r>
      <w:r w:rsidRPr="003625F8">
        <w:rPr>
          <w:rFonts w:ascii="Arial" w:eastAsia="Times New Roman" w:hAnsi="Arial" w:cs="Arial"/>
          <w:b/>
          <w:bCs/>
          <w:color w:val="6A6A6A"/>
          <w:sz w:val="21"/>
          <w:szCs w:val="21"/>
          <w:bdr w:val="none" w:sz="0" w:space="0" w:color="auto" w:frame="1"/>
          <w:lang w:eastAsia="es-CO"/>
        </w:rPr>
        <w:t>Unidad Administrativa Especial de Gestión Pensional y  Contribuciones Parafiscales de la Protección Social</w:t>
      </w:r>
      <w:r w:rsidRPr="003625F8">
        <w:rPr>
          <w:rFonts w:ascii="Arial" w:eastAsia="Times New Roman" w:hAnsi="Arial" w:cs="Arial"/>
          <w:color w:val="6A6A6A"/>
          <w:sz w:val="21"/>
          <w:szCs w:val="21"/>
          <w:lang w:eastAsia="es-CO"/>
        </w:rPr>
        <w:t> </w:t>
      </w:r>
      <w:r w:rsidRPr="003625F8">
        <w:rPr>
          <w:rFonts w:ascii="Arial" w:eastAsia="Times New Roman" w:hAnsi="Arial" w:cs="Arial"/>
          <w:i/>
          <w:iCs/>
          <w:color w:val="6A6A6A"/>
          <w:sz w:val="21"/>
          <w:szCs w:val="21"/>
          <w:bdr w:val="none" w:sz="0" w:space="0" w:color="auto" w:frame="1"/>
          <w:lang w:eastAsia="es-CO"/>
        </w:rPr>
        <w:t>(en adelante UGPP o La Unidad)</w:t>
      </w:r>
      <w:r w:rsidRPr="003625F8">
        <w:rPr>
          <w:rFonts w:ascii="Arial" w:eastAsia="Times New Roman" w:hAnsi="Arial" w:cs="Arial"/>
          <w:color w:val="6A6A6A"/>
          <w:sz w:val="21"/>
          <w:szCs w:val="21"/>
          <w:lang w:eastAsia="es-CO"/>
        </w:rPr>
        <w:t>, debe incluir a perpetuidad en un lugar visible de su página Web y en todas sus sedes de atención al público, siete (7) reglas judiciales [1], </w:t>
      </w:r>
      <w:r w:rsidRPr="003625F8">
        <w:rPr>
          <w:rFonts w:ascii="Arial" w:eastAsia="Times New Roman" w:hAnsi="Arial" w:cs="Arial"/>
          <w:i/>
          <w:iCs/>
          <w:color w:val="6A6A6A"/>
          <w:sz w:val="21"/>
          <w:szCs w:val="21"/>
          <w:bdr w:val="none" w:sz="0" w:space="0" w:color="auto" w:frame="1"/>
          <w:lang w:eastAsia="es-CO"/>
        </w:rPr>
        <w:t>(que en realidad corresponden a 8) </w:t>
      </w:r>
      <w:r w:rsidRPr="003625F8">
        <w:rPr>
          <w:rFonts w:ascii="Arial" w:eastAsia="Times New Roman" w:hAnsi="Arial" w:cs="Arial"/>
          <w:color w:val="6A6A6A"/>
          <w:sz w:val="21"/>
          <w:szCs w:val="21"/>
          <w:lang w:eastAsia="es-CO"/>
        </w:rPr>
        <w:t>para el reconocimiento y pago de la pensión de sobrevivientes en favor de los hijos o hermanos inválidos del afiliado o pensionado.</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Por lo tanto, la UGPP, a través del presente comunicado, procede a dar cumplimiento a esta orden, así:</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 xml:space="preserve">Por el cual se publican las 7 Reglas Judiciales para el reconocimiento y pago en favor de los beneficiarios inválidos de las pensiones de sobrevivientes, según lo ordenado a través de la Sentencia T-187 de 2016 proferida por </w:t>
      </w:r>
      <w:proofErr w:type="gramStart"/>
      <w:r w:rsidRPr="003625F8">
        <w:rPr>
          <w:rFonts w:ascii="Arial" w:eastAsia="Times New Roman" w:hAnsi="Arial" w:cs="Arial"/>
          <w:b/>
          <w:bCs/>
          <w:color w:val="6A6A6A"/>
          <w:sz w:val="21"/>
          <w:szCs w:val="21"/>
          <w:bdr w:val="none" w:sz="0" w:space="0" w:color="auto" w:frame="1"/>
          <w:lang w:eastAsia="es-CO"/>
        </w:rPr>
        <w:t>la  Sala</w:t>
      </w:r>
      <w:proofErr w:type="gramEnd"/>
      <w:r w:rsidRPr="003625F8">
        <w:rPr>
          <w:rFonts w:ascii="Arial" w:eastAsia="Times New Roman" w:hAnsi="Arial" w:cs="Arial"/>
          <w:b/>
          <w:bCs/>
          <w:color w:val="6A6A6A"/>
          <w:sz w:val="21"/>
          <w:szCs w:val="21"/>
          <w:bdr w:val="none" w:sz="0" w:space="0" w:color="auto" w:frame="1"/>
          <w:lang w:eastAsia="es-CO"/>
        </w:rPr>
        <w:t xml:space="preserve"> Primera de Revisión de la Corte Constitucional</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I. Primera regla: “autoridad encargada de dictaminar la invalidez"</w: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Para el reconocimiento de la pensión de sobrevivientes en favor de persona inválida, ésta debe someterse al proceso de calificación de invalidez (Artículo 142 Decreto Ley 019 de 2012).</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 xml:space="preserve">Una persona se considera inválida cuando ha perdido el 50% o más de su capacidad laboral certificada (artículo 41 de la Ley 100 de 1993), para lo cual deberá aportar el dictamen </w:t>
      </w:r>
      <w:proofErr w:type="spellStart"/>
      <w:r w:rsidRPr="003625F8">
        <w:rPr>
          <w:rFonts w:ascii="Arial" w:eastAsia="Times New Roman" w:hAnsi="Arial" w:cs="Arial"/>
          <w:color w:val="6A6A6A"/>
          <w:sz w:val="21"/>
          <w:szCs w:val="21"/>
          <w:lang w:eastAsia="es-CO"/>
        </w:rPr>
        <w:t>de</w:t>
      </w:r>
      <w:r w:rsidRPr="003625F8">
        <w:rPr>
          <w:rFonts w:ascii="Arial" w:eastAsia="Times New Roman" w:hAnsi="Arial" w:cs="Arial"/>
          <w:b/>
          <w:bCs/>
          <w:color w:val="6A6A6A"/>
          <w:sz w:val="21"/>
          <w:szCs w:val="21"/>
          <w:bdr w:val="none" w:sz="0" w:space="0" w:color="auto" w:frame="1"/>
          <w:lang w:eastAsia="es-CO"/>
        </w:rPr>
        <w:t>Pérdida</w:t>
      </w:r>
      <w:proofErr w:type="spellEnd"/>
      <w:r w:rsidRPr="003625F8">
        <w:rPr>
          <w:rFonts w:ascii="Arial" w:eastAsia="Times New Roman" w:hAnsi="Arial" w:cs="Arial"/>
          <w:b/>
          <w:bCs/>
          <w:color w:val="6A6A6A"/>
          <w:sz w:val="21"/>
          <w:szCs w:val="21"/>
          <w:bdr w:val="none" w:sz="0" w:space="0" w:color="auto" w:frame="1"/>
          <w:lang w:eastAsia="es-CO"/>
        </w:rPr>
        <w:t xml:space="preserve"> de Capacidad Laboral-PCL</w:t>
      </w:r>
      <w:r w:rsidRPr="003625F8">
        <w:rPr>
          <w:rFonts w:ascii="Arial" w:eastAsia="Times New Roman" w:hAnsi="Arial" w:cs="Arial"/>
          <w:color w:val="6A6A6A"/>
          <w:sz w:val="21"/>
          <w:szCs w:val="21"/>
          <w:lang w:eastAsia="es-CO"/>
        </w:rPr>
        <w:t>, en firme</w:t>
      </w:r>
      <w:bookmarkStart w:id="0" w:name="_ftnref2"/>
      <w:r w:rsidRPr="003625F8">
        <w:rPr>
          <w:rFonts w:ascii="Arial" w:eastAsia="Times New Roman" w:hAnsi="Arial" w:cs="Arial"/>
          <w:color w:val="6A6A6A"/>
          <w:sz w:val="21"/>
          <w:szCs w:val="21"/>
          <w:lang w:eastAsia="es-CO"/>
        </w:rPr>
        <w:fldChar w:fldCharType="begin"/>
      </w:r>
      <w:r w:rsidRPr="003625F8">
        <w:rPr>
          <w:rFonts w:ascii="Arial" w:eastAsia="Times New Roman" w:hAnsi="Arial" w:cs="Arial"/>
          <w:color w:val="6A6A6A"/>
          <w:sz w:val="21"/>
          <w:szCs w:val="21"/>
          <w:lang w:eastAsia="es-CO"/>
        </w:rPr>
        <w:instrText xml:space="preserve"> HYPERLINK "file:///\\\\tivsvfsdu04\\Tivit05$\\TE_Data05\\lmedina\\Downloads\\DEFINITIVO%20COMUNICADO%20SIETE%20REGLAS_T187%20DE%202016%20(1).docx" \l "_ftn2" \o "" </w:instrText>
      </w:r>
      <w:r w:rsidRPr="003625F8">
        <w:rPr>
          <w:rFonts w:ascii="Arial" w:eastAsia="Times New Roman" w:hAnsi="Arial" w:cs="Arial"/>
          <w:color w:val="6A6A6A"/>
          <w:sz w:val="21"/>
          <w:szCs w:val="21"/>
          <w:lang w:eastAsia="es-CO"/>
        </w:rPr>
        <w:fldChar w:fldCharType="separate"/>
      </w:r>
      <w:r w:rsidRPr="003625F8">
        <w:rPr>
          <w:rFonts w:ascii="Arial" w:eastAsia="Times New Roman" w:hAnsi="Arial" w:cs="Arial"/>
          <w:color w:val="3A92EA"/>
          <w:sz w:val="21"/>
          <w:szCs w:val="21"/>
          <w:u w:val="single"/>
          <w:bdr w:val="none" w:sz="0" w:space="0" w:color="auto" w:frame="1"/>
          <w:lang w:eastAsia="es-CO"/>
        </w:rPr>
        <w:t>[2]</w:t>
      </w:r>
      <w:r w:rsidRPr="003625F8">
        <w:rPr>
          <w:rFonts w:ascii="Arial" w:eastAsia="Times New Roman" w:hAnsi="Arial" w:cs="Arial"/>
          <w:color w:val="6A6A6A"/>
          <w:sz w:val="21"/>
          <w:szCs w:val="21"/>
          <w:lang w:eastAsia="es-CO"/>
        </w:rPr>
        <w:fldChar w:fldCharType="end"/>
      </w:r>
      <w:bookmarkEnd w:id="0"/>
      <w:r w:rsidRPr="003625F8">
        <w:rPr>
          <w:rFonts w:ascii="Arial" w:eastAsia="Times New Roman" w:hAnsi="Arial" w:cs="Arial"/>
          <w:color w:val="6A6A6A"/>
          <w:sz w:val="21"/>
          <w:szCs w:val="21"/>
          <w:lang w:eastAsia="es-CO"/>
        </w:rPr>
        <w:t> que así lo acredite, expedido por el Instituto de Seguros Sociales hoy Colpensiones, las Administradoras de Riesgos Laborales, las Compañías de Seguros que asumieron el riesgo de invalidez y muerte, las EPS,  la Junta Regional de Calificación de Invalidez o a la Junta Nacional de Calificación de Invalidez, según corresponda.</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 xml:space="preserve">No obstante, de manera excepcional cuando existan razones debidamente comprobadas que le impidan a la persona recurrir directamente a una de las entidades citadas, como graves </w:t>
      </w:r>
      <w:r w:rsidRPr="003625F8">
        <w:rPr>
          <w:rFonts w:ascii="Arial" w:eastAsia="Times New Roman" w:hAnsi="Arial" w:cs="Arial"/>
          <w:color w:val="6A6A6A"/>
          <w:sz w:val="21"/>
          <w:szCs w:val="21"/>
          <w:lang w:eastAsia="es-CO"/>
        </w:rPr>
        <w:lastRenderedPageBreak/>
        <w:t xml:space="preserve">problemas de salud y movilidad que impidan en forma permanente su desplazamiento, </w:t>
      </w:r>
      <w:proofErr w:type="gramStart"/>
      <w:r w:rsidRPr="003625F8">
        <w:rPr>
          <w:rFonts w:ascii="Arial" w:eastAsia="Times New Roman" w:hAnsi="Arial" w:cs="Arial"/>
          <w:color w:val="6A6A6A"/>
          <w:sz w:val="21"/>
          <w:szCs w:val="21"/>
          <w:lang w:eastAsia="es-CO"/>
        </w:rPr>
        <w:t>y</w:t>
      </w:r>
      <w:proofErr w:type="gramEnd"/>
      <w:r w:rsidRPr="003625F8">
        <w:rPr>
          <w:rFonts w:ascii="Arial" w:eastAsia="Times New Roman" w:hAnsi="Arial" w:cs="Arial"/>
          <w:color w:val="6A6A6A"/>
          <w:sz w:val="21"/>
          <w:szCs w:val="21"/>
          <w:lang w:eastAsia="es-CO"/>
        </w:rPr>
        <w:t xml:space="preserve"> por tanto, no pueda acceder a la calificación del estado de invalidez, pero aporte documentos que acrediten su</w:t>
      </w:r>
      <w:r w:rsidRPr="003625F8">
        <w:rPr>
          <w:rFonts w:ascii="Arial" w:eastAsia="Times New Roman" w:hAnsi="Arial" w:cs="Arial"/>
          <w:b/>
          <w:bCs/>
          <w:color w:val="6A6A6A"/>
          <w:sz w:val="21"/>
          <w:szCs w:val="21"/>
          <w:bdr w:val="none" w:sz="0" w:space="0" w:color="auto" w:frame="1"/>
          <w:lang w:eastAsia="es-CO"/>
        </w:rPr>
        <w:t> delicado estado de salud</w:t>
      </w:r>
      <w:r w:rsidRPr="003625F8">
        <w:rPr>
          <w:rFonts w:ascii="Arial" w:eastAsia="Times New Roman" w:hAnsi="Arial" w:cs="Arial"/>
          <w:color w:val="6A6A6A"/>
          <w:sz w:val="21"/>
          <w:szCs w:val="21"/>
          <w:lang w:eastAsia="es-CO"/>
        </w:rPr>
        <w:t>, la UGPP remitirá a la entidad que tenga competencia legal los documentos recibidos para que adelante el trámite de la calificación.</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II. Segunda Regla: “fecha de estructuración posterior al fallecimiento al del cotizante o pensionado" </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Para tener derecho a la pensión de sobrevivientes por parte del hijo inválido mayor de edad o el hermano inválido del causante </w:t>
      </w:r>
      <w:r w:rsidRPr="003625F8">
        <w:rPr>
          <w:rFonts w:ascii="Arial" w:eastAsia="Times New Roman" w:hAnsi="Arial" w:cs="Arial"/>
          <w:i/>
          <w:iCs/>
          <w:color w:val="6A6A6A"/>
          <w:sz w:val="21"/>
          <w:szCs w:val="21"/>
          <w:bdr w:val="none" w:sz="0" w:space="0" w:color="auto" w:frame="1"/>
          <w:lang w:eastAsia="es-CO"/>
        </w:rPr>
        <w:t>(de acuerdo al orden de prevalencia establecido en la ley</w:t>
      </w:r>
      <w:proofErr w:type="gramStart"/>
      <w:r w:rsidRPr="003625F8">
        <w:rPr>
          <w:rFonts w:ascii="Arial" w:eastAsia="Times New Roman" w:hAnsi="Arial" w:cs="Arial"/>
          <w:i/>
          <w:iCs/>
          <w:color w:val="6A6A6A"/>
          <w:sz w:val="21"/>
          <w:szCs w:val="21"/>
          <w:bdr w:val="none" w:sz="0" w:space="0" w:color="auto" w:frame="1"/>
          <w:lang w:eastAsia="es-CO"/>
        </w:rPr>
        <w:t>),</w:t>
      </w:r>
      <w:r w:rsidRPr="003625F8">
        <w:rPr>
          <w:rFonts w:ascii="Arial" w:eastAsia="Times New Roman" w:hAnsi="Arial" w:cs="Arial"/>
          <w:color w:val="6A6A6A"/>
          <w:sz w:val="21"/>
          <w:szCs w:val="21"/>
          <w:lang w:eastAsia="es-CO"/>
        </w:rPr>
        <w:t>es</w:t>
      </w:r>
      <w:proofErr w:type="gramEnd"/>
      <w:r w:rsidRPr="003625F8">
        <w:rPr>
          <w:rFonts w:ascii="Arial" w:eastAsia="Times New Roman" w:hAnsi="Arial" w:cs="Arial"/>
          <w:color w:val="6A6A6A"/>
          <w:sz w:val="21"/>
          <w:szCs w:val="21"/>
          <w:lang w:eastAsia="es-CO"/>
        </w:rPr>
        <w:t xml:space="preserve"> necesario que la fecha de estructuración de la </w:t>
      </w:r>
      <w:r w:rsidRPr="003625F8">
        <w:rPr>
          <w:rFonts w:ascii="Arial" w:eastAsia="Times New Roman" w:hAnsi="Arial" w:cs="Arial"/>
          <w:b/>
          <w:bCs/>
          <w:color w:val="6A6A6A"/>
          <w:sz w:val="21"/>
          <w:szCs w:val="21"/>
          <w:bdr w:val="none" w:sz="0" w:space="0" w:color="auto" w:frame="1"/>
          <w:lang w:eastAsia="es-CO"/>
        </w:rPr>
        <w:t>Pérdida de la Capacidad Laboral–PCL</w:t>
      </w:r>
      <w:r w:rsidRPr="003625F8">
        <w:rPr>
          <w:rFonts w:ascii="Arial" w:eastAsia="Times New Roman" w:hAnsi="Arial" w:cs="Arial"/>
          <w:color w:val="6A6A6A"/>
          <w:sz w:val="21"/>
          <w:szCs w:val="21"/>
          <w:lang w:eastAsia="es-CO"/>
        </w:rPr>
        <w:t> del solicitante, sea anterior a la fecha del fallecimiento del causante – cotizante (padre o hermano del beneficiario inválido). </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Por el contrario, si la fecha de estructuración de la invalidez del hijo o hermano inválido del afiliado o cotizante, es posterior al deceso de este último, no habrá derecho a la pensión de sobrevivientes.</w: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 xml:space="preserve">Es importante tener en cuenta </w:t>
      </w:r>
      <w:proofErr w:type="gramStart"/>
      <w:r w:rsidRPr="003625F8">
        <w:rPr>
          <w:rFonts w:ascii="Arial" w:eastAsia="Times New Roman" w:hAnsi="Arial" w:cs="Arial"/>
          <w:color w:val="6A6A6A"/>
          <w:sz w:val="21"/>
          <w:szCs w:val="21"/>
          <w:lang w:eastAsia="es-CO"/>
        </w:rPr>
        <w:t>que</w:t>
      </w:r>
      <w:proofErr w:type="gramEnd"/>
      <w:r w:rsidRPr="003625F8">
        <w:rPr>
          <w:rFonts w:ascii="Arial" w:eastAsia="Times New Roman" w:hAnsi="Arial" w:cs="Arial"/>
          <w:color w:val="6A6A6A"/>
          <w:sz w:val="21"/>
          <w:szCs w:val="21"/>
          <w:lang w:eastAsia="es-CO"/>
        </w:rPr>
        <w:t xml:space="preserve"> no obstante cuando la fecha de estructuración sea posterior a la fecha del fallecimiento del causante y, en concepto de los organismos competentes para definir la calificación, se determine una nueva fecha de estructuración anterior, entonces, así deberán consignarlo en el respectivo dictamen para que la entidad pensional proceda a reconocer y a pagar la pensión de sobrevivientes. Esto, especialmente, cuando se esté en presencia de enfermedades crónicas, degenerativas y congénitas.</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III. Tercera Regla: “acreditación de la dependencia económica"</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El hijo inválido o el hermano inválido del causante </w:t>
      </w:r>
      <w:r w:rsidRPr="003625F8">
        <w:rPr>
          <w:rFonts w:ascii="Arial" w:eastAsia="Times New Roman" w:hAnsi="Arial" w:cs="Arial"/>
          <w:i/>
          <w:iCs/>
          <w:color w:val="6A6A6A"/>
          <w:sz w:val="21"/>
          <w:szCs w:val="21"/>
          <w:bdr w:val="none" w:sz="0" w:space="0" w:color="auto" w:frame="1"/>
          <w:lang w:eastAsia="es-CO"/>
        </w:rPr>
        <w:t>(según el orden legal de prelación de beneficiarios para acceder a la pensión de sobrevivientes</w:t>
      </w:r>
      <w:bookmarkStart w:id="1" w:name="_ftnref3"/>
      <w:r w:rsidRPr="003625F8">
        <w:rPr>
          <w:rFonts w:ascii="Arial" w:eastAsia="Times New Roman" w:hAnsi="Arial" w:cs="Arial"/>
          <w:i/>
          <w:iCs/>
          <w:color w:val="6A6A6A"/>
          <w:sz w:val="21"/>
          <w:szCs w:val="21"/>
          <w:bdr w:val="none" w:sz="0" w:space="0" w:color="auto" w:frame="1"/>
          <w:lang w:eastAsia="es-CO"/>
        </w:rPr>
        <w:fldChar w:fldCharType="begin"/>
      </w:r>
      <w:r w:rsidRPr="003625F8">
        <w:rPr>
          <w:rFonts w:ascii="Arial" w:eastAsia="Times New Roman" w:hAnsi="Arial" w:cs="Arial"/>
          <w:i/>
          <w:iCs/>
          <w:color w:val="6A6A6A"/>
          <w:sz w:val="21"/>
          <w:szCs w:val="21"/>
          <w:bdr w:val="none" w:sz="0" w:space="0" w:color="auto" w:frame="1"/>
          <w:lang w:eastAsia="es-CO"/>
        </w:rPr>
        <w:instrText xml:space="preserve"> HYPERLINK "file:///\\\\tivsvfsdu04\\Tivit05$\\TE_Data05\\lmedina\\Downloads\\DEFINITIVO%20COMUNICADO%20SIETE%20REGLAS_T187%20DE%202016%20(1).docx" \l "_ftn3" \o "" </w:instrText>
      </w:r>
      <w:r w:rsidRPr="003625F8">
        <w:rPr>
          <w:rFonts w:ascii="Arial" w:eastAsia="Times New Roman" w:hAnsi="Arial" w:cs="Arial"/>
          <w:i/>
          <w:iCs/>
          <w:color w:val="6A6A6A"/>
          <w:sz w:val="21"/>
          <w:szCs w:val="21"/>
          <w:bdr w:val="none" w:sz="0" w:space="0" w:color="auto" w:frame="1"/>
          <w:lang w:eastAsia="es-CO"/>
        </w:rPr>
        <w:fldChar w:fldCharType="separate"/>
      </w:r>
      <w:r w:rsidRPr="003625F8">
        <w:rPr>
          <w:rFonts w:ascii="Arial" w:eastAsia="Times New Roman" w:hAnsi="Arial" w:cs="Arial"/>
          <w:b/>
          <w:bCs/>
          <w:i/>
          <w:iCs/>
          <w:color w:val="3A92EA"/>
          <w:sz w:val="21"/>
          <w:szCs w:val="21"/>
          <w:u w:val="single"/>
          <w:bdr w:val="none" w:sz="0" w:space="0" w:color="auto" w:frame="1"/>
          <w:lang w:eastAsia="es-CO"/>
        </w:rPr>
        <w:t>[3]</w:t>
      </w:r>
      <w:r w:rsidRPr="003625F8">
        <w:rPr>
          <w:rFonts w:ascii="Arial" w:eastAsia="Times New Roman" w:hAnsi="Arial" w:cs="Arial"/>
          <w:i/>
          <w:iCs/>
          <w:color w:val="6A6A6A"/>
          <w:sz w:val="21"/>
          <w:szCs w:val="21"/>
          <w:bdr w:val="none" w:sz="0" w:space="0" w:color="auto" w:frame="1"/>
          <w:lang w:eastAsia="es-CO"/>
        </w:rPr>
        <w:fldChar w:fldCharType="end"/>
      </w:r>
      <w:bookmarkEnd w:id="1"/>
      <w:r w:rsidRPr="003625F8">
        <w:rPr>
          <w:rFonts w:ascii="Arial" w:eastAsia="Times New Roman" w:hAnsi="Arial" w:cs="Arial"/>
          <w:i/>
          <w:iCs/>
          <w:color w:val="6A6A6A"/>
          <w:sz w:val="21"/>
          <w:szCs w:val="21"/>
          <w:bdr w:val="none" w:sz="0" w:space="0" w:color="auto" w:frame="1"/>
          <w:lang w:eastAsia="es-CO"/>
        </w:rPr>
        <w:t>)</w:t>
      </w:r>
      <w:r w:rsidRPr="003625F8">
        <w:rPr>
          <w:rFonts w:ascii="Arial" w:eastAsia="Times New Roman" w:hAnsi="Arial" w:cs="Arial"/>
          <w:color w:val="6A6A6A"/>
          <w:sz w:val="21"/>
          <w:szCs w:val="21"/>
          <w:lang w:eastAsia="es-CO"/>
        </w:rPr>
        <w:t>, debe acreditar, además, que</w:t>
      </w:r>
      <w:r>
        <w:rPr>
          <w:rFonts w:ascii="Arial" w:eastAsia="Times New Roman" w:hAnsi="Arial" w:cs="Arial"/>
          <w:color w:val="6A6A6A"/>
          <w:sz w:val="21"/>
          <w:szCs w:val="21"/>
          <w:lang w:eastAsia="es-CO"/>
        </w:rPr>
        <w:t xml:space="preserve"> </w:t>
      </w:r>
      <w:r w:rsidRPr="003625F8">
        <w:rPr>
          <w:rFonts w:ascii="Arial" w:eastAsia="Times New Roman" w:hAnsi="Arial" w:cs="Arial"/>
          <w:b/>
          <w:bCs/>
          <w:color w:val="6A6A6A"/>
          <w:sz w:val="21"/>
          <w:szCs w:val="21"/>
          <w:bdr w:val="none" w:sz="0" w:space="0" w:color="auto" w:frame="1"/>
          <w:lang w:eastAsia="es-CO"/>
        </w:rPr>
        <w:t>dependía económicamente</w:t>
      </w:r>
      <w:r w:rsidRPr="003625F8">
        <w:rPr>
          <w:rFonts w:ascii="Arial" w:eastAsia="Times New Roman" w:hAnsi="Arial" w:cs="Arial"/>
          <w:color w:val="6A6A6A"/>
          <w:sz w:val="21"/>
          <w:szCs w:val="21"/>
          <w:lang w:eastAsia="es-CO"/>
        </w:rPr>
        <w:t> del afiliado o pensionado.</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Tal </w:t>
      </w:r>
      <w:r w:rsidRPr="003625F8">
        <w:rPr>
          <w:rFonts w:ascii="Arial" w:eastAsia="Times New Roman" w:hAnsi="Arial" w:cs="Arial"/>
          <w:b/>
          <w:bCs/>
          <w:color w:val="6A6A6A"/>
          <w:sz w:val="21"/>
          <w:szCs w:val="21"/>
          <w:bdr w:val="none" w:sz="0" w:space="0" w:color="auto" w:frame="1"/>
          <w:lang w:eastAsia="es-CO"/>
        </w:rPr>
        <w:t>dependencia económica en relación con el causante o pensionado, </w:t>
      </w:r>
      <w:r w:rsidRPr="003625F8">
        <w:rPr>
          <w:rFonts w:ascii="Arial" w:eastAsia="Times New Roman" w:hAnsi="Arial" w:cs="Arial"/>
          <w:color w:val="6A6A6A"/>
          <w:sz w:val="21"/>
          <w:szCs w:val="21"/>
          <w:lang w:eastAsia="es-CO"/>
        </w:rPr>
        <w:t>se demuestra cuando el solicitante </w:t>
      </w:r>
      <w:r w:rsidRPr="003625F8">
        <w:rPr>
          <w:rFonts w:ascii="Arial" w:eastAsia="Times New Roman" w:hAnsi="Arial" w:cs="Arial"/>
          <w:b/>
          <w:bCs/>
          <w:color w:val="6A6A6A"/>
          <w:sz w:val="21"/>
          <w:szCs w:val="21"/>
          <w:bdr w:val="none" w:sz="0" w:space="0" w:color="auto" w:frame="1"/>
          <w:lang w:eastAsia="es-CO"/>
        </w:rPr>
        <w:t>requiera </w:t>
      </w:r>
      <w:r w:rsidRPr="003625F8">
        <w:rPr>
          <w:rFonts w:ascii="Arial" w:eastAsia="Times New Roman" w:hAnsi="Arial" w:cs="Arial"/>
          <w:color w:val="6A6A6A"/>
          <w:sz w:val="21"/>
          <w:szCs w:val="21"/>
          <w:lang w:eastAsia="es-CO"/>
        </w:rPr>
        <w:t>de los </w:t>
      </w:r>
      <w:r w:rsidRPr="003625F8">
        <w:rPr>
          <w:rFonts w:ascii="Arial" w:eastAsia="Times New Roman" w:hAnsi="Arial" w:cs="Arial"/>
          <w:b/>
          <w:bCs/>
          <w:color w:val="6A6A6A"/>
          <w:sz w:val="21"/>
          <w:szCs w:val="21"/>
          <w:bdr w:val="none" w:sz="0" w:space="0" w:color="auto" w:frame="1"/>
          <w:lang w:eastAsia="es-CO"/>
        </w:rPr>
        <w:t>ingresos </w:t>
      </w:r>
      <w:r w:rsidRPr="003625F8">
        <w:rPr>
          <w:rFonts w:ascii="Arial" w:eastAsia="Times New Roman" w:hAnsi="Arial" w:cs="Arial"/>
          <w:color w:val="6A6A6A"/>
          <w:sz w:val="21"/>
          <w:szCs w:val="21"/>
          <w:lang w:eastAsia="es-CO"/>
        </w:rPr>
        <w:t>que le suministraba en vida el causante para continuar cubriendo su </w:t>
      </w:r>
      <w:r w:rsidRPr="003625F8">
        <w:rPr>
          <w:rFonts w:ascii="Arial" w:eastAsia="Times New Roman" w:hAnsi="Arial" w:cs="Arial"/>
          <w:b/>
          <w:bCs/>
          <w:color w:val="6A6A6A"/>
          <w:sz w:val="21"/>
          <w:szCs w:val="21"/>
          <w:bdr w:val="none" w:sz="0" w:space="0" w:color="auto" w:frame="1"/>
          <w:lang w:eastAsia="es-CO"/>
        </w:rPr>
        <w:t>mínimo existencial</w:t>
      </w:r>
      <w:r w:rsidRPr="003625F8">
        <w:rPr>
          <w:rFonts w:ascii="Arial" w:eastAsia="Times New Roman" w:hAnsi="Arial" w:cs="Arial"/>
          <w:color w:val="6A6A6A"/>
          <w:sz w:val="21"/>
          <w:szCs w:val="21"/>
          <w:lang w:eastAsia="es-CO"/>
        </w:rPr>
        <w:t> en condiciones dignas. </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En el evento que tales solicitantes </w:t>
      </w:r>
      <w:r w:rsidRPr="003625F8">
        <w:rPr>
          <w:rFonts w:ascii="Arial" w:eastAsia="Times New Roman" w:hAnsi="Arial" w:cs="Arial"/>
          <w:b/>
          <w:bCs/>
          <w:color w:val="6A6A6A"/>
          <w:sz w:val="21"/>
          <w:szCs w:val="21"/>
          <w:bdr w:val="none" w:sz="0" w:space="0" w:color="auto" w:frame="1"/>
          <w:lang w:eastAsia="es-CO"/>
        </w:rPr>
        <w:t>no dependieran económicamente del causante por mediar pruebas en contrario,</w:t>
      </w:r>
      <w:r w:rsidRPr="003625F8">
        <w:rPr>
          <w:rFonts w:ascii="Arial" w:eastAsia="Times New Roman" w:hAnsi="Arial" w:cs="Arial"/>
          <w:color w:val="6A6A6A"/>
          <w:sz w:val="21"/>
          <w:szCs w:val="21"/>
          <w:lang w:eastAsia="es-CO"/>
        </w:rPr>
        <w:t xml:space="preserve"> no </w:t>
      </w:r>
      <w:proofErr w:type="gramStart"/>
      <w:r w:rsidRPr="003625F8">
        <w:rPr>
          <w:rFonts w:ascii="Arial" w:eastAsia="Times New Roman" w:hAnsi="Arial" w:cs="Arial"/>
          <w:color w:val="6A6A6A"/>
          <w:sz w:val="21"/>
          <w:szCs w:val="21"/>
          <w:lang w:eastAsia="es-CO"/>
        </w:rPr>
        <w:t>le</w:t>
      </w:r>
      <w:proofErr w:type="gramEnd"/>
      <w:r w:rsidRPr="003625F8">
        <w:rPr>
          <w:rFonts w:ascii="Arial" w:eastAsia="Times New Roman" w:hAnsi="Arial" w:cs="Arial"/>
          <w:color w:val="6A6A6A"/>
          <w:sz w:val="21"/>
          <w:szCs w:val="21"/>
          <w:lang w:eastAsia="es-CO"/>
        </w:rPr>
        <w:t xml:space="preserve"> corresponde a las entidades reconocedoras de pensiones (como UGPP), valorar los medios de prueba contradictorios, razón por la cual negarán la solicitud de reconocimiento, pudiendo ser revisada esa decisión por un juez de la República, a solicitud de la parte interesada.</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En esos casos, los jueces, para elegir entre las pruebas contradictorias, deben acoger que  </w:t>
      </w:r>
      <w:r w:rsidRPr="003625F8">
        <w:rPr>
          <w:rFonts w:ascii="Arial" w:eastAsia="Times New Roman" w:hAnsi="Arial" w:cs="Arial"/>
          <w:b/>
          <w:bCs/>
          <w:i/>
          <w:iCs/>
          <w:color w:val="6A6A6A"/>
          <w:sz w:val="21"/>
          <w:szCs w:val="21"/>
          <w:bdr w:val="none" w:sz="0" w:space="0" w:color="auto" w:frame="1"/>
          <w:lang w:eastAsia="es-CO"/>
        </w:rPr>
        <w:t xml:space="preserve">“…la dependencia económica ha sido comprendida como: (i) la falta de condiciones materiales mínimas en cabeza de los beneficiarios del causante de la pensión de sobrevivientes, para </w:t>
      </w:r>
      <w:proofErr w:type="spellStart"/>
      <w:r w:rsidRPr="003625F8">
        <w:rPr>
          <w:rFonts w:ascii="Arial" w:eastAsia="Times New Roman" w:hAnsi="Arial" w:cs="Arial"/>
          <w:b/>
          <w:bCs/>
          <w:i/>
          <w:iCs/>
          <w:color w:val="6A6A6A"/>
          <w:sz w:val="21"/>
          <w:szCs w:val="21"/>
          <w:bdr w:val="none" w:sz="0" w:space="0" w:color="auto" w:frame="1"/>
          <w:lang w:eastAsia="es-CO"/>
        </w:rPr>
        <w:t>auto-proporcionarse</w:t>
      </w:r>
      <w:proofErr w:type="spellEnd"/>
      <w:r w:rsidRPr="003625F8">
        <w:rPr>
          <w:rFonts w:ascii="Arial" w:eastAsia="Times New Roman" w:hAnsi="Arial" w:cs="Arial"/>
          <w:b/>
          <w:bCs/>
          <w:i/>
          <w:iCs/>
          <w:color w:val="6A6A6A"/>
          <w:sz w:val="21"/>
          <w:szCs w:val="21"/>
          <w:bdr w:val="none" w:sz="0" w:space="0" w:color="auto" w:frame="1"/>
          <w:lang w:eastAsia="es-CO"/>
        </w:rPr>
        <w:t xml:space="preserve"> o mantener su subsistencia; (y que) (</w:t>
      </w:r>
      <w:proofErr w:type="spellStart"/>
      <w:r w:rsidRPr="003625F8">
        <w:rPr>
          <w:rFonts w:ascii="Arial" w:eastAsia="Times New Roman" w:hAnsi="Arial" w:cs="Arial"/>
          <w:b/>
          <w:bCs/>
          <w:i/>
          <w:iCs/>
          <w:color w:val="6A6A6A"/>
          <w:sz w:val="21"/>
          <w:szCs w:val="21"/>
          <w:bdr w:val="none" w:sz="0" w:space="0" w:color="auto" w:frame="1"/>
          <w:lang w:eastAsia="es-CO"/>
        </w:rPr>
        <w:t>ii</w:t>
      </w:r>
      <w:proofErr w:type="spellEnd"/>
      <w:r w:rsidRPr="003625F8">
        <w:rPr>
          <w:rFonts w:ascii="Arial" w:eastAsia="Times New Roman" w:hAnsi="Arial" w:cs="Arial"/>
          <w:b/>
          <w:bCs/>
          <w:i/>
          <w:iCs/>
          <w:color w:val="6A6A6A"/>
          <w:sz w:val="21"/>
          <w:szCs w:val="21"/>
          <w:bdr w:val="none" w:sz="0" w:space="0" w:color="auto" w:frame="1"/>
          <w:lang w:eastAsia="es-CO"/>
        </w:rPr>
        <w:t>) la presencia de ciertos ingresos no constituye la falta de la misma, ya que tan solo se es independiente cuando el solicitante puede por sus propios medios mantener su mínimo existencial en condiciones dignas”</w:t>
      </w:r>
      <w:r w:rsidRPr="003625F8">
        <w:rPr>
          <w:rFonts w:ascii="Arial" w:eastAsia="Times New Roman" w:hAnsi="Arial" w:cs="Arial"/>
          <w:color w:val="6A6A6A"/>
          <w:sz w:val="21"/>
          <w:szCs w:val="21"/>
          <w:lang w:eastAsia="es-CO"/>
        </w:rPr>
        <w:t> (Ver sentencia C-066 de 2016 proferida por la Corte Constitucional) (Lo resaltado no es propio del texto original)</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IV. Cuarta Regla: “desconocimiento de la condición de invalidez"</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lastRenderedPageBreak/>
        <w:t>La entidad encargada del pago de la pensión de sobrevivientes no puede suspender la cancelación de las mesadas a favor del beneficiario en condición de invalidez que alcanzó la mayoría de edad, o que superó los 25 años (en caso de ser estudiante de tiempo completo), si no se cerciora antes sobre el estado de salud (invalidez).</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Para dar cumplimiento a la anterior regla, La Unidad en forma general y a través del presente comunicado requiere a todos y cada uno de tales beneficiarios menores de 18 años  y hasta 25 años de edad (a cargo de la UGPP), que tengan o lleguen a tener una condición de invalidez igual o superior al </w:t>
      </w:r>
      <w:r w:rsidRPr="003625F8">
        <w:rPr>
          <w:rFonts w:ascii="Arial" w:eastAsia="Times New Roman" w:hAnsi="Arial" w:cs="Arial"/>
          <w:b/>
          <w:bCs/>
          <w:color w:val="6A6A6A"/>
          <w:sz w:val="21"/>
          <w:szCs w:val="21"/>
          <w:bdr w:val="none" w:sz="0" w:space="0" w:color="auto" w:frame="1"/>
          <w:lang w:eastAsia="es-CO"/>
        </w:rPr>
        <w:t>50%</w:t>
      </w:r>
      <w:r w:rsidRPr="003625F8">
        <w:rPr>
          <w:rFonts w:ascii="Arial" w:eastAsia="Times New Roman" w:hAnsi="Arial" w:cs="Arial"/>
          <w:color w:val="6A6A6A"/>
          <w:sz w:val="21"/>
          <w:szCs w:val="21"/>
          <w:lang w:eastAsia="es-CO"/>
        </w:rPr>
        <w:t xml:space="preserve"> de pérdida de capacidad laboral -PCL, para que procedan </w:t>
      </w:r>
      <w:proofErr w:type="spellStart"/>
      <w:r w:rsidRPr="003625F8">
        <w:rPr>
          <w:rFonts w:ascii="Arial" w:eastAsia="Times New Roman" w:hAnsi="Arial" w:cs="Arial"/>
          <w:color w:val="6A6A6A"/>
          <w:sz w:val="21"/>
          <w:szCs w:val="21"/>
          <w:lang w:eastAsia="es-CO"/>
        </w:rPr>
        <w:t>a</w:t>
      </w:r>
      <w:r w:rsidRPr="003625F8">
        <w:rPr>
          <w:rFonts w:ascii="Arial" w:eastAsia="Times New Roman" w:hAnsi="Arial" w:cs="Arial"/>
          <w:b/>
          <w:bCs/>
          <w:color w:val="6A6A6A"/>
          <w:sz w:val="21"/>
          <w:szCs w:val="21"/>
          <w:bdr w:val="none" w:sz="0" w:space="0" w:color="auto" w:frame="1"/>
          <w:lang w:eastAsia="es-CO"/>
        </w:rPr>
        <w:t>manifestar</w:t>
      </w:r>
      <w:proofErr w:type="spellEnd"/>
      <w:r w:rsidRPr="003625F8">
        <w:rPr>
          <w:rFonts w:ascii="Arial" w:eastAsia="Times New Roman" w:hAnsi="Arial" w:cs="Arial"/>
          <w:b/>
          <w:bCs/>
          <w:color w:val="6A6A6A"/>
          <w:sz w:val="21"/>
          <w:szCs w:val="21"/>
          <w:bdr w:val="none" w:sz="0" w:space="0" w:color="auto" w:frame="1"/>
          <w:lang w:eastAsia="es-CO"/>
        </w:rPr>
        <w:t xml:space="preserve"> y a remitir la calificación y el porcentaje de la  misma que demuestre su condición de invalidez, así: </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Para menores de edad</w:t>
      </w:r>
      <w:r w:rsidRPr="003625F8">
        <w:rPr>
          <w:rFonts w:ascii="Arial" w:eastAsia="Times New Roman" w:hAnsi="Arial" w:cs="Arial"/>
          <w:color w:val="6A6A6A"/>
          <w:sz w:val="21"/>
          <w:szCs w:val="21"/>
          <w:lang w:eastAsia="es-CO"/>
        </w:rPr>
        <w:t>: A más tardar </w:t>
      </w:r>
      <w:r w:rsidRPr="003625F8">
        <w:rPr>
          <w:rFonts w:ascii="Arial" w:eastAsia="Times New Roman" w:hAnsi="Arial" w:cs="Arial"/>
          <w:b/>
          <w:bCs/>
          <w:color w:val="6A6A6A"/>
          <w:sz w:val="21"/>
          <w:szCs w:val="21"/>
          <w:bdr w:val="none" w:sz="0" w:space="0" w:color="auto" w:frame="1"/>
          <w:lang w:eastAsia="es-CO"/>
        </w:rPr>
        <w:t>cuatro</w:t>
      </w:r>
      <w:r w:rsidRPr="003625F8">
        <w:rPr>
          <w:rFonts w:ascii="Arial" w:eastAsia="Times New Roman" w:hAnsi="Arial" w:cs="Arial"/>
          <w:color w:val="6A6A6A"/>
          <w:sz w:val="21"/>
          <w:szCs w:val="21"/>
          <w:lang w:eastAsia="es-CO"/>
        </w:rPr>
        <w:t> (4) meses </w:t>
      </w:r>
      <w:r w:rsidRPr="003625F8">
        <w:rPr>
          <w:rFonts w:ascii="Arial" w:eastAsia="Times New Roman" w:hAnsi="Arial" w:cs="Arial"/>
          <w:b/>
          <w:bCs/>
          <w:color w:val="6A6A6A"/>
          <w:sz w:val="21"/>
          <w:szCs w:val="21"/>
          <w:bdr w:val="none" w:sz="0" w:space="0" w:color="auto" w:frame="1"/>
          <w:lang w:eastAsia="es-CO"/>
        </w:rPr>
        <w:t>antes</w:t>
      </w:r>
      <w:r w:rsidRPr="003625F8">
        <w:rPr>
          <w:rFonts w:ascii="Arial" w:eastAsia="Times New Roman" w:hAnsi="Arial" w:cs="Arial"/>
          <w:color w:val="6A6A6A"/>
          <w:sz w:val="21"/>
          <w:szCs w:val="21"/>
          <w:lang w:eastAsia="es-CO"/>
        </w:rPr>
        <w:t> de la fecha de cumplimiento de la mayoría de edad.</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Para los escolares:</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a.    Mayores de edad que están a punto de cumplir los 25 años: </w:t>
      </w:r>
      <w:r w:rsidRPr="003625F8">
        <w:rPr>
          <w:rFonts w:ascii="Arial" w:eastAsia="Times New Roman" w:hAnsi="Arial" w:cs="Arial"/>
          <w:color w:val="6A6A6A"/>
          <w:sz w:val="21"/>
          <w:szCs w:val="21"/>
          <w:lang w:eastAsia="es-CO"/>
        </w:rPr>
        <w:t>A más tardar </w:t>
      </w:r>
      <w:r w:rsidRPr="003625F8">
        <w:rPr>
          <w:rFonts w:ascii="Arial" w:eastAsia="Times New Roman" w:hAnsi="Arial" w:cs="Arial"/>
          <w:b/>
          <w:bCs/>
          <w:color w:val="6A6A6A"/>
          <w:sz w:val="21"/>
          <w:szCs w:val="21"/>
          <w:bdr w:val="none" w:sz="0" w:space="0" w:color="auto" w:frame="1"/>
          <w:lang w:eastAsia="es-CO"/>
        </w:rPr>
        <w:t>cuatro</w:t>
      </w:r>
      <w:r w:rsidRPr="003625F8">
        <w:rPr>
          <w:rFonts w:ascii="Arial" w:eastAsia="Times New Roman" w:hAnsi="Arial" w:cs="Arial"/>
          <w:color w:val="6A6A6A"/>
          <w:sz w:val="21"/>
          <w:szCs w:val="21"/>
          <w:lang w:eastAsia="es-CO"/>
        </w:rPr>
        <w:t> (4) meses </w:t>
      </w:r>
      <w:r w:rsidRPr="003625F8">
        <w:rPr>
          <w:rFonts w:ascii="Arial" w:eastAsia="Times New Roman" w:hAnsi="Arial" w:cs="Arial"/>
          <w:b/>
          <w:bCs/>
          <w:color w:val="6A6A6A"/>
          <w:sz w:val="21"/>
          <w:szCs w:val="21"/>
          <w:bdr w:val="none" w:sz="0" w:space="0" w:color="auto" w:frame="1"/>
          <w:lang w:eastAsia="es-CO"/>
        </w:rPr>
        <w:t>antes</w:t>
      </w:r>
      <w:r w:rsidRPr="003625F8">
        <w:rPr>
          <w:rFonts w:ascii="Arial" w:eastAsia="Times New Roman" w:hAnsi="Arial" w:cs="Arial"/>
          <w:color w:val="6A6A6A"/>
          <w:sz w:val="21"/>
          <w:szCs w:val="21"/>
          <w:lang w:eastAsia="es-CO"/>
        </w:rPr>
        <w:t> de la fecha de cumplimiento de los 25 años.</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b.  </w:t>
      </w:r>
      <w:r w:rsidRPr="003625F8">
        <w:rPr>
          <w:rFonts w:ascii="Arial" w:eastAsia="Times New Roman" w:hAnsi="Arial" w:cs="Arial"/>
          <w:color w:val="6A6A6A"/>
          <w:sz w:val="21"/>
          <w:szCs w:val="21"/>
          <w:lang w:eastAsia="es-CO"/>
        </w:rPr>
        <w:t>  </w:t>
      </w:r>
      <w:r w:rsidRPr="003625F8">
        <w:rPr>
          <w:rFonts w:ascii="Arial" w:eastAsia="Times New Roman" w:hAnsi="Arial" w:cs="Arial"/>
          <w:b/>
          <w:bCs/>
          <w:color w:val="6A6A6A"/>
          <w:sz w:val="21"/>
          <w:szCs w:val="21"/>
          <w:bdr w:val="none" w:sz="0" w:space="0" w:color="auto" w:frame="1"/>
          <w:lang w:eastAsia="es-CO"/>
        </w:rPr>
        <w:t>Mayores de edad y menores de 25 años de edad, que pierdan la condición de escolar: </w:t>
      </w:r>
      <w:r w:rsidRPr="003625F8">
        <w:rPr>
          <w:rFonts w:ascii="Arial" w:eastAsia="Times New Roman" w:hAnsi="Arial" w:cs="Arial"/>
          <w:color w:val="6A6A6A"/>
          <w:sz w:val="21"/>
          <w:szCs w:val="21"/>
          <w:lang w:eastAsia="es-CO"/>
        </w:rPr>
        <w:t>Deberán informar la condición de invalidez a más tardar dentro de los </w:t>
      </w:r>
      <w:r w:rsidRPr="003625F8">
        <w:rPr>
          <w:rFonts w:ascii="Arial" w:eastAsia="Times New Roman" w:hAnsi="Arial" w:cs="Arial"/>
          <w:b/>
          <w:bCs/>
          <w:color w:val="6A6A6A"/>
          <w:sz w:val="21"/>
          <w:szCs w:val="21"/>
          <w:bdr w:val="none" w:sz="0" w:space="0" w:color="auto" w:frame="1"/>
          <w:lang w:eastAsia="es-CO"/>
        </w:rPr>
        <w:t>cuatro</w:t>
      </w:r>
      <w:r w:rsidRPr="003625F8">
        <w:rPr>
          <w:rFonts w:ascii="Arial" w:eastAsia="Times New Roman" w:hAnsi="Arial" w:cs="Arial"/>
          <w:color w:val="6A6A6A"/>
          <w:sz w:val="21"/>
          <w:szCs w:val="21"/>
          <w:lang w:eastAsia="es-CO"/>
        </w:rPr>
        <w:t> (4) meses anteriores a la pérdida de la calidad de escolar por no continuar con los estudios correspondientes.</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Conforme a lo anterior, es importante que la condición de invalidez se acredite para evitar la suspensión del pago de la mesada, para lo cual deben cumplirse los siguientes requisitos: (i) aportar dictamen de la Pérdida de la Capacidad Laboral (PCL) igual o superior al 50%; y (</w:t>
      </w:r>
      <w:proofErr w:type="spellStart"/>
      <w:r w:rsidRPr="003625F8">
        <w:rPr>
          <w:rFonts w:ascii="Arial" w:eastAsia="Times New Roman" w:hAnsi="Arial" w:cs="Arial"/>
          <w:color w:val="6A6A6A"/>
          <w:sz w:val="21"/>
          <w:szCs w:val="21"/>
          <w:lang w:eastAsia="es-CO"/>
        </w:rPr>
        <w:t>ii</w:t>
      </w:r>
      <w:proofErr w:type="spellEnd"/>
      <w:r w:rsidRPr="003625F8">
        <w:rPr>
          <w:rFonts w:ascii="Arial" w:eastAsia="Times New Roman" w:hAnsi="Arial" w:cs="Arial"/>
          <w:color w:val="6A6A6A"/>
          <w:sz w:val="21"/>
          <w:szCs w:val="21"/>
          <w:lang w:eastAsia="es-CO"/>
        </w:rPr>
        <w:t>) que la fecha de estructuración sea anterior al fallecimiento del pensionado o afiliado. Acreditado lo anterior, la Administración emitirá acto administrativo por el cual se reconozca la condición de beneficiario inválido.</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V. Quinta Regla: “requisito de fidelidad"</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Para el reconocimiento de la pensión de sobrevivientes por muerte por enfermedad o accidente del afiliado, los beneficiarios solicitantes inválidos, deberán acreditar: (i) su estado de invalidez por pérdida de la capacidad laboral  igual o superior al 50%, mediante dictamen en firme expedido por la autoridad competente, </w:t>
      </w:r>
      <w:r w:rsidRPr="003625F8">
        <w:rPr>
          <w:rFonts w:ascii="Arial" w:eastAsia="Times New Roman" w:hAnsi="Arial" w:cs="Arial"/>
          <w:b/>
          <w:bCs/>
          <w:color w:val="6A6A6A"/>
          <w:sz w:val="21"/>
          <w:szCs w:val="21"/>
          <w:bdr w:val="none" w:sz="0" w:space="0" w:color="auto" w:frame="1"/>
          <w:lang w:eastAsia="es-CO"/>
        </w:rPr>
        <w:t>con fecha de estructuración anterior al fallecimiento del causa</w:t>
      </w:r>
      <w:r w:rsidRPr="003625F8">
        <w:rPr>
          <w:rFonts w:ascii="Arial" w:eastAsia="Times New Roman" w:hAnsi="Arial" w:cs="Arial"/>
          <w:color w:val="6A6A6A"/>
          <w:sz w:val="21"/>
          <w:szCs w:val="21"/>
          <w:lang w:eastAsia="es-CO"/>
        </w:rPr>
        <w:t>nte; (</w:t>
      </w:r>
      <w:proofErr w:type="spellStart"/>
      <w:r w:rsidRPr="003625F8">
        <w:rPr>
          <w:rFonts w:ascii="Arial" w:eastAsia="Times New Roman" w:hAnsi="Arial" w:cs="Arial"/>
          <w:color w:val="6A6A6A"/>
          <w:sz w:val="21"/>
          <w:szCs w:val="21"/>
          <w:lang w:eastAsia="es-CO"/>
        </w:rPr>
        <w:t>ii</w:t>
      </w:r>
      <w:proofErr w:type="spellEnd"/>
      <w:r w:rsidRPr="003625F8">
        <w:rPr>
          <w:rFonts w:ascii="Arial" w:eastAsia="Times New Roman" w:hAnsi="Arial" w:cs="Arial"/>
          <w:color w:val="6A6A6A"/>
          <w:sz w:val="21"/>
          <w:szCs w:val="21"/>
          <w:lang w:eastAsia="es-CO"/>
        </w:rPr>
        <w:t>) la dependencia económica con el afiliado, y </w:t>
      </w:r>
      <w:r w:rsidRPr="003625F8">
        <w:rPr>
          <w:rFonts w:ascii="Arial" w:eastAsia="Times New Roman" w:hAnsi="Arial" w:cs="Arial"/>
          <w:b/>
          <w:bCs/>
          <w:color w:val="6A6A6A"/>
          <w:sz w:val="21"/>
          <w:szCs w:val="21"/>
          <w:bdr w:val="none" w:sz="0" w:space="0" w:color="auto" w:frame="1"/>
          <w:lang w:eastAsia="es-CO"/>
        </w:rPr>
        <w:t>(</w:t>
      </w:r>
      <w:proofErr w:type="spellStart"/>
      <w:r w:rsidRPr="003625F8">
        <w:rPr>
          <w:rFonts w:ascii="Arial" w:eastAsia="Times New Roman" w:hAnsi="Arial" w:cs="Arial"/>
          <w:b/>
          <w:bCs/>
          <w:color w:val="6A6A6A"/>
          <w:sz w:val="21"/>
          <w:szCs w:val="21"/>
          <w:bdr w:val="none" w:sz="0" w:space="0" w:color="auto" w:frame="1"/>
          <w:lang w:eastAsia="es-CO"/>
        </w:rPr>
        <w:t>iii</w:t>
      </w:r>
      <w:proofErr w:type="spellEnd"/>
      <w:r w:rsidRPr="003625F8">
        <w:rPr>
          <w:rFonts w:ascii="Arial" w:eastAsia="Times New Roman" w:hAnsi="Arial" w:cs="Arial"/>
          <w:b/>
          <w:bCs/>
          <w:color w:val="6A6A6A"/>
          <w:sz w:val="21"/>
          <w:szCs w:val="21"/>
          <w:bdr w:val="none" w:sz="0" w:space="0" w:color="auto" w:frame="1"/>
          <w:lang w:eastAsia="es-CO"/>
        </w:rPr>
        <w:t>) que el afiliado hubiere cotizado cincuenta (50) semanas durante los últimos tres (3) años anteriores a su muerte.</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VI. Sexta Regla: “proceso de interdicción judicial y designación de un curador"</w:t>
      </w:r>
    </w:p>
    <w:p w:rsid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Cuando un beneficiario invalido de una pensión de sobrevivientes, haya sido reconocido como tal, y de conformidad con el dictamen de calificación del estado de invalidez sufra de una</w:t>
      </w:r>
      <w:r>
        <w:rPr>
          <w:rFonts w:ascii="Arial" w:eastAsia="Times New Roman" w:hAnsi="Arial" w:cs="Arial"/>
          <w:color w:val="6A6A6A"/>
          <w:sz w:val="21"/>
          <w:szCs w:val="21"/>
          <w:lang w:eastAsia="es-CO"/>
        </w:rPr>
        <w:t xml:space="preserve"> </w:t>
      </w:r>
      <w:r w:rsidRPr="003625F8">
        <w:rPr>
          <w:rFonts w:ascii="Arial" w:eastAsia="Times New Roman" w:hAnsi="Arial" w:cs="Arial"/>
          <w:b/>
          <w:bCs/>
          <w:color w:val="6A6A6A"/>
          <w:sz w:val="21"/>
          <w:szCs w:val="21"/>
          <w:bdr w:val="none" w:sz="0" w:space="0" w:color="auto" w:frame="1"/>
          <w:lang w:eastAsia="es-CO"/>
        </w:rPr>
        <w:t>discapacidad mental, </w:t>
      </w:r>
      <w:r w:rsidRPr="003625F8">
        <w:rPr>
          <w:rFonts w:ascii="Arial" w:eastAsia="Times New Roman" w:hAnsi="Arial" w:cs="Arial"/>
          <w:color w:val="6A6A6A"/>
          <w:sz w:val="21"/>
          <w:szCs w:val="21"/>
          <w:lang w:eastAsia="es-CO"/>
        </w:rPr>
        <w:t>que le impida recibir directamente el pago de la referida prestación, requiriendo para tal fin de un curador, y acredite que se encuentra en </w:t>
      </w:r>
      <w:r w:rsidRPr="003625F8">
        <w:rPr>
          <w:rFonts w:ascii="Arial" w:eastAsia="Times New Roman" w:hAnsi="Arial" w:cs="Arial"/>
          <w:b/>
          <w:bCs/>
          <w:color w:val="6A6A6A"/>
          <w:sz w:val="21"/>
          <w:szCs w:val="21"/>
          <w:bdr w:val="none" w:sz="0" w:space="0" w:color="auto" w:frame="1"/>
          <w:lang w:eastAsia="es-CO"/>
        </w:rPr>
        <w:t>condiciones de debilidad manifiesta</w:t>
      </w:r>
      <w:r w:rsidRPr="003625F8">
        <w:rPr>
          <w:rFonts w:ascii="Arial" w:eastAsia="Times New Roman" w:hAnsi="Arial" w:cs="Arial"/>
          <w:color w:val="6A6A6A"/>
          <w:sz w:val="21"/>
          <w:szCs w:val="21"/>
          <w:lang w:eastAsia="es-CO"/>
        </w:rPr>
        <w:t> y que requiere </w:t>
      </w:r>
      <w:r w:rsidRPr="003625F8">
        <w:rPr>
          <w:rFonts w:ascii="Arial" w:eastAsia="Times New Roman" w:hAnsi="Arial" w:cs="Arial"/>
          <w:b/>
          <w:bCs/>
          <w:color w:val="6A6A6A"/>
          <w:sz w:val="21"/>
          <w:szCs w:val="21"/>
          <w:bdr w:val="none" w:sz="0" w:space="0" w:color="auto" w:frame="1"/>
          <w:lang w:eastAsia="es-CO"/>
        </w:rPr>
        <w:t>urgentemente</w:t>
      </w:r>
      <w:r w:rsidRPr="003625F8">
        <w:rPr>
          <w:rFonts w:ascii="Arial" w:eastAsia="Times New Roman" w:hAnsi="Arial" w:cs="Arial"/>
          <w:color w:val="6A6A6A"/>
          <w:sz w:val="21"/>
          <w:szCs w:val="21"/>
          <w:lang w:eastAsia="es-CO"/>
        </w:rPr>
        <w:t> de los </w:t>
      </w:r>
      <w:r w:rsidRPr="003625F8">
        <w:rPr>
          <w:rFonts w:ascii="Arial" w:eastAsia="Times New Roman" w:hAnsi="Arial" w:cs="Arial"/>
          <w:b/>
          <w:bCs/>
          <w:color w:val="6A6A6A"/>
          <w:sz w:val="21"/>
          <w:szCs w:val="21"/>
          <w:bdr w:val="none" w:sz="0" w:space="0" w:color="auto" w:frame="1"/>
          <w:lang w:eastAsia="es-CO"/>
        </w:rPr>
        <w:t>ingresos de la pensión de sobrevivientes</w:t>
      </w:r>
      <w:r w:rsidRPr="003625F8">
        <w:rPr>
          <w:rFonts w:ascii="Arial" w:eastAsia="Times New Roman" w:hAnsi="Arial" w:cs="Arial"/>
          <w:color w:val="6A6A6A"/>
          <w:sz w:val="21"/>
          <w:szCs w:val="21"/>
          <w:lang w:eastAsia="es-CO"/>
        </w:rPr>
        <w:t>, para </w:t>
      </w:r>
      <w:r w:rsidRPr="003625F8">
        <w:rPr>
          <w:rFonts w:ascii="Arial" w:eastAsia="Times New Roman" w:hAnsi="Arial" w:cs="Arial"/>
          <w:b/>
          <w:bCs/>
          <w:color w:val="6A6A6A"/>
          <w:sz w:val="21"/>
          <w:szCs w:val="21"/>
          <w:bdr w:val="none" w:sz="0" w:space="0" w:color="auto" w:frame="1"/>
          <w:lang w:eastAsia="es-CO"/>
        </w:rPr>
        <w:t>garantizar el</w:t>
      </w:r>
      <w:r w:rsidRPr="003625F8">
        <w:rPr>
          <w:rFonts w:ascii="Arial" w:eastAsia="Times New Roman" w:hAnsi="Arial" w:cs="Arial"/>
          <w:color w:val="6A6A6A"/>
          <w:sz w:val="21"/>
          <w:szCs w:val="21"/>
          <w:lang w:eastAsia="es-CO"/>
        </w:rPr>
        <w:t> </w:t>
      </w:r>
      <w:r w:rsidRPr="003625F8">
        <w:rPr>
          <w:rFonts w:ascii="Arial" w:eastAsia="Times New Roman" w:hAnsi="Arial" w:cs="Arial"/>
          <w:b/>
          <w:bCs/>
          <w:color w:val="6A6A6A"/>
          <w:sz w:val="21"/>
          <w:szCs w:val="21"/>
          <w:bdr w:val="none" w:sz="0" w:space="0" w:color="auto" w:frame="1"/>
          <w:lang w:eastAsia="es-CO"/>
        </w:rPr>
        <w:t>pago de su mesada pensional</w:t>
      </w:r>
      <w:r w:rsidRPr="003625F8">
        <w:rPr>
          <w:rFonts w:ascii="Arial" w:eastAsia="Times New Roman" w:hAnsi="Arial" w:cs="Arial"/>
          <w:color w:val="6A6A6A"/>
          <w:sz w:val="21"/>
          <w:szCs w:val="21"/>
          <w:lang w:eastAsia="es-CO"/>
        </w:rPr>
        <w:t>, deberá contar cuando menos con un curador </w:t>
      </w:r>
      <w:r w:rsidRPr="003625F8">
        <w:rPr>
          <w:rFonts w:ascii="Arial" w:eastAsia="Times New Roman" w:hAnsi="Arial" w:cs="Arial"/>
          <w:b/>
          <w:bCs/>
          <w:color w:val="6A6A6A"/>
          <w:sz w:val="21"/>
          <w:szCs w:val="21"/>
          <w:bdr w:val="none" w:sz="0" w:space="0" w:color="auto" w:frame="1"/>
          <w:lang w:eastAsia="es-CO"/>
        </w:rPr>
        <w:t>provisional</w:t>
      </w:r>
      <w:r w:rsidRPr="003625F8">
        <w:rPr>
          <w:rFonts w:ascii="Arial" w:eastAsia="Times New Roman" w:hAnsi="Arial" w:cs="Arial"/>
          <w:color w:val="6A6A6A"/>
          <w:sz w:val="21"/>
          <w:szCs w:val="21"/>
          <w:lang w:eastAsia="es-CO"/>
        </w:rPr>
        <w:t> designado por un Juez de la República para el pago de las mesadas pensionales sobrevinientes; </w:t>
      </w:r>
      <w:r w:rsidRPr="003625F8">
        <w:rPr>
          <w:rFonts w:ascii="Arial" w:eastAsia="Times New Roman" w:hAnsi="Arial" w:cs="Arial"/>
          <w:b/>
          <w:bCs/>
          <w:color w:val="6A6A6A"/>
          <w:sz w:val="21"/>
          <w:szCs w:val="21"/>
          <w:bdr w:val="none" w:sz="0" w:space="0" w:color="auto" w:frame="1"/>
          <w:lang w:eastAsia="es-CO"/>
        </w:rPr>
        <w:t>no obstante el pago del retroactivo se realizará únicamente cuando se designe y posesione, por el juez competente y ante él, el curador definitivo.</w:t>
      </w: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lastRenderedPageBreak/>
        <w:t>VII. Séptima Regla: “formalidades de los documentos aportados y, en especial, del dictamen de pérdida de capacidad laboral"</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Todos los documentos</w:t>
      </w:r>
      <w:r w:rsidRPr="003625F8">
        <w:rPr>
          <w:rFonts w:ascii="Arial" w:eastAsia="Times New Roman" w:hAnsi="Arial" w:cs="Arial"/>
          <w:color w:val="6A6A6A"/>
          <w:sz w:val="21"/>
          <w:szCs w:val="21"/>
          <w:lang w:eastAsia="es-CO"/>
        </w:rPr>
        <w:t> aportados en las solicitudes tendrán </w:t>
      </w:r>
      <w:r w:rsidRPr="003625F8">
        <w:rPr>
          <w:rFonts w:ascii="Arial" w:eastAsia="Times New Roman" w:hAnsi="Arial" w:cs="Arial"/>
          <w:b/>
          <w:bCs/>
          <w:color w:val="6A6A6A"/>
          <w:sz w:val="21"/>
          <w:szCs w:val="21"/>
          <w:bdr w:val="none" w:sz="0" w:space="0" w:color="auto" w:frame="1"/>
          <w:lang w:eastAsia="es-CO"/>
        </w:rPr>
        <w:t>valor probatorio</w:t>
      </w:r>
      <w:r w:rsidRPr="003625F8">
        <w:rPr>
          <w:rFonts w:ascii="Arial" w:eastAsia="Times New Roman" w:hAnsi="Arial" w:cs="Arial"/>
          <w:color w:val="6A6A6A"/>
          <w:sz w:val="21"/>
          <w:szCs w:val="21"/>
          <w:lang w:eastAsia="es-CO"/>
        </w:rPr>
        <w:t xml:space="preserve">, no </w:t>
      </w:r>
      <w:proofErr w:type="gramStart"/>
      <w:r w:rsidRPr="003625F8">
        <w:rPr>
          <w:rFonts w:ascii="Arial" w:eastAsia="Times New Roman" w:hAnsi="Arial" w:cs="Arial"/>
          <w:color w:val="6A6A6A"/>
          <w:sz w:val="21"/>
          <w:szCs w:val="21"/>
          <w:lang w:eastAsia="es-CO"/>
        </w:rPr>
        <w:t>obstante</w:t>
      </w:r>
      <w:proofErr w:type="gramEnd"/>
      <w:r w:rsidRPr="003625F8">
        <w:rPr>
          <w:rFonts w:ascii="Arial" w:eastAsia="Times New Roman" w:hAnsi="Arial" w:cs="Arial"/>
          <w:color w:val="6A6A6A"/>
          <w:sz w:val="21"/>
          <w:szCs w:val="21"/>
          <w:lang w:eastAsia="es-CO"/>
        </w:rPr>
        <w:t xml:space="preserve"> La Unidad </w:t>
      </w:r>
      <w:r w:rsidRPr="003625F8">
        <w:rPr>
          <w:rFonts w:ascii="Arial" w:eastAsia="Times New Roman" w:hAnsi="Arial" w:cs="Arial"/>
          <w:b/>
          <w:bCs/>
          <w:color w:val="6A6A6A"/>
          <w:sz w:val="21"/>
          <w:szCs w:val="21"/>
          <w:bdr w:val="none" w:sz="0" w:space="0" w:color="auto" w:frame="1"/>
          <w:lang w:eastAsia="es-CO"/>
        </w:rPr>
        <w:t>solicitará</w:t>
      </w:r>
      <w:r w:rsidRPr="003625F8">
        <w:rPr>
          <w:rFonts w:ascii="Arial" w:eastAsia="Times New Roman" w:hAnsi="Arial" w:cs="Arial"/>
          <w:color w:val="6A6A6A"/>
          <w:sz w:val="21"/>
          <w:szCs w:val="21"/>
          <w:lang w:eastAsia="es-CO"/>
        </w:rPr>
        <w:t> documentos </w:t>
      </w:r>
      <w:r w:rsidRPr="003625F8">
        <w:rPr>
          <w:rFonts w:ascii="Arial" w:eastAsia="Times New Roman" w:hAnsi="Arial" w:cs="Arial"/>
          <w:b/>
          <w:bCs/>
          <w:color w:val="6A6A6A"/>
          <w:sz w:val="21"/>
          <w:szCs w:val="21"/>
          <w:bdr w:val="none" w:sz="0" w:space="0" w:color="auto" w:frame="1"/>
          <w:lang w:eastAsia="es-CO"/>
        </w:rPr>
        <w:t>originales</w:t>
      </w:r>
      <w:r w:rsidRPr="003625F8">
        <w:rPr>
          <w:rFonts w:ascii="Arial" w:eastAsia="Times New Roman" w:hAnsi="Arial" w:cs="Arial"/>
          <w:color w:val="6A6A6A"/>
          <w:sz w:val="21"/>
          <w:szCs w:val="21"/>
          <w:lang w:eastAsia="es-CO"/>
        </w:rPr>
        <w:t> o </w:t>
      </w:r>
      <w:r w:rsidRPr="003625F8">
        <w:rPr>
          <w:rFonts w:ascii="Arial" w:eastAsia="Times New Roman" w:hAnsi="Arial" w:cs="Arial"/>
          <w:b/>
          <w:bCs/>
          <w:color w:val="6A6A6A"/>
          <w:sz w:val="21"/>
          <w:szCs w:val="21"/>
          <w:bdr w:val="none" w:sz="0" w:space="0" w:color="auto" w:frame="1"/>
          <w:lang w:eastAsia="es-CO"/>
        </w:rPr>
        <w:t>auténticos (copias debidamente autorizadas por la entidad que expidió directamente el original) </w:t>
      </w:r>
      <w:r w:rsidRPr="003625F8">
        <w:rPr>
          <w:rFonts w:ascii="Arial" w:eastAsia="Times New Roman" w:hAnsi="Arial" w:cs="Arial"/>
          <w:color w:val="6A6A6A"/>
          <w:sz w:val="21"/>
          <w:szCs w:val="21"/>
          <w:lang w:eastAsia="es-CO"/>
        </w:rPr>
        <w:t>para el</w:t>
      </w:r>
      <w:r w:rsidRPr="003625F8">
        <w:rPr>
          <w:rFonts w:ascii="Arial" w:eastAsia="Times New Roman" w:hAnsi="Arial" w:cs="Arial"/>
          <w:b/>
          <w:bCs/>
          <w:color w:val="6A6A6A"/>
          <w:sz w:val="21"/>
          <w:szCs w:val="21"/>
          <w:bdr w:val="none" w:sz="0" w:space="0" w:color="auto" w:frame="1"/>
          <w:lang w:eastAsia="es-CO"/>
        </w:rPr>
        <w:t> reconocimiento y pago </w:t>
      </w:r>
      <w:r w:rsidRPr="003625F8">
        <w:rPr>
          <w:rFonts w:ascii="Arial" w:eastAsia="Times New Roman" w:hAnsi="Arial" w:cs="Arial"/>
          <w:color w:val="6A6A6A"/>
          <w:sz w:val="21"/>
          <w:szCs w:val="21"/>
          <w:lang w:eastAsia="es-CO"/>
        </w:rPr>
        <w:t>de pensiones</w:t>
      </w:r>
      <w:r w:rsidRPr="003625F8">
        <w:rPr>
          <w:rFonts w:ascii="Arial" w:eastAsia="Times New Roman" w:hAnsi="Arial" w:cs="Arial"/>
          <w:b/>
          <w:bCs/>
          <w:color w:val="6A6A6A"/>
          <w:sz w:val="21"/>
          <w:szCs w:val="21"/>
          <w:bdr w:val="none" w:sz="0" w:space="0" w:color="auto" w:frame="1"/>
          <w:lang w:eastAsia="es-CO"/>
        </w:rPr>
        <w:t>. </w:t>
      </w:r>
      <w:r w:rsidRPr="003625F8">
        <w:rPr>
          <w:rFonts w:ascii="Arial" w:eastAsia="Times New Roman" w:hAnsi="Arial" w:cs="Arial"/>
          <w:color w:val="6A6A6A"/>
          <w:sz w:val="21"/>
          <w:szCs w:val="21"/>
          <w:lang w:eastAsia="es-CO"/>
        </w:rPr>
        <w:t>(Artículo 25 – Decreto Ley No. 19 del 2012)</w:t>
      </w:r>
    </w:p>
    <w:p w:rsidR="003625F8" w:rsidRDefault="003625F8" w:rsidP="003625F8">
      <w:pPr>
        <w:shd w:val="clear" w:color="auto" w:fill="FFFFFF"/>
        <w:spacing w:after="0" w:line="240" w:lineRule="auto"/>
        <w:jc w:val="both"/>
        <w:rPr>
          <w:rFonts w:ascii="Arial" w:eastAsia="Times New Roman" w:hAnsi="Arial" w:cs="Arial"/>
          <w:b/>
          <w:bCs/>
          <w:color w:val="6A6A6A"/>
          <w:sz w:val="21"/>
          <w:szCs w:val="21"/>
          <w:bdr w:val="none" w:sz="0" w:space="0" w:color="auto" w:frame="1"/>
          <w:lang w:eastAsia="es-CO"/>
        </w:rPr>
      </w:pPr>
    </w:p>
    <w:p w:rsidR="003625F8" w:rsidRPr="003625F8" w:rsidRDefault="003625F8" w:rsidP="003625F8">
      <w:pPr>
        <w:shd w:val="clear" w:color="auto" w:fill="FFFFFF"/>
        <w:spacing w:after="0" w:line="240" w:lineRule="auto"/>
        <w:jc w:val="both"/>
        <w:rPr>
          <w:rFonts w:ascii="Arial" w:eastAsia="Times New Roman" w:hAnsi="Arial" w:cs="Arial"/>
          <w:color w:val="6A6A6A"/>
          <w:sz w:val="21"/>
          <w:szCs w:val="21"/>
          <w:lang w:eastAsia="es-CO"/>
        </w:rPr>
      </w:pPr>
      <w:r w:rsidRPr="003625F8">
        <w:rPr>
          <w:rFonts w:ascii="Arial" w:eastAsia="Times New Roman" w:hAnsi="Arial" w:cs="Arial"/>
          <w:b/>
          <w:bCs/>
          <w:color w:val="6A6A6A"/>
          <w:sz w:val="21"/>
          <w:szCs w:val="21"/>
          <w:bdr w:val="none" w:sz="0" w:space="0" w:color="auto" w:frame="1"/>
          <w:lang w:eastAsia="es-CO"/>
        </w:rPr>
        <w:t>VIII. Octava Regla: “Ausencia de una respuesta”</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Si bien en la sentencia T-187 de 2016, se ordena publicar 7 reglas, no obstante, la orden de publicación dispuesta en el pie de página del ordinal 5º del acápite resolutivo comprende ocho; siendo la octava regla, la siguiente:</w: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 xml:space="preserve">Es deber de la entidad responder oportunamente las solicitudes de reconocimiento de </w:t>
      </w:r>
      <w:r w:rsidRPr="003625F8">
        <w:rPr>
          <w:rFonts w:ascii="Arial" w:eastAsia="Times New Roman" w:hAnsi="Arial" w:cs="Arial"/>
          <w:color w:val="6A6A6A"/>
          <w:sz w:val="21"/>
          <w:szCs w:val="21"/>
          <w:lang w:eastAsia="es-CO"/>
        </w:rPr>
        <w:t>la pensión</w:t>
      </w:r>
      <w:r w:rsidRPr="003625F8">
        <w:rPr>
          <w:rFonts w:ascii="Arial" w:eastAsia="Times New Roman" w:hAnsi="Arial" w:cs="Arial"/>
          <w:color w:val="6A6A6A"/>
          <w:sz w:val="21"/>
          <w:szCs w:val="21"/>
          <w:lang w:eastAsia="es-CO"/>
        </w:rPr>
        <w:t xml:space="preserve"> de sobrevivientes, a más tardar dos (2) meses después de radicada la solicitud por el peticionario, con la correspondiente documentación que acredite su derecho.”</w: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 </w:t>
      </w:r>
    </w:p>
    <w:p w:rsidR="003625F8" w:rsidRPr="003625F8" w:rsidRDefault="003625F8" w:rsidP="003625F8">
      <w:pPr>
        <w:shd w:val="clear" w:color="auto" w:fill="FFFFFF"/>
        <w:spacing w:before="360" w:after="36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pict>
          <v:rect id="_x0000_i1025" style="width:0;height:1.5pt" o:hralign="center" o:hrstd="t" o:hr="t" fillcolor="#a0a0a0" stroked="f"/>
        </w:pic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[1] Numerales 5.2.7., 5.2.8., 5.2.9., 5.2.10, 5.2.11., 5.2.12., 5.2.13. y 5.2.14, de la sentencia T-187 de 2016.</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sidRPr="003625F8">
        <w:rPr>
          <w:rFonts w:ascii="Arial" w:eastAsia="Times New Roman" w:hAnsi="Arial" w:cs="Arial"/>
          <w:color w:val="6A6A6A"/>
          <w:sz w:val="21"/>
          <w:szCs w:val="21"/>
          <w:lang w:eastAsia="es-CO"/>
        </w:rPr>
        <w:t>[2] El dictamen de calificación de invalidez se entiende en firme cuando no se hayan interpuesto los recursos contra la decisión o habiéndose interpuesto se hayan resuelto.</w:t>
      </w:r>
    </w:p>
    <w:p w:rsid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bookmarkStart w:id="2" w:name="_GoBack"/>
      <w:bookmarkEnd w:id="2"/>
      <w:r w:rsidRPr="003625F8">
        <w:rPr>
          <w:rFonts w:ascii="Arial" w:eastAsia="Times New Roman" w:hAnsi="Arial" w:cs="Arial"/>
          <w:color w:val="6A6A6A"/>
          <w:sz w:val="21"/>
          <w:szCs w:val="21"/>
          <w:lang w:eastAsia="es-CO"/>
        </w:rPr>
        <w:t>[3] El hijo inválido del causante o pensionado, excluye al hermano inválido del causante o pensionado, para acceder a la pensión de sobrevivientes.</w:t>
      </w:r>
    </w:p>
    <w:p w:rsidR="003625F8" w:rsidRPr="003625F8" w:rsidRDefault="003625F8" w:rsidP="003625F8">
      <w:pPr>
        <w:shd w:val="clear" w:color="auto" w:fill="FFFFFF"/>
        <w:spacing w:after="180" w:line="240" w:lineRule="auto"/>
        <w:jc w:val="both"/>
        <w:rPr>
          <w:rFonts w:ascii="Arial" w:eastAsia="Times New Roman" w:hAnsi="Arial" w:cs="Arial"/>
          <w:color w:val="6A6A6A"/>
          <w:sz w:val="21"/>
          <w:szCs w:val="21"/>
          <w:lang w:eastAsia="es-CO"/>
        </w:rPr>
      </w:pPr>
      <w:r>
        <w:rPr>
          <w:rFonts w:ascii="Arial" w:eastAsia="Times New Roman" w:hAnsi="Arial" w:cs="Arial"/>
          <w:color w:val="6A6A6A"/>
          <w:sz w:val="21"/>
          <w:szCs w:val="21"/>
          <w:lang w:eastAsia="es-CO"/>
        </w:rPr>
        <w:t>___________________________________________________________________________</w:t>
      </w:r>
    </w:p>
    <w:p w:rsidR="003625F8" w:rsidRDefault="003625F8" w:rsidP="003625F8">
      <w:pPr>
        <w:jc w:val="both"/>
      </w:pPr>
    </w:p>
    <w:sectPr w:rsidR="003625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8"/>
    <w:rsid w:val="003625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584"/>
  <w15:chartTrackingRefBased/>
  <w15:docId w15:val="{7CE26E33-DFB1-4A37-8E33-D11B6AC9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05379">
      <w:bodyDiv w:val="1"/>
      <w:marLeft w:val="0"/>
      <w:marRight w:val="0"/>
      <w:marTop w:val="0"/>
      <w:marBottom w:val="0"/>
      <w:divBdr>
        <w:top w:val="none" w:sz="0" w:space="0" w:color="auto"/>
        <w:left w:val="none" w:sz="0" w:space="0" w:color="auto"/>
        <w:bottom w:val="none" w:sz="0" w:space="0" w:color="auto"/>
        <w:right w:val="none" w:sz="0" w:space="0" w:color="auto"/>
      </w:divBdr>
      <w:divsChild>
        <w:div w:id="1581938492">
          <w:marLeft w:val="0"/>
          <w:marRight w:val="0"/>
          <w:marTop w:val="0"/>
          <w:marBottom w:val="0"/>
          <w:divBdr>
            <w:top w:val="none" w:sz="0" w:space="0" w:color="auto"/>
            <w:left w:val="none" w:sz="0" w:space="0" w:color="auto"/>
            <w:bottom w:val="none" w:sz="0" w:space="0" w:color="auto"/>
            <w:right w:val="none" w:sz="0" w:space="0" w:color="auto"/>
          </w:divBdr>
          <w:divsChild>
            <w:div w:id="975642061">
              <w:marLeft w:val="0"/>
              <w:marRight w:val="0"/>
              <w:marTop w:val="0"/>
              <w:marBottom w:val="0"/>
              <w:divBdr>
                <w:top w:val="none" w:sz="0" w:space="0" w:color="auto"/>
                <w:left w:val="none" w:sz="0" w:space="0" w:color="auto"/>
                <w:bottom w:val="none" w:sz="0" w:space="0" w:color="auto"/>
                <w:right w:val="none" w:sz="0" w:space="0" w:color="auto"/>
              </w:divBdr>
            </w:div>
            <w:div w:id="13513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1660</Words>
  <Characters>9136</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2019-11-08T00:28:00Z</dcterms:created>
  <dcterms:modified xsi:type="dcterms:W3CDTF">2019-11-08T00:32:00Z</dcterms:modified>
</cp:coreProperties>
</file>