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3708" w:rsidRPr="00C83708" w:rsidRDefault="00C83708" w:rsidP="00C83708">
      <w:pPr>
        <w:shd w:val="clear" w:color="auto" w:fill="9B9B9B"/>
        <w:spacing w:before="165" w:after="45" w:line="240" w:lineRule="auto"/>
        <w:ind w:right="240"/>
        <w:jc w:val="left"/>
        <w:outlineLvl w:val="1"/>
        <w:rPr>
          <w:rFonts w:ascii="Helvetica" w:eastAsia="Times New Roman" w:hAnsi="Helvetica" w:cs="Helvetica"/>
          <w:b/>
          <w:bCs/>
          <w:color w:val="FFFFFF"/>
          <w:sz w:val="30"/>
          <w:szCs w:val="30"/>
          <w:lang w:eastAsia="es-CO"/>
        </w:rPr>
      </w:pPr>
      <w:r w:rsidRPr="00C83708">
        <w:rPr>
          <w:rFonts w:ascii="Helvetica" w:eastAsia="Times New Roman" w:hAnsi="Helvetica" w:cs="Helvetica"/>
          <w:b/>
          <w:bCs/>
          <w:color w:val="FFFFFF"/>
          <w:sz w:val="30"/>
          <w:szCs w:val="30"/>
          <w:lang w:eastAsia="es-CO"/>
        </w:rPr>
        <w:t>Acuerdo 1035 de 2015</w:t>
      </w:r>
    </w:p>
    <w:p w:rsidR="00C83708" w:rsidRPr="00C83708" w:rsidRDefault="00C83708" w:rsidP="00C83708">
      <w:pPr>
        <w:spacing w:line="240" w:lineRule="auto"/>
        <w:ind w:left="720"/>
        <w:jc w:val="left"/>
        <w:rPr>
          <w:rFonts w:ascii="Helvetica" w:eastAsia="Times New Roman" w:hAnsi="Helvetica" w:cs="Helvetica"/>
          <w:color w:val="222222"/>
          <w:sz w:val="19"/>
          <w:szCs w:val="19"/>
          <w:lang w:eastAsia="es-CO"/>
        </w:rPr>
      </w:pPr>
      <w:r w:rsidRPr="00C83708">
        <w:rPr>
          <w:rFonts w:ascii="Helvetica" w:eastAsia="Times New Roman" w:hAnsi="Helvetica" w:cs="Helvetica"/>
          <w:color w:val="222222"/>
          <w:sz w:val="19"/>
          <w:szCs w:val="19"/>
          <w:lang w:eastAsia="es-CO"/>
        </w:rPr>
        <w:t>Última actualización en Jueves, 28 Julio 2016 16:54</w:t>
      </w:r>
    </w:p>
    <w:p w:rsidR="00C83708" w:rsidRPr="00C83708" w:rsidRDefault="00C83708" w:rsidP="00C83708">
      <w:pPr>
        <w:spacing w:before="240" w:after="240" w:line="240" w:lineRule="auto"/>
        <w:jc w:val="left"/>
        <w:rPr>
          <w:rFonts w:ascii="Helvetica" w:eastAsia="Times New Roman" w:hAnsi="Helvetica" w:cs="Helvetica"/>
          <w:color w:val="222222"/>
          <w:sz w:val="23"/>
          <w:szCs w:val="23"/>
          <w:lang w:eastAsia="es-CO"/>
        </w:rPr>
      </w:pPr>
      <w:r w:rsidRPr="00C83708">
        <w:rPr>
          <w:rFonts w:ascii="Arial" w:eastAsia="Times New Roman" w:hAnsi="Arial" w:cs="Arial"/>
          <w:color w:val="262626"/>
          <w:szCs w:val="24"/>
          <w:lang w:eastAsia="es-CO"/>
        </w:rPr>
        <w:t>La Unidad de Pensiones y Parafiscales presenta a la ciuda</w:t>
      </w:r>
      <w:r>
        <w:rPr>
          <w:rFonts w:ascii="Arial" w:eastAsia="Times New Roman" w:hAnsi="Arial" w:cs="Arial"/>
          <w:color w:val="262626"/>
          <w:szCs w:val="24"/>
          <w:lang w:eastAsia="es-CO"/>
        </w:rPr>
        <w:t>danía</w:t>
      </w:r>
      <w:bookmarkStart w:id="0" w:name="_GoBack"/>
      <w:bookmarkEnd w:id="0"/>
      <w:r>
        <w:rPr>
          <w:rFonts w:ascii="Arial" w:eastAsia="Times New Roman" w:hAnsi="Arial" w:cs="Arial"/>
          <w:color w:val="262626"/>
          <w:szCs w:val="24"/>
          <w:lang w:eastAsia="es-CO"/>
        </w:rPr>
        <w:t xml:space="preserve"> el acuerdo 1035 de 2015, </w:t>
      </w:r>
      <w:r w:rsidRPr="00C83708">
        <w:rPr>
          <w:rFonts w:ascii="Arial" w:eastAsia="Times New Roman" w:hAnsi="Arial" w:cs="Arial"/>
          <w:color w:val="262626"/>
          <w:szCs w:val="24"/>
          <w:lang w:eastAsia="es-CO"/>
        </w:rPr>
        <w:t>por el cual se define, formula, y adopta la política de mejoramiento continuo en el proceso de </w:t>
      </w:r>
      <w:r w:rsidRPr="00C83708">
        <w:rPr>
          <w:rFonts w:ascii="Arial" w:eastAsia="Times New Roman" w:hAnsi="Arial" w:cs="Arial"/>
          <w:noProof/>
          <w:color w:val="262626"/>
          <w:szCs w:val="24"/>
          <w:lang w:eastAsia="es-CO"/>
        </w:rPr>
        <w:drawing>
          <wp:inline distT="0" distB="0" distL="0" distR="0" wp14:anchorId="6FA3C1B5" wp14:editId="4AC19764">
            <wp:extent cx="152400" cy="152400"/>
            <wp:effectExtent l="0" t="0" r="0" b="0"/>
            <wp:docPr id="3" name="Imagen 3" descr="Glossary 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lossary Link"/>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83708">
        <w:rPr>
          <w:rFonts w:ascii="Arial" w:eastAsia="Times New Roman" w:hAnsi="Arial" w:cs="Arial"/>
          <w:color w:val="262626"/>
          <w:szCs w:val="24"/>
          <w:lang w:eastAsia="es-CO"/>
        </w:rPr>
        <w:t> </w:t>
      </w:r>
      <w:hyperlink r:id="rId5" w:tooltip="" w:history="1">
        <w:r w:rsidRPr="00C83708">
          <w:rPr>
            <w:rFonts w:ascii="Arial" w:eastAsia="Times New Roman" w:hAnsi="Arial" w:cs="Arial"/>
            <w:color w:val="666666"/>
            <w:szCs w:val="24"/>
            <w:u w:val="single"/>
            <w:lang w:eastAsia="es-CO"/>
          </w:rPr>
          <w:t>determinación</w:t>
        </w:r>
      </w:hyperlink>
      <w:r w:rsidRPr="00C83708">
        <w:rPr>
          <w:rFonts w:ascii="Arial" w:eastAsia="Times New Roman" w:hAnsi="Arial" w:cs="Arial"/>
          <w:color w:val="262626"/>
          <w:szCs w:val="24"/>
          <w:lang w:eastAsia="es-CO"/>
        </w:rPr>
        <w:t>, </w:t>
      </w:r>
      <w:r w:rsidRPr="00C83708">
        <w:rPr>
          <w:rFonts w:ascii="Arial" w:eastAsia="Times New Roman" w:hAnsi="Arial" w:cs="Arial"/>
          <w:noProof/>
          <w:color w:val="262626"/>
          <w:szCs w:val="24"/>
          <w:lang w:eastAsia="es-CO"/>
        </w:rPr>
        <w:drawing>
          <wp:inline distT="0" distB="0" distL="0" distR="0" wp14:anchorId="784B2F9E" wp14:editId="632CE243">
            <wp:extent cx="152400" cy="152400"/>
            <wp:effectExtent l="0" t="0" r="0" b="0"/>
            <wp:docPr id="4" name="Imagen 4" descr="Glossary 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lossary Link"/>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6" w:tooltip="" w:history="1">
        <w:r w:rsidRPr="00C83708">
          <w:rPr>
            <w:rFonts w:ascii="Arial" w:eastAsia="Times New Roman" w:hAnsi="Arial" w:cs="Arial"/>
            <w:color w:val="666666"/>
            <w:szCs w:val="24"/>
            <w:u w:val="single"/>
            <w:lang w:eastAsia="es-CO"/>
          </w:rPr>
          <w:t>liquidación</w:t>
        </w:r>
      </w:hyperlink>
      <w:r w:rsidRPr="00C83708">
        <w:rPr>
          <w:rFonts w:ascii="Arial" w:eastAsia="Times New Roman" w:hAnsi="Arial" w:cs="Arial"/>
          <w:color w:val="262626"/>
          <w:szCs w:val="24"/>
          <w:lang w:eastAsia="es-CO"/>
        </w:rPr>
        <w:t> y pago de los aportes al Sistema de la Protección Social. </w:t>
      </w:r>
    </w:p>
    <w:p w:rsidR="00C83708" w:rsidRPr="00C83708" w:rsidRDefault="00C83708" w:rsidP="00C83708">
      <w:pPr>
        <w:spacing w:line="240" w:lineRule="atLeast"/>
        <w:jc w:val="left"/>
        <w:rPr>
          <w:rFonts w:ascii="Arial" w:eastAsia="Times New Roman" w:hAnsi="Arial" w:cs="Arial"/>
          <w:color w:val="262626"/>
          <w:sz w:val="20"/>
          <w:szCs w:val="20"/>
          <w:lang w:eastAsia="es-CO"/>
        </w:rPr>
      </w:pPr>
      <w:r w:rsidRPr="00C83708">
        <w:rPr>
          <w:rFonts w:ascii="Arial" w:eastAsia="Times New Roman" w:hAnsi="Arial" w:cs="Arial"/>
          <w:color w:val="262626"/>
          <w:sz w:val="20"/>
          <w:szCs w:val="20"/>
          <w:lang w:eastAsia="es-CO"/>
        </w:rPr>
        <w:t> </w:t>
      </w:r>
    </w:p>
    <w:p w:rsidR="00C83708" w:rsidRPr="00C83708" w:rsidRDefault="00C83708" w:rsidP="00C83708">
      <w:pPr>
        <w:spacing w:line="240" w:lineRule="atLeast"/>
        <w:jc w:val="left"/>
        <w:rPr>
          <w:rFonts w:ascii="Arial" w:eastAsia="Times New Roman" w:hAnsi="Arial" w:cs="Arial"/>
          <w:color w:val="262626"/>
          <w:sz w:val="20"/>
          <w:szCs w:val="20"/>
          <w:lang w:eastAsia="es-CO"/>
        </w:rPr>
      </w:pPr>
      <w:r w:rsidRPr="00C83708">
        <w:rPr>
          <w:rFonts w:ascii="Arial" w:eastAsia="Times New Roman" w:hAnsi="Arial" w:cs="Arial"/>
          <w:color w:val="262626"/>
          <w:szCs w:val="24"/>
          <w:lang w:eastAsia="es-CO"/>
        </w:rPr>
        <w:t>Este acuerdo fue publicado en el Diario Oficial 49706 del martes 24 de noviembre de 2015</w:t>
      </w:r>
    </w:p>
    <w:p w:rsidR="00C83708" w:rsidRPr="00C83708" w:rsidRDefault="00C83708" w:rsidP="00C83708">
      <w:pPr>
        <w:spacing w:line="240" w:lineRule="atLeast"/>
        <w:jc w:val="left"/>
        <w:rPr>
          <w:rFonts w:ascii="Arial" w:eastAsia="Times New Roman" w:hAnsi="Arial" w:cs="Arial"/>
          <w:color w:val="262626"/>
          <w:sz w:val="20"/>
          <w:szCs w:val="20"/>
          <w:lang w:eastAsia="es-CO"/>
        </w:rPr>
      </w:pPr>
      <w:r w:rsidRPr="00C83708">
        <w:rPr>
          <w:rFonts w:ascii="Arial" w:eastAsia="Times New Roman" w:hAnsi="Arial" w:cs="Arial"/>
          <w:color w:val="262626"/>
          <w:szCs w:val="24"/>
          <w:lang w:eastAsia="es-CO"/>
        </w:rPr>
        <w:t> </w:t>
      </w:r>
    </w:p>
    <w:p w:rsidR="00C83708" w:rsidRPr="00C83708" w:rsidRDefault="00C83708" w:rsidP="00C83708">
      <w:pPr>
        <w:spacing w:line="240" w:lineRule="atLeast"/>
        <w:jc w:val="center"/>
        <w:rPr>
          <w:rFonts w:ascii="Arial" w:eastAsia="Times New Roman" w:hAnsi="Arial" w:cs="Arial"/>
          <w:color w:val="262626"/>
          <w:sz w:val="20"/>
          <w:szCs w:val="20"/>
          <w:lang w:eastAsia="es-CO"/>
        </w:rPr>
      </w:pPr>
      <w:hyperlink r:id="rId7" w:history="1">
        <w:r w:rsidRPr="00C83708">
          <w:rPr>
            <w:rFonts w:ascii="Arial" w:eastAsia="Times New Roman" w:hAnsi="Arial" w:cs="Arial"/>
            <w:color w:val="0000FF"/>
            <w:szCs w:val="24"/>
            <w:u w:val="single"/>
            <w:lang w:eastAsia="es-CO"/>
          </w:rPr>
          <w:t>Acuerdo 1035 de 2015</w:t>
        </w:r>
      </w:hyperlink>
    </w:p>
    <w:p w:rsidR="00C83708" w:rsidRPr="00C83708" w:rsidRDefault="00C83708" w:rsidP="00C83708">
      <w:pPr>
        <w:spacing w:line="240" w:lineRule="atLeast"/>
        <w:jc w:val="center"/>
        <w:rPr>
          <w:rFonts w:ascii="Arial" w:eastAsia="Times New Roman" w:hAnsi="Arial" w:cs="Arial"/>
          <w:color w:val="262626"/>
          <w:sz w:val="20"/>
          <w:szCs w:val="20"/>
          <w:lang w:eastAsia="es-CO"/>
        </w:rPr>
      </w:pPr>
      <w:r w:rsidRPr="00C83708">
        <w:rPr>
          <w:rFonts w:ascii="Arial" w:eastAsia="Times New Roman" w:hAnsi="Arial" w:cs="Arial"/>
          <w:color w:val="262626"/>
          <w:sz w:val="20"/>
          <w:szCs w:val="20"/>
          <w:lang w:eastAsia="es-CO"/>
        </w:rPr>
        <w:t> </w:t>
      </w:r>
    </w:p>
    <w:p w:rsidR="00C83708" w:rsidRPr="00C83708" w:rsidRDefault="00C83708" w:rsidP="00C83708">
      <w:pPr>
        <w:spacing w:line="240" w:lineRule="atLeast"/>
        <w:jc w:val="center"/>
        <w:rPr>
          <w:rFonts w:ascii="Arial" w:eastAsia="Times New Roman" w:hAnsi="Arial" w:cs="Arial"/>
          <w:color w:val="262626"/>
          <w:sz w:val="20"/>
          <w:szCs w:val="20"/>
          <w:lang w:eastAsia="es-CO"/>
        </w:rPr>
      </w:pPr>
      <w:hyperlink r:id="rId8" w:history="1">
        <w:r w:rsidRPr="00C83708">
          <w:rPr>
            <w:rFonts w:ascii="Arial" w:eastAsia="Times New Roman" w:hAnsi="Arial" w:cs="Arial"/>
            <w:color w:val="0000FF"/>
            <w:sz w:val="20"/>
            <w:szCs w:val="20"/>
            <w:u w:val="single"/>
            <w:lang w:eastAsia="es-CO"/>
          </w:rPr>
          <w:t>Anexo técnico-Acuerdo 1035 de 2015</w:t>
        </w:r>
      </w:hyperlink>
    </w:p>
    <w:p w:rsidR="00C83708" w:rsidRPr="00C83708" w:rsidRDefault="00C83708" w:rsidP="00C83708">
      <w:pPr>
        <w:spacing w:line="240" w:lineRule="atLeast"/>
        <w:jc w:val="center"/>
        <w:rPr>
          <w:rFonts w:ascii="Arial" w:eastAsia="Times New Roman" w:hAnsi="Arial" w:cs="Arial"/>
          <w:color w:val="262626"/>
          <w:sz w:val="20"/>
          <w:szCs w:val="20"/>
          <w:lang w:eastAsia="es-CO"/>
        </w:rPr>
      </w:pPr>
      <w:r w:rsidRPr="00C83708">
        <w:rPr>
          <w:rFonts w:ascii="Arial" w:eastAsia="Times New Roman" w:hAnsi="Arial" w:cs="Arial"/>
          <w:color w:val="262626"/>
          <w:sz w:val="20"/>
          <w:szCs w:val="20"/>
          <w:lang w:eastAsia="es-CO"/>
        </w:rPr>
        <w:t> </w:t>
      </w:r>
    </w:p>
    <w:p w:rsidR="00C83708" w:rsidRPr="00C83708" w:rsidRDefault="00C83708" w:rsidP="00C83708">
      <w:pPr>
        <w:spacing w:line="240" w:lineRule="atLeast"/>
        <w:rPr>
          <w:rFonts w:ascii="Arial" w:eastAsia="Times New Roman" w:hAnsi="Arial" w:cs="Arial"/>
          <w:color w:val="262626"/>
          <w:sz w:val="20"/>
          <w:szCs w:val="20"/>
          <w:lang w:eastAsia="es-CO"/>
        </w:rPr>
      </w:pPr>
      <w:r w:rsidRPr="00C83708">
        <w:rPr>
          <w:rFonts w:ascii="Arial" w:eastAsia="Times New Roman" w:hAnsi="Arial" w:cs="Arial"/>
          <w:color w:val="262626"/>
          <w:sz w:val="20"/>
          <w:szCs w:val="20"/>
          <w:lang w:eastAsia="es-CO"/>
        </w:rPr>
        <w:t>En sesión del 9 de febrero de 2016, el Consejo Directivo de La Unidad de Pensiones y Parafiscales-UGPP analizó  la aplicación del artículo 30 de la Ley 1393 de 2010 referida en el Acuerdo 1035 de 2015 con ocasión a las solicitudes dirigidas a la Unidad por los aportantes, en el sentido de excluir las prestaciones sociales  establecidas en los títulos VIII y IX del Código Sustantivo del Trabajo, para efectos del cálculo del límite contenido en esta disposición dado  su carácter no salarial, y ante la manifestación reiterativa de algunos de ellos  de aplicar  el concepto No 147921 de 2013,  emitido por el Ministerio del Trabajo, decidió elevar consulta ante el H. Consejo de Estado, a efectos de obtener su posición jurídica sobre el asunto.  </w:t>
      </w:r>
    </w:p>
    <w:p w:rsidR="00C83708" w:rsidRPr="00C83708" w:rsidRDefault="00C83708" w:rsidP="00C83708">
      <w:pPr>
        <w:spacing w:line="240" w:lineRule="atLeast"/>
        <w:rPr>
          <w:rFonts w:ascii="Arial" w:eastAsia="Times New Roman" w:hAnsi="Arial" w:cs="Arial"/>
          <w:color w:val="262626"/>
          <w:sz w:val="20"/>
          <w:szCs w:val="20"/>
          <w:lang w:eastAsia="es-CO"/>
        </w:rPr>
      </w:pPr>
      <w:r w:rsidRPr="00C83708">
        <w:rPr>
          <w:rFonts w:ascii="Arial" w:eastAsia="Times New Roman" w:hAnsi="Arial" w:cs="Arial"/>
          <w:color w:val="262626"/>
          <w:sz w:val="20"/>
          <w:szCs w:val="20"/>
          <w:lang w:eastAsia="es-CO"/>
        </w:rPr>
        <w:t> </w:t>
      </w:r>
    </w:p>
    <w:p w:rsidR="00C83708" w:rsidRPr="00C83708" w:rsidRDefault="00C83708" w:rsidP="00C83708">
      <w:pPr>
        <w:spacing w:line="240" w:lineRule="atLeast"/>
        <w:rPr>
          <w:rFonts w:ascii="Arial" w:eastAsia="Times New Roman" w:hAnsi="Arial" w:cs="Arial"/>
          <w:color w:val="262626"/>
          <w:sz w:val="20"/>
          <w:szCs w:val="20"/>
          <w:lang w:eastAsia="es-CO"/>
        </w:rPr>
      </w:pPr>
      <w:r w:rsidRPr="00C83708">
        <w:rPr>
          <w:rFonts w:ascii="Arial" w:eastAsia="Times New Roman" w:hAnsi="Arial" w:cs="Arial"/>
          <w:color w:val="262626"/>
          <w:sz w:val="20"/>
          <w:szCs w:val="20"/>
          <w:lang w:eastAsia="es-CO"/>
        </w:rPr>
        <w:t xml:space="preserve">En consecuencia, como una medida transitoria hasta tanto la Sala de Consulta y Servicio Civil del Consejo de Estado emita pronunciamiento, o se adelanten las acciones que para tal efecto </w:t>
      </w:r>
      <w:r>
        <w:rPr>
          <w:rFonts w:ascii="Arial" w:eastAsia="Times New Roman" w:hAnsi="Arial" w:cs="Arial"/>
          <w:color w:val="262626"/>
          <w:sz w:val="20"/>
          <w:szCs w:val="20"/>
          <w:lang w:eastAsia="es-CO"/>
        </w:rPr>
        <w:t xml:space="preserve">disponga el Consejo Directivo, </w:t>
      </w:r>
      <w:r w:rsidRPr="00C83708">
        <w:rPr>
          <w:rFonts w:ascii="Arial" w:eastAsia="Times New Roman" w:hAnsi="Arial" w:cs="Arial"/>
          <w:color w:val="262626"/>
          <w:sz w:val="20"/>
          <w:szCs w:val="20"/>
          <w:lang w:eastAsia="es-CO"/>
        </w:rPr>
        <w:t>en los procesos que adelanta esta Unidad relativos a la adecuada, completa y oportuna liquidación y pago de los aportes a la seguridad social integral, se tendrá en cuenta el concepto No. 147921 de 2013 expedido por ese Ministerio. Por consiguiente, para efecto de la aplicación del artículo 30 de la Ley 1393</w:t>
      </w:r>
      <w:r>
        <w:rPr>
          <w:rFonts w:ascii="Arial" w:eastAsia="Times New Roman" w:hAnsi="Arial" w:cs="Arial"/>
          <w:color w:val="262626"/>
          <w:sz w:val="20"/>
          <w:szCs w:val="20"/>
          <w:lang w:eastAsia="es-CO"/>
        </w:rPr>
        <w:t xml:space="preserve"> de 2010 no se incluirán en el </w:t>
      </w:r>
      <w:r w:rsidRPr="00C83708">
        <w:rPr>
          <w:rFonts w:ascii="Arial" w:eastAsia="Times New Roman" w:hAnsi="Arial" w:cs="Arial"/>
          <w:color w:val="262626"/>
          <w:sz w:val="20"/>
          <w:szCs w:val="20"/>
          <w:lang w:eastAsia="es-CO"/>
        </w:rPr>
        <w:t>cálculo del 40%, ni en el concepto “total de la remuneración” las </w:t>
      </w:r>
      <w:r w:rsidRPr="00C83708">
        <w:rPr>
          <w:rFonts w:ascii="Arial" w:eastAsia="Times New Roman" w:hAnsi="Arial" w:cs="Arial"/>
          <w:b/>
          <w:bCs/>
          <w:color w:val="262626"/>
          <w:sz w:val="20"/>
          <w:szCs w:val="20"/>
          <w:lang w:eastAsia="es-CO"/>
        </w:rPr>
        <w:t>prestaciones sociales</w:t>
      </w:r>
      <w:r w:rsidRPr="00C83708">
        <w:rPr>
          <w:rFonts w:ascii="Arial" w:eastAsia="Times New Roman" w:hAnsi="Arial" w:cs="Arial"/>
          <w:color w:val="262626"/>
          <w:sz w:val="20"/>
          <w:szCs w:val="20"/>
          <w:lang w:eastAsia="es-CO"/>
        </w:rPr>
        <w:t> establecidas en los títulos VIII y IX del Código Sustantivo del Trabajo.</w:t>
      </w:r>
    </w:p>
    <w:p w:rsidR="00C83708" w:rsidRPr="00C83708" w:rsidRDefault="00C83708" w:rsidP="00C83708">
      <w:pPr>
        <w:spacing w:line="240" w:lineRule="atLeast"/>
        <w:rPr>
          <w:rFonts w:ascii="Arial" w:eastAsia="Times New Roman" w:hAnsi="Arial" w:cs="Arial"/>
          <w:color w:val="262626"/>
          <w:sz w:val="20"/>
          <w:szCs w:val="20"/>
          <w:lang w:eastAsia="es-CO"/>
        </w:rPr>
      </w:pPr>
      <w:r w:rsidRPr="00C83708">
        <w:rPr>
          <w:rFonts w:ascii="Arial" w:eastAsia="Times New Roman" w:hAnsi="Arial" w:cs="Arial"/>
          <w:color w:val="262626"/>
          <w:sz w:val="20"/>
          <w:szCs w:val="20"/>
          <w:lang w:eastAsia="es-CO"/>
        </w:rPr>
        <w:t> </w:t>
      </w:r>
    </w:p>
    <w:p w:rsidR="00C83708" w:rsidRPr="00C83708" w:rsidRDefault="00C83708" w:rsidP="00C83708">
      <w:pPr>
        <w:spacing w:line="240" w:lineRule="atLeast"/>
        <w:rPr>
          <w:rFonts w:ascii="Arial" w:eastAsia="Times New Roman" w:hAnsi="Arial" w:cs="Arial"/>
          <w:color w:val="262626"/>
          <w:sz w:val="20"/>
          <w:szCs w:val="20"/>
          <w:lang w:eastAsia="es-CO"/>
        </w:rPr>
      </w:pPr>
      <w:r w:rsidRPr="00C83708">
        <w:rPr>
          <w:rFonts w:ascii="Arial" w:eastAsia="Times New Roman" w:hAnsi="Arial" w:cs="Arial"/>
          <w:color w:val="262626"/>
          <w:sz w:val="20"/>
          <w:szCs w:val="20"/>
          <w:lang w:eastAsia="es-CO"/>
        </w:rPr>
        <w:t>Lo anterior con el fin de informar a los aportantes las políticas que adoptará temporalmente la Unidad.</w:t>
      </w:r>
    </w:p>
    <w:p w:rsidR="00C83708" w:rsidRPr="00C83708" w:rsidRDefault="00C83708" w:rsidP="00C83708">
      <w:pPr>
        <w:spacing w:line="240" w:lineRule="atLeast"/>
        <w:rPr>
          <w:rFonts w:ascii="Arial" w:eastAsia="Times New Roman" w:hAnsi="Arial" w:cs="Arial"/>
          <w:color w:val="262626"/>
          <w:sz w:val="20"/>
          <w:szCs w:val="20"/>
          <w:lang w:eastAsia="es-CO"/>
        </w:rPr>
      </w:pPr>
      <w:r w:rsidRPr="00C83708">
        <w:rPr>
          <w:rFonts w:ascii="Arial" w:eastAsia="Times New Roman" w:hAnsi="Arial" w:cs="Arial"/>
          <w:color w:val="262626"/>
          <w:sz w:val="20"/>
          <w:szCs w:val="20"/>
          <w:lang w:eastAsia="es-CO"/>
        </w:rPr>
        <w:t> </w:t>
      </w:r>
    </w:p>
    <w:p w:rsidR="00C83708" w:rsidRPr="00C83708" w:rsidRDefault="00C83708" w:rsidP="00C83708">
      <w:pPr>
        <w:spacing w:line="240" w:lineRule="atLeast"/>
        <w:rPr>
          <w:rFonts w:ascii="Arial" w:eastAsia="Times New Roman" w:hAnsi="Arial" w:cs="Arial"/>
          <w:color w:val="262626"/>
          <w:sz w:val="20"/>
          <w:szCs w:val="20"/>
          <w:lang w:eastAsia="es-CO"/>
        </w:rPr>
      </w:pPr>
      <w:r w:rsidRPr="00C83708">
        <w:rPr>
          <w:rFonts w:ascii="Arial" w:eastAsia="Times New Roman" w:hAnsi="Arial" w:cs="Arial"/>
          <w:color w:val="262626"/>
          <w:sz w:val="20"/>
          <w:szCs w:val="20"/>
          <w:lang w:eastAsia="es-CO"/>
        </w:rPr>
        <w:t>Se precisa que las demás disposiciones contenidas en el Acuerdo 1035 de 2015 expedido</w:t>
      </w:r>
      <w:r>
        <w:rPr>
          <w:rFonts w:ascii="Arial" w:eastAsia="Times New Roman" w:hAnsi="Arial" w:cs="Arial"/>
          <w:color w:val="262626"/>
          <w:sz w:val="20"/>
          <w:szCs w:val="20"/>
          <w:lang w:eastAsia="es-CO"/>
        </w:rPr>
        <w:t xml:space="preserve"> por este órgano, </w:t>
      </w:r>
      <w:r w:rsidRPr="00C83708">
        <w:rPr>
          <w:rFonts w:ascii="Arial" w:eastAsia="Times New Roman" w:hAnsi="Arial" w:cs="Arial"/>
          <w:color w:val="262626"/>
          <w:sz w:val="20"/>
          <w:szCs w:val="20"/>
          <w:lang w:eastAsia="es-CO"/>
        </w:rPr>
        <w:t>continuarán aplicándose en su integridad.</w:t>
      </w:r>
    </w:p>
    <w:p w:rsidR="00C83708" w:rsidRDefault="00C83708" w:rsidP="00C83708">
      <w:pPr>
        <w:spacing w:before="240" w:after="240" w:line="336" w:lineRule="atLeast"/>
        <w:rPr>
          <w:rFonts w:ascii="Arial" w:eastAsia="Times New Roman" w:hAnsi="Arial" w:cs="Arial"/>
          <w:color w:val="262626"/>
          <w:szCs w:val="24"/>
          <w:lang w:eastAsia="es-CO"/>
        </w:rPr>
      </w:pPr>
      <w:r w:rsidRPr="00C83708">
        <w:rPr>
          <w:rFonts w:ascii="Arial" w:eastAsia="Times New Roman" w:hAnsi="Arial" w:cs="Arial"/>
          <w:color w:val="262626"/>
          <w:szCs w:val="24"/>
          <w:lang w:eastAsia="es-CO"/>
        </w:rPr>
        <w:t>Consulte el </w:t>
      </w:r>
      <w:hyperlink r:id="rId9" w:history="1">
        <w:r w:rsidRPr="00C83708">
          <w:rPr>
            <w:rFonts w:ascii="Arial" w:eastAsia="Times New Roman" w:hAnsi="Arial" w:cs="Arial"/>
            <w:color w:val="666666"/>
            <w:szCs w:val="24"/>
            <w:u w:val="single"/>
            <w:lang w:eastAsia="es-CO"/>
          </w:rPr>
          <w:t>concepto haciendo clic aquí</w:t>
        </w:r>
      </w:hyperlink>
      <w:r>
        <w:rPr>
          <w:rFonts w:ascii="Arial" w:eastAsia="Times New Roman" w:hAnsi="Arial" w:cs="Arial"/>
          <w:color w:val="262626"/>
          <w:szCs w:val="24"/>
          <w:lang w:eastAsia="es-CO"/>
        </w:rPr>
        <w:t>:</w:t>
      </w:r>
    </w:p>
    <w:p w:rsidR="00C83708" w:rsidRDefault="00C83708" w:rsidP="00C83708">
      <w:pPr>
        <w:spacing w:before="240" w:after="240" w:line="336" w:lineRule="atLeast"/>
        <w:rPr>
          <w:rFonts w:ascii="Arial" w:eastAsia="Times New Roman" w:hAnsi="Arial" w:cs="Arial"/>
          <w:color w:val="262626"/>
          <w:szCs w:val="24"/>
          <w:lang w:eastAsia="es-CO"/>
        </w:rPr>
      </w:pPr>
    </w:p>
    <w:p w:rsidR="00C83708" w:rsidRPr="00C83708" w:rsidRDefault="00C83708" w:rsidP="00C83708">
      <w:pPr>
        <w:spacing w:before="240" w:after="240" w:line="336" w:lineRule="atLeast"/>
        <w:rPr>
          <w:rFonts w:ascii="Arial" w:eastAsia="Times New Roman" w:hAnsi="Arial" w:cs="Arial"/>
          <w:color w:val="262626"/>
          <w:sz w:val="19"/>
          <w:szCs w:val="19"/>
          <w:lang w:eastAsia="es-CO"/>
        </w:rPr>
      </w:pPr>
    </w:p>
    <w:p w:rsidR="00C83708" w:rsidRPr="00C83708" w:rsidRDefault="00C83708" w:rsidP="00C83708">
      <w:pPr>
        <w:spacing w:line="240" w:lineRule="atLeast"/>
        <w:rPr>
          <w:rFonts w:ascii="Arial" w:eastAsia="Times New Roman" w:hAnsi="Arial" w:cs="Arial"/>
          <w:color w:val="262626"/>
          <w:sz w:val="20"/>
          <w:szCs w:val="20"/>
          <w:lang w:eastAsia="es-CO"/>
        </w:rPr>
      </w:pPr>
      <w:r w:rsidRPr="00C83708">
        <w:rPr>
          <w:rFonts w:ascii="Arial" w:eastAsia="Times New Roman" w:hAnsi="Arial" w:cs="Arial"/>
          <w:color w:val="262626"/>
          <w:sz w:val="20"/>
          <w:szCs w:val="20"/>
          <w:lang w:eastAsia="es-CO"/>
        </w:rPr>
        <w:t> </w:t>
      </w:r>
    </w:p>
    <w:p w:rsidR="00961BFA" w:rsidRDefault="00961BFA"/>
    <w:sectPr w:rsidR="00961BFA" w:rsidSect="00B94BED">
      <w:pgSz w:w="12242" w:h="18705" w:code="120"/>
      <w:pgMar w:top="1701" w:right="1701" w:bottom="1701" w:left="1701" w:header="1418"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708"/>
    <w:rsid w:val="0029351E"/>
    <w:rsid w:val="00961BFA"/>
    <w:rsid w:val="00B94BED"/>
    <w:rsid w:val="00C83708"/>
    <w:rsid w:val="00E3651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E2E520-17B2-490A-BEEC-94B15A0A9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s-CO"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7484488">
      <w:bodyDiv w:val="1"/>
      <w:marLeft w:val="0"/>
      <w:marRight w:val="0"/>
      <w:marTop w:val="0"/>
      <w:marBottom w:val="0"/>
      <w:divBdr>
        <w:top w:val="none" w:sz="0" w:space="0" w:color="auto"/>
        <w:left w:val="none" w:sz="0" w:space="0" w:color="auto"/>
        <w:bottom w:val="none" w:sz="0" w:space="0" w:color="auto"/>
        <w:right w:val="none" w:sz="0" w:space="0" w:color="auto"/>
      </w:divBdr>
      <w:divsChild>
        <w:div w:id="623192832">
          <w:marLeft w:val="0"/>
          <w:marRight w:val="0"/>
          <w:marTop w:val="0"/>
          <w:marBottom w:val="90"/>
          <w:divBdr>
            <w:top w:val="none" w:sz="0" w:space="0" w:color="auto"/>
            <w:left w:val="none" w:sz="0" w:space="0" w:color="auto"/>
            <w:bottom w:val="none" w:sz="0" w:space="0" w:color="auto"/>
            <w:right w:val="none" w:sz="0" w:space="0" w:color="auto"/>
          </w:divBdr>
          <w:divsChild>
            <w:div w:id="1844932044">
              <w:marLeft w:val="0"/>
              <w:marRight w:val="0"/>
              <w:marTop w:val="0"/>
              <w:marBottom w:val="0"/>
              <w:divBdr>
                <w:top w:val="none" w:sz="0" w:space="0" w:color="auto"/>
                <w:left w:val="none" w:sz="0" w:space="0" w:color="auto"/>
                <w:bottom w:val="none" w:sz="0" w:space="0" w:color="auto"/>
                <w:right w:val="none" w:sz="0" w:space="0" w:color="auto"/>
              </w:divBdr>
            </w:div>
            <w:div w:id="1234924313">
              <w:marLeft w:val="0"/>
              <w:marRight w:val="0"/>
              <w:marTop w:val="0"/>
              <w:marBottom w:val="0"/>
              <w:divBdr>
                <w:top w:val="none" w:sz="0" w:space="0" w:color="auto"/>
                <w:left w:val="none" w:sz="0" w:space="0" w:color="auto"/>
                <w:bottom w:val="none" w:sz="0" w:space="0" w:color="auto"/>
                <w:right w:val="none" w:sz="0" w:space="0" w:color="auto"/>
              </w:divBdr>
            </w:div>
            <w:div w:id="50589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gpp.gov.co/doc_download/3246-anexo-tecnico-acuerdo-1035-de-2015" TargetMode="External"/><Relationship Id="rId3" Type="http://schemas.openxmlformats.org/officeDocument/2006/relationships/webSettings" Target="webSettings.xml"/><Relationship Id="rId7" Type="http://schemas.openxmlformats.org/officeDocument/2006/relationships/hyperlink" Target="http://www.ugpp.gov.co/doc_download/3245-acuerdo-1035-de-201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gpp.gov.co/glosario/glosario-1/L/liquidacion-8.html" TargetMode="External"/><Relationship Id="rId11" Type="http://schemas.openxmlformats.org/officeDocument/2006/relationships/theme" Target="theme/theme1.xml"/><Relationship Id="rId5" Type="http://schemas.openxmlformats.org/officeDocument/2006/relationships/hyperlink" Target="http://www.ugpp.gov.co/glosario/glosario-1/D/determinacion-5.html"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www.ugpp.gov.co/doc_download/3537-concept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412</Words>
  <Characters>2266</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CENTRO NACIONAL DE ESTUDIOS TRIBUTARIOS DE COLOMBIA CNETCO</dc:creator>
  <cp:keywords/>
  <dc:description/>
  <cp:lastModifiedBy>CENTRO NACIONAL DE ESTUDIOS TRIBUTARIOS DE COLOMBIA CNETCO</cp:lastModifiedBy>
  <cp:revision>1</cp:revision>
  <dcterms:created xsi:type="dcterms:W3CDTF">2017-02-22T23:49:00Z</dcterms:created>
  <dcterms:modified xsi:type="dcterms:W3CDTF">2017-02-22T23:53:00Z</dcterms:modified>
</cp:coreProperties>
</file>