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E1" w:rsidRPr="001F32E1" w:rsidRDefault="001F32E1" w:rsidP="001F32E1">
      <w:pPr>
        <w:spacing w:after="0" w:line="240" w:lineRule="auto"/>
        <w:jc w:val="center"/>
        <w:rPr>
          <w:rFonts w:eastAsia="Times New Roman" w:cs="Times New Roman"/>
          <w:b/>
          <w:bCs/>
          <w:szCs w:val="24"/>
          <w:lang w:eastAsia="es-CO"/>
        </w:rPr>
      </w:pPr>
    </w:p>
    <w:p w:rsidR="001F32E1" w:rsidRPr="001F32E1" w:rsidRDefault="001F32E1" w:rsidP="001F32E1">
      <w:pPr>
        <w:spacing w:after="0" w:line="240" w:lineRule="auto"/>
        <w:jc w:val="center"/>
        <w:rPr>
          <w:rFonts w:eastAsia="Times New Roman" w:cs="Times New Roman"/>
          <w:b/>
          <w:bCs/>
          <w:szCs w:val="24"/>
          <w:lang w:eastAsia="es-CO"/>
        </w:rPr>
      </w:pPr>
    </w:p>
    <w:p w:rsidR="001F32E1" w:rsidRPr="001F32E1" w:rsidRDefault="001F32E1" w:rsidP="001F32E1">
      <w:pPr>
        <w:spacing w:after="0" w:line="240" w:lineRule="auto"/>
        <w:jc w:val="center"/>
        <w:rPr>
          <w:rFonts w:eastAsia="Times New Roman" w:cs="Times New Roman"/>
          <w:szCs w:val="24"/>
          <w:lang w:eastAsia="es-CO"/>
        </w:rPr>
      </w:pPr>
      <w:r w:rsidRPr="001F32E1">
        <w:rPr>
          <w:rFonts w:eastAsia="Times New Roman" w:cs="Times New Roman"/>
          <w:b/>
          <w:bCs/>
          <w:szCs w:val="24"/>
          <w:lang w:eastAsia="es-CO"/>
        </w:rPr>
        <w:t>Oficio Nº 220-003274</w:t>
      </w:r>
    </w:p>
    <w:p w:rsidR="001F32E1" w:rsidRPr="001F32E1" w:rsidRDefault="001F32E1" w:rsidP="001F32E1">
      <w:pPr>
        <w:spacing w:after="0" w:line="240" w:lineRule="auto"/>
        <w:jc w:val="center"/>
        <w:rPr>
          <w:rFonts w:eastAsia="Times New Roman" w:cs="Times New Roman"/>
          <w:szCs w:val="24"/>
          <w:lang w:eastAsia="es-CO"/>
        </w:rPr>
      </w:pPr>
      <w:r w:rsidRPr="001F32E1">
        <w:rPr>
          <w:rFonts w:eastAsia="Times New Roman" w:cs="Times New Roman"/>
          <w:b/>
          <w:bCs/>
          <w:szCs w:val="24"/>
          <w:lang w:eastAsia="es-CO"/>
        </w:rPr>
        <w:t>24-01-2019</w:t>
      </w:r>
    </w:p>
    <w:p w:rsidR="001F32E1" w:rsidRPr="001F32E1" w:rsidRDefault="001F32E1" w:rsidP="001F32E1">
      <w:pPr>
        <w:spacing w:after="0" w:line="240" w:lineRule="auto"/>
        <w:jc w:val="center"/>
        <w:rPr>
          <w:rFonts w:eastAsia="Times New Roman" w:cs="Times New Roman"/>
          <w:szCs w:val="24"/>
          <w:lang w:eastAsia="es-CO"/>
        </w:rPr>
      </w:pPr>
      <w:r w:rsidRPr="001F32E1">
        <w:rPr>
          <w:rFonts w:eastAsia="Times New Roman" w:cs="Times New Roman"/>
          <w:b/>
          <w:bCs/>
          <w:szCs w:val="24"/>
          <w:lang w:eastAsia="es-CO"/>
        </w:rPr>
        <w:t>Superintendencia de Sociedades</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b/>
          <w:bCs/>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b/>
          <w:bCs/>
          <w:szCs w:val="24"/>
          <w:lang w:eastAsia="es-CO"/>
        </w:rPr>
        <w:t> </w:t>
      </w:r>
      <w:bookmarkStart w:id="0" w:name="_GoBack"/>
      <w:bookmarkEnd w:id="0"/>
    </w:p>
    <w:p w:rsidR="001F32E1" w:rsidRPr="001F32E1" w:rsidRDefault="001F32E1" w:rsidP="001F32E1">
      <w:pPr>
        <w:spacing w:after="0" w:line="240" w:lineRule="auto"/>
        <w:jc w:val="both"/>
        <w:rPr>
          <w:rFonts w:eastAsia="Times New Roman" w:cs="Times New Roman"/>
          <w:b/>
          <w:szCs w:val="24"/>
          <w:lang w:eastAsia="es-CO"/>
        </w:rPr>
      </w:pPr>
      <w:r w:rsidRPr="001F32E1">
        <w:rPr>
          <w:rFonts w:eastAsia="Times New Roman" w:cs="Times New Roman"/>
          <w:b/>
          <w:bCs/>
          <w:szCs w:val="24"/>
          <w:lang w:eastAsia="es-CO"/>
        </w:rPr>
        <w:t>REF: </w:t>
      </w:r>
      <w:r w:rsidRPr="001F32E1">
        <w:rPr>
          <w:rFonts w:eastAsia="Times New Roman" w:cs="Times New Roman"/>
          <w:b/>
          <w:szCs w:val="24"/>
          <w:lang w:eastAsia="es-CO"/>
        </w:rPr>
        <w:t>SOCIEDADES VINCULADAS ECONÓMICAMENTE</w:t>
      </w:r>
    </w:p>
    <w:p w:rsidR="001F32E1" w:rsidRPr="001F32E1" w:rsidRDefault="001F32E1" w:rsidP="001F32E1">
      <w:pPr>
        <w:spacing w:after="0" w:line="240" w:lineRule="auto"/>
        <w:jc w:val="both"/>
        <w:rPr>
          <w:rFonts w:eastAsia="Times New Roman" w:cs="Times New Roman"/>
          <w:b/>
          <w:szCs w:val="24"/>
          <w:lang w:eastAsia="es-CO"/>
        </w:rPr>
      </w:pPr>
      <w:r w:rsidRPr="001F32E1">
        <w:rPr>
          <w:rFonts w:eastAsia="Times New Roman" w:cs="Times New Roman"/>
          <w:b/>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Aviso recibo de la consulta sobre las sociedades vinculadas económicamente, que se sirvió formular mediante la comunicación radicada bajo el No. 2018-01-542851 del 12 de diciembre de 2018, la cual procede atender en su orden, conforme al artículo 28 del Código de Procedimiento Administrativo y de lo Contencioso Administrativo, es decir, en ejercicio de una competencia impersonal, general y abstracta, como se refiere a continuación.</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xml:space="preserve">Se refirió que las compañías A y B pertenecen a los mismos socios, con participación de 33%, 33% y 34% en ambas sociedades; que el objeto social de la compañía B es el arrendamiento de un inmueble a la compañía A, “siendo esta su única actividad económica, es decir para la </w:t>
      </w:r>
      <w:proofErr w:type="spellStart"/>
      <w:r w:rsidRPr="001F32E1">
        <w:rPr>
          <w:rFonts w:eastAsia="Times New Roman" w:cs="Times New Roman"/>
          <w:szCs w:val="24"/>
          <w:lang w:eastAsia="es-CO"/>
        </w:rPr>
        <w:t>Cía</w:t>
      </w:r>
      <w:proofErr w:type="spellEnd"/>
      <w:r w:rsidRPr="001F32E1">
        <w:rPr>
          <w:rFonts w:eastAsia="Times New Roman" w:cs="Times New Roman"/>
          <w:szCs w:val="24"/>
          <w:lang w:eastAsia="es-CO"/>
        </w:rPr>
        <w:t xml:space="preserve"> B su único cliente es la </w:t>
      </w:r>
      <w:proofErr w:type="spellStart"/>
      <w:r w:rsidRPr="001F32E1">
        <w:rPr>
          <w:rFonts w:eastAsia="Times New Roman" w:cs="Times New Roman"/>
          <w:szCs w:val="24"/>
          <w:lang w:eastAsia="es-CO"/>
        </w:rPr>
        <w:t>Cía</w:t>
      </w:r>
      <w:proofErr w:type="spellEnd"/>
      <w:r w:rsidRPr="001F32E1">
        <w:rPr>
          <w:rFonts w:eastAsia="Times New Roman" w:cs="Times New Roman"/>
          <w:szCs w:val="24"/>
          <w:lang w:eastAsia="es-CO"/>
        </w:rPr>
        <w:t xml:space="preserve"> A, mi inquietud es en relación al </w:t>
      </w:r>
      <w:hyperlink r:id="rId4" w:tooltip="Estatuto Tributario CETA" w:history="1">
        <w:r w:rsidRPr="001F32E1">
          <w:rPr>
            <w:rFonts w:eastAsia="Times New Roman" w:cs="Times New Roman"/>
            <w:szCs w:val="24"/>
            <w:u w:val="single"/>
            <w:lang w:eastAsia="es-CO"/>
          </w:rPr>
          <w:t>artículo 450</w:t>
        </w:r>
      </w:hyperlink>
      <w:r w:rsidRPr="001F32E1">
        <w:rPr>
          <w:rFonts w:eastAsia="Times New Roman" w:cs="Times New Roman"/>
          <w:szCs w:val="24"/>
          <w:lang w:eastAsia="es-CO"/>
        </w:rPr>
        <w:t> del E.T (…). Dado al caso de tener calidad de vinculados económicos cuál sería la responsabilidad ante entes de control y la Superintendencia de Sociedades”.</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Respecto del tema objeto de la consulta es de señalar que el Estatuto Tributario consagra que el impuesto a las ventas se aplicará sobre la prestación de servicios en el territorio nacional, o desde el exterior, con excepción de los expresamente excluidos</w:t>
      </w:r>
      <w:bookmarkStart w:id="1" w:name="_ftnref1"/>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"_ftn1"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[1]</w:t>
      </w:r>
      <w:r w:rsidRPr="001F32E1">
        <w:rPr>
          <w:rFonts w:eastAsia="Times New Roman" w:cs="Times New Roman"/>
          <w:szCs w:val="24"/>
          <w:lang w:eastAsia="es-CO"/>
        </w:rPr>
        <w:fldChar w:fldCharType="end"/>
      </w:r>
      <w:bookmarkEnd w:id="1"/>
      <w:r w:rsidRPr="001F32E1">
        <w:rPr>
          <w:rFonts w:eastAsia="Times New Roman" w:cs="Times New Roman"/>
          <w:szCs w:val="24"/>
          <w:lang w:eastAsia="es-CO"/>
        </w:rPr>
        <w:t>; que se causa en la fecha de emisión de la factura o documento equivalente, o en la fecha de terminación de los servicios o del pago o abono en cuenta, la que fuere anterior</w:t>
      </w:r>
      <w:bookmarkStart w:id="2" w:name="_ftnref2"/>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"_ftn2"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[2]</w:t>
      </w:r>
      <w:r w:rsidRPr="001F32E1">
        <w:rPr>
          <w:rFonts w:eastAsia="Times New Roman" w:cs="Times New Roman"/>
          <w:szCs w:val="24"/>
          <w:lang w:eastAsia="es-CO"/>
        </w:rPr>
        <w:fldChar w:fldCharType="end"/>
      </w:r>
      <w:bookmarkEnd w:id="2"/>
      <w:r w:rsidRPr="001F32E1">
        <w:rPr>
          <w:rFonts w:eastAsia="Times New Roman" w:cs="Times New Roman"/>
          <w:szCs w:val="24"/>
          <w:lang w:eastAsia="es-CO"/>
        </w:rPr>
        <w:t>, y que en la prestación de servicios, la base gravable será el valor total de la operación, sea que esta se realice de contado o a crédito, incluyendo entre otros los gastos 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bookmarkStart w:id="3" w:name="_ftnref3"/>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"_ftn3"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[3]</w:t>
      </w:r>
      <w:r w:rsidRPr="001F32E1">
        <w:rPr>
          <w:rFonts w:eastAsia="Times New Roman" w:cs="Times New Roman"/>
          <w:szCs w:val="24"/>
          <w:lang w:eastAsia="es-CO"/>
        </w:rPr>
        <w:fldChar w:fldCharType="end"/>
      </w:r>
      <w:bookmarkEnd w:id="3"/>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xml:space="preserve">Además, el estatuto en mención contempla que los gastos de financiación que integran la base gravable, incluyen también la financiación otorgada por una empresa económicamente vinculada al responsable que efectúe la operación gravada, salvo que se trate de una organización financiera vigilada por la Superintendencia Financiera, y que existe vinculación económica cuando “el cuarenta por ciento (40%) o más de los ingresos operacionales de la entidad financiera provengan de la financiación de operaciones efectuadas por el responsable o sus vinculados económicos”, “la operación se lleva a cabo entre dos empresas cuyo capital pertenezca directa o indirectamente en un cincuenta por ciento (50%) o más a unas mismas personas o a sus cónyuges o parientes dentro del segundo grado de consanguinidad o afinidad o único civil”, y “el productor venda a una misma empresa o a empresas vinculadas entre sí, el cincuenta por ciento (50%) o más de su </w:t>
      </w:r>
      <w:r w:rsidRPr="001F32E1">
        <w:rPr>
          <w:rFonts w:eastAsia="Times New Roman" w:cs="Times New Roman"/>
          <w:szCs w:val="24"/>
          <w:lang w:eastAsia="es-CO"/>
        </w:rPr>
        <w:lastRenderedPageBreak/>
        <w:t>producción, evento en el cual cada una de las empresas se considera vinculada económica”</w:t>
      </w:r>
      <w:bookmarkStart w:id="4" w:name="_ftnref4"/>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"_ftn4"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[4]</w:t>
      </w:r>
      <w:r w:rsidRPr="001F32E1">
        <w:rPr>
          <w:rFonts w:eastAsia="Times New Roman" w:cs="Times New Roman"/>
          <w:szCs w:val="24"/>
          <w:lang w:eastAsia="es-CO"/>
        </w:rPr>
        <w:fldChar w:fldCharType="end"/>
      </w:r>
      <w:bookmarkEnd w:id="4"/>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De otra parte, el Código de Comercio prescribe que una sociedad es subordinada o controlada cuando su poder de decisión se encuentre sometido a la voluntad de otra u otras personas</w:t>
      </w:r>
      <w:bookmarkStart w:id="5" w:name="_ftnref5"/>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"_ftn5"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[5]</w:t>
      </w:r>
      <w:r w:rsidRPr="001F32E1">
        <w:rPr>
          <w:rFonts w:eastAsia="Times New Roman" w:cs="Times New Roman"/>
          <w:szCs w:val="24"/>
          <w:lang w:eastAsia="es-CO"/>
        </w:rPr>
        <w:fldChar w:fldCharType="end"/>
      </w:r>
      <w:bookmarkEnd w:id="5"/>
      <w:r w:rsidRPr="001F32E1">
        <w:rPr>
          <w:rFonts w:eastAsia="Times New Roman" w:cs="Times New Roman"/>
          <w:szCs w:val="24"/>
          <w:lang w:eastAsia="es-CO"/>
        </w:rPr>
        <w:t>, y que se presume la subordinación de una sociedad respecto de otra, cuando el control “sea ejercido por una o varias personas naturales o jurídicas de naturaleza no societaria, bien sea directamente o por intermedio o con el concurso de entidades en las cuales estas posean más del cincuenta por ciento (50%) del capital o configure la mayoría mínima para la toma de decisiones o ejerzan influencia dominante en la dirección o toma de decisiones de la entidad”, entre otras</w:t>
      </w:r>
      <w:bookmarkStart w:id="6" w:name="_ftnref6"/>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"_ftn6"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[6]</w:t>
      </w:r>
      <w:r w:rsidRPr="001F32E1">
        <w:rPr>
          <w:rFonts w:eastAsia="Times New Roman" w:cs="Times New Roman"/>
          <w:szCs w:val="24"/>
          <w:lang w:eastAsia="es-CO"/>
        </w:rPr>
        <w:fldChar w:fldCharType="end"/>
      </w:r>
      <w:bookmarkEnd w:id="6"/>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También expresa que los organismos de inspección, vigilancia y control “podrán comprobar la realidad de las operaciones que se celebren entre una sociedad y sus vinculados. En caso de verificar la irrealidad de tales operaciones o su celebración en condiciones considerablemente diferentes a las normales del mercado, en perjuicio del Estado, de los socios o de terceros, impondrán multas y si lo considera necesario, ordenarán la suspensión de tales operaciones”; las sociedades subordinadas no podrán tener “partes de interés, cuotas o acciones en las sociedades que las dirijan o controlen”</w:t>
      </w:r>
      <w:bookmarkStart w:id="7" w:name="_ftnref7"/>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"_ftn7"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[7]</w:t>
      </w:r>
      <w:r w:rsidRPr="001F32E1">
        <w:rPr>
          <w:rFonts w:eastAsia="Times New Roman" w:cs="Times New Roman"/>
          <w:szCs w:val="24"/>
          <w:lang w:eastAsia="es-CO"/>
        </w:rPr>
        <w:fldChar w:fldCharType="end"/>
      </w:r>
      <w:bookmarkEnd w:id="7"/>
      <w:r w:rsidRPr="001F32E1">
        <w:rPr>
          <w:rFonts w:eastAsia="Times New Roman" w:cs="Times New Roman"/>
          <w:szCs w:val="24"/>
          <w:lang w:eastAsia="es-CO"/>
        </w:rPr>
        <w:t>, y cuando se configure la situación de control “solo podrá pagarse el dividendo en acciones o cuotas liberadas de la misma sociedad, a los socios que así lo acepten”</w:t>
      </w:r>
      <w:bookmarkStart w:id="8" w:name="_ftnref8"/>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"_ftn8"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[8]</w:t>
      </w:r>
      <w:r w:rsidRPr="001F32E1">
        <w:rPr>
          <w:rFonts w:eastAsia="Times New Roman" w:cs="Times New Roman"/>
          <w:szCs w:val="24"/>
          <w:lang w:eastAsia="es-CO"/>
        </w:rPr>
        <w:fldChar w:fldCharType="end"/>
      </w:r>
      <w:bookmarkEnd w:id="8"/>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Así mismo, la Ley 222 del 20 de diciembre de 1995 prevé que cuando se configure una situación de control la “sociedad controlante lo hará constar en documento privado (…). Dicho documento deberá presentarse para su inscripción en el registro mercantil correspondiente a la circunscripción de cada uno de los vinculados”; si no se cumple este deber dentro del plazo estipulado la Superintendencia de Sociedades “declarará la situación de vinculación y ordenará la inscripción en el Registro Mercantil, sin perjuicio de la imposición de las multas a que haya lugar por dicha omisión”, y cuando no se inscriba cualquier modificación de la situación de control la entidad estatal que ejerza la inspección, vigilancia o control podrá ordenar la inscripción correspondiente</w:t>
      </w:r>
      <w:bookmarkStart w:id="9" w:name="_ftnref9"/>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"_ftn9"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[9]</w:t>
      </w:r>
      <w:r w:rsidRPr="001F32E1">
        <w:rPr>
          <w:rFonts w:eastAsia="Times New Roman" w:cs="Times New Roman"/>
          <w:szCs w:val="24"/>
          <w:lang w:eastAsia="es-CO"/>
        </w:rPr>
        <w:fldChar w:fldCharType="end"/>
      </w:r>
      <w:bookmarkEnd w:id="9"/>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Conforme a estas disposiciones, la vinculación económica implica la existencia de intereses económicos, financieros o administrativos, comunes o recíprocos, de control o dependencia, entre 2 o más personas jurídicas, y tiene relevancia en materia tributaria y societaria, pero con efectos distintos.</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En materia societaria la vinculación económica da lugar a la situación de control, la cual genera una serie de obligaciones y efectos, entre los que se encuentran entre otras, la obligación de efectuar la correspondiente inscripción en el registro mercantil, la de consolidar estados financieros, la posibilidad de hacer efectiva la responsabilidad subsidiaria de la matriz o controlante en caso de liquidación de las subordinadas, la prohibición de imbricación y la facultad de esta Entidad para comprobar la realidad de las operaciones, imponer multas y ordenar la suspensión de operaciones cuando las sociedades se encuentren bajo su inspección, vigilancia y control</w:t>
      </w:r>
      <w:bookmarkStart w:id="10" w:name="_ftnref10"/>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"_ftn10"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[10]</w:t>
      </w:r>
      <w:r w:rsidRPr="001F32E1">
        <w:rPr>
          <w:rFonts w:eastAsia="Times New Roman" w:cs="Times New Roman"/>
          <w:szCs w:val="24"/>
          <w:lang w:eastAsia="es-CO"/>
        </w:rPr>
        <w:fldChar w:fldCharType="end"/>
      </w:r>
      <w:bookmarkEnd w:id="10"/>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Estas consecuencias difieren de aquellas de índole tributaria, aplicables en materia de impuesto a las ventas a todos los contribuyentes, respecto de las cuales esta Entidad carece de competencia para pronunciarse, pues la misma radica de manera privativa en la Dirección de Impuestos y Aduanas Nacionales DIAN.</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br w:type="textWrapping" w:clear="all"/>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pict>
          <v:rect id="_x0000_i1025" style="width:145pt;height:.6pt" o:hrpct="330" o:hrstd="t" o:hr="t" fillcolor="#a0a0a0" stroked="f"/>
        </w:pict>
      </w:r>
    </w:p>
    <w:bookmarkStart w:id="11" w:name="_ftn1"/>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lastRenderedPageBreak/>
        <w:fldChar w:fldCharType="begin"/>
      </w:r>
      <w:r w:rsidRPr="001F32E1">
        <w:rPr>
          <w:rFonts w:eastAsia="Times New Roman" w:cs="Times New Roman"/>
          <w:szCs w:val="24"/>
          <w:lang w:eastAsia="es-CO"/>
        </w:rPr>
        <w:instrText xml:space="preserve"> HYPERLINK "https://www.ceta.org.co/html/vista_de_un_documento.asp?DocumentoID=36367" \l "_ftnref1"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[1]</w:t>
      </w:r>
      <w:r w:rsidRPr="001F32E1">
        <w:rPr>
          <w:rFonts w:eastAsia="Times New Roman" w:cs="Times New Roman"/>
          <w:szCs w:val="24"/>
          <w:lang w:eastAsia="es-CO"/>
        </w:rPr>
        <w:fldChar w:fldCharType="end"/>
      </w:r>
      <w:bookmarkEnd w:id="11"/>
      <w:r w:rsidRPr="001F32E1">
        <w:rPr>
          <w:rFonts w:eastAsia="Times New Roman" w:cs="Times New Roman"/>
          <w:szCs w:val="24"/>
          <w:lang w:eastAsia="es-CO"/>
        </w:rPr>
        <w:t> </w:t>
      </w:r>
      <w:hyperlink r:id="rId5" w:tooltip="Estatuto Tributario CETA" w:history="1">
        <w:r w:rsidRPr="001F32E1">
          <w:rPr>
            <w:rFonts w:eastAsia="Times New Roman" w:cs="Times New Roman"/>
            <w:szCs w:val="24"/>
            <w:u w:val="single"/>
            <w:lang w:eastAsia="es-CO"/>
          </w:rPr>
          <w:t>Artículo 420</w:t>
        </w:r>
      </w:hyperlink>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2" w:name="_ftn2"/>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"_ftnref2"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[2]</w:t>
      </w:r>
      <w:r w:rsidRPr="001F32E1">
        <w:rPr>
          <w:rFonts w:eastAsia="Times New Roman" w:cs="Times New Roman"/>
          <w:szCs w:val="24"/>
          <w:lang w:eastAsia="es-CO"/>
        </w:rPr>
        <w:fldChar w:fldCharType="end"/>
      </w:r>
      <w:bookmarkEnd w:id="12"/>
      <w:r w:rsidRPr="001F32E1">
        <w:rPr>
          <w:rFonts w:eastAsia="Times New Roman" w:cs="Times New Roman"/>
          <w:szCs w:val="24"/>
          <w:lang w:eastAsia="es-CO"/>
        </w:rPr>
        <w:t> </w:t>
      </w:r>
      <w:hyperlink r:id="rId6" w:tooltip="Estatuto Tributario CETA" w:history="1">
        <w:r w:rsidRPr="001F32E1">
          <w:rPr>
            <w:rFonts w:eastAsia="Times New Roman" w:cs="Times New Roman"/>
            <w:szCs w:val="24"/>
            <w:u w:val="single"/>
            <w:lang w:eastAsia="es-CO"/>
          </w:rPr>
          <w:t>Artículo 429</w:t>
        </w:r>
      </w:hyperlink>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3" w:name="_ftn3"/>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"_ftnref3"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[3]</w:t>
      </w:r>
      <w:r w:rsidRPr="001F32E1">
        <w:rPr>
          <w:rFonts w:eastAsia="Times New Roman" w:cs="Times New Roman"/>
          <w:szCs w:val="24"/>
          <w:lang w:eastAsia="es-CO"/>
        </w:rPr>
        <w:fldChar w:fldCharType="end"/>
      </w:r>
      <w:bookmarkEnd w:id="13"/>
      <w:r w:rsidRPr="001F32E1">
        <w:rPr>
          <w:rFonts w:eastAsia="Times New Roman" w:cs="Times New Roman"/>
          <w:szCs w:val="24"/>
          <w:lang w:eastAsia="es-CO"/>
        </w:rPr>
        <w:t> </w:t>
      </w:r>
      <w:hyperlink r:id="rId7" w:tooltip="Estatuto Tributario CETA" w:history="1">
        <w:r w:rsidRPr="001F32E1">
          <w:rPr>
            <w:rFonts w:eastAsia="Times New Roman" w:cs="Times New Roman"/>
            <w:szCs w:val="24"/>
            <w:u w:val="single"/>
            <w:lang w:eastAsia="es-CO"/>
          </w:rPr>
          <w:t>Artículo 447</w:t>
        </w:r>
      </w:hyperlink>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4" w:name="_ftn4"/>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"_ftnref4"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[4]</w:t>
      </w:r>
      <w:r w:rsidRPr="001F32E1">
        <w:rPr>
          <w:rFonts w:eastAsia="Times New Roman" w:cs="Times New Roman"/>
          <w:szCs w:val="24"/>
          <w:lang w:eastAsia="es-CO"/>
        </w:rPr>
        <w:fldChar w:fldCharType="end"/>
      </w:r>
      <w:bookmarkEnd w:id="14"/>
      <w:r w:rsidRPr="001F32E1">
        <w:rPr>
          <w:rFonts w:eastAsia="Times New Roman" w:cs="Times New Roman"/>
          <w:szCs w:val="24"/>
          <w:lang w:eastAsia="es-CO"/>
        </w:rPr>
        <w:t> Numerales 8 y 9 del </w:t>
      </w:r>
      <w:hyperlink r:id="rId8" w:tooltip="Estatuto Tributario CETA" w:history="1">
        <w:r w:rsidRPr="001F32E1">
          <w:rPr>
            <w:rFonts w:eastAsia="Times New Roman" w:cs="Times New Roman"/>
            <w:szCs w:val="24"/>
            <w:u w:val="single"/>
            <w:lang w:eastAsia="es-CO"/>
          </w:rPr>
          <w:t>artículo 450</w:t>
        </w:r>
      </w:hyperlink>
      <w:r w:rsidRPr="001F32E1">
        <w:rPr>
          <w:rFonts w:eastAsia="Times New Roman" w:cs="Times New Roman"/>
          <w:szCs w:val="24"/>
          <w:lang w:eastAsia="es-CO"/>
        </w:rPr>
        <w:t>.</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5" w:name="_ftn5"/>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"_ftnref5"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[5]</w:t>
      </w:r>
      <w:r w:rsidRPr="001F32E1">
        <w:rPr>
          <w:rFonts w:eastAsia="Times New Roman" w:cs="Times New Roman"/>
          <w:szCs w:val="24"/>
          <w:lang w:eastAsia="es-CO"/>
        </w:rPr>
        <w:fldChar w:fldCharType="end"/>
      </w:r>
      <w:bookmarkEnd w:id="15"/>
      <w:r w:rsidRPr="001F32E1">
        <w:rPr>
          <w:rFonts w:eastAsia="Times New Roman" w:cs="Times New Roman"/>
          <w:szCs w:val="24"/>
          <w:lang w:eastAsia="es-CO"/>
        </w:rPr>
        <w:t> Artículo 260.</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6" w:name="_ftn6"/>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"_ftnref6"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[6]</w:t>
      </w:r>
      <w:r w:rsidRPr="001F32E1">
        <w:rPr>
          <w:rFonts w:eastAsia="Times New Roman" w:cs="Times New Roman"/>
          <w:szCs w:val="24"/>
          <w:lang w:eastAsia="es-CO"/>
        </w:rPr>
        <w:fldChar w:fldCharType="end"/>
      </w:r>
      <w:bookmarkEnd w:id="16"/>
      <w:r w:rsidRPr="001F32E1">
        <w:rPr>
          <w:rFonts w:eastAsia="Times New Roman" w:cs="Times New Roman"/>
          <w:szCs w:val="24"/>
          <w:lang w:eastAsia="es-CO"/>
        </w:rPr>
        <w:t> Artículo 261.</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7" w:name="_ftn7"/>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"_ftnref7"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[7]</w:t>
      </w:r>
      <w:r w:rsidRPr="001F32E1">
        <w:rPr>
          <w:rFonts w:eastAsia="Times New Roman" w:cs="Times New Roman"/>
          <w:szCs w:val="24"/>
          <w:lang w:eastAsia="es-CO"/>
        </w:rPr>
        <w:fldChar w:fldCharType="end"/>
      </w:r>
      <w:bookmarkEnd w:id="17"/>
      <w:r w:rsidRPr="001F32E1">
        <w:rPr>
          <w:rFonts w:eastAsia="Times New Roman" w:cs="Times New Roman"/>
          <w:szCs w:val="24"/>
          <w:lang w:eastAsia="es-CO"/>
        </w:rPr>
        <w:t> Artículo 262.</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8" w:name="_ftn8"/>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"_ftnref8"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[8]</w:t>
      </w:r>
      <w:r w:rsidRPr="001F32E1">
        <w:rPr>
          <w:rFonts w:eastAsia="Times New Roman" w:cs="Times New Roman"/>
          <w:szCs w:val="24"/>
          <w:lang w:eastAsia="es-CO"/>
        </w:rPr>
        <w:fldChar w:fldCharType="end"/>
      </w:r>
      <w:bookmarkEnd w:id="18"/>
      <w:r w:rsidRPr="001F32E1">
        <w:rPr>
          <w:rFonts w:eastAsia="Times New Roman" w:cs="Times New Roman"/>
          <w:szCs w:val="24"/>
          <w:lang w:eastAsia="es-CO"/>
        </w:rPr>
        <w:t> Artículo 455.</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19" w:name="_ftn9"/>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"_ftnref9"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[9]</w:t>
      </w:r>
      <w:r w:rsidRPr="001F32E1">
        <w:rPr>
          <w:rFonts w:eastAsia="Times New Roman" w:cs="Times New Roman"/>
          <w:szCs w:val="24"/>
          <w:lang w:eastAsia="es-CO"/>
        </w:rPr>
        <w:fldChar w:fldCharType="end"/>
      </w:r>
      <w:bookmarkEnd w:id="19"/>
      <w:r w:rsidRPr="001F32E1">
        <w:rPr>
          <w:rFonts w:eastAsia="Times New Roman" w:cs="Times New Roman"/>
          <w:szCs w:val="24"/>
          <w:lang w:eastAsia="es-CO"/>
        </w:rPr>
        <w:t> Artículo 30.</w:t>
      </w:r>
    </w:p>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t> </w:t>
      </w:r>
    </w:p>
    <w:bookmarkStart w:id="20" w:name="_ftn10"/>
    <w:p w:rsidR="001F32E1" w:rsidRPr="001F32E1" w:rsidRDefault="001F32E1" w:rsidP="001F32E1">
      <w:pPr>
        <w:spacing w:after="0" w:line="240" w:lineRule="auto"/>
        <w:jc w:val="both"/>
        <w:rPr>
          <w:rFonts w:eastAsia="Times New Roman" w:cs="Times New Roman"/>
          <w:szCs w:val="24"/>
          <w:lang w:eastAsia="es-CO"/>
        </w:rPr>
      </w:pPr>
      <w:r w:rsidRPr="001F32E1">
        <w:rPr>
          <w:rFonts w:eastAsia="Times New Roman" w:cs="Times New Roman"/>
          <w:szCs w:val="24"/>
          <w:lang w:eastAsia="es-CO"/>
        </w:rPr>
        <w:fldChar w:fldCharType="begin"/>
      </w:r>
      <w:r w:rsidRPr="001F32E1">
        <w:rPr>
          <w:rFonts w:eastAsia="Times New Roman" w:cs="Times New Roman"/>
          <w:szCs w:val="24"/>
          <w:lang w:eastAsia="es-CO"/>
        </w:rPr>
        <w:instrText xml:space="preserve"> HYPERLINK "https://www.ceta.org.co/html/vista_de_un_documento.asp?DocumentoID=36367" \l "_ftnref10" \o "" </w:instrText>
      </w:r>
      <w:r w:rsidRPr="001F32E1">
        <w:rPr>
          <w:rFonts w:eastAsia="Times New Roman" w:cs="Times New Roman"/>
          <w:szCs w:val="24"/>
          <w:lang w:eastAsia="es-CO"/>
        </w:rPr>
        <w:fldChar w:fldCharType="separate"/>
      </w:r>
      <w:r w:rsidRPr="001F32E1">
        <w:rPr>
          <w:rFonts w:eastAsia="Times New Roman" w:cs="Times New Roman"/>
          <w:szCs w:val="24"/>
          <w:lang w:eastAsia="es-CO"/>
        </w:rPr>
        <w:t>[10]</w:t>
      </w:r>
      <w:r w:rsidRPr="001F32E1">
        <w:rPr>
          <w:rFonts w:eastAsia="Times New Roman" w:cs="Times New Roman"/>
          <w:szCs w:val="24"/>
          <w:lang w:eastAsia="es-CO"/>
        </w:rPr>
        <w:fldChar w:fldCharType="end"/>
      </w:r>
      <w:bookmarkEnd w:id="20"/>
      <w:r w:rsidRPr="001F32E1">
        <w:rPr>
          <w:rFonts w:eastAsia="Times New Roman" w:cs="Times New Roman"/>
          <w:szCs w:val="24"/>
          <w:lang w:eastAsia="es-CO"/>
        </w:rPr>
        <w:t> Guía Práctica Régimen de Matrices y Subordinadas publicada por la Superintendencia de Sociedades, página 7.</w:t>
      </w:r>
    </w:p>
    <w:p w:rsidR="00730617" w:rsidRPr="001F32E1" w:rsidRDefault="00730617">
      <w:pPr>
        <w:rPr>
          <w:rFonts w:cs="Times New Roman"/>
          <w:szCs w:val="24"/>
        </w:rPr>
      </w:pPr>
    </w:p>
    <w:sectPr w:rsidR="00730617" w:rsidRPr="001F32E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E1"/>
    <w:rsid w:val="001F32E1"/>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61AC"/>
  <w15:chartTrackingRefBased/>
  <w15:docId w15:val="{43F4E10F-F1E0-40A4-8963-643B185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10819">
      <w:bodyDiv w:val="1"/>
      <w:marLeft w:val="0"/>
      <w:marRight w:val="0"/>
      <w:marTop w:val="0"/>
      <w:marBottom w:val="0"/>
      <w:divBdr>
        <w:top w:val="none" w:sz="0" w:space="0" w:color="auto"/>
        <w:left w:val="none" w:sz="0" w:space="0" w:color="auto"/>
        <w:bottom w:val="none" w:sz="0" w:space="0" w:color="auto"/>
        <w:right w:val="none" w:sz="0" w:space="0" w:color="auto"/>
      </w:divBdr>
      <w:divsChild>
        <w:div w:id="1037194912">
          <w:marLeft w:val="0"/>
          <w:marRight w:val="0"/>
          <w:marTop w:val="0"/>
          <w:marBottom w:val="0"/>
          <w:divBdr>
            <w:top w:val="none" w:sz="0" w:space="0" w:color="auto"/>
            <w:left w:val="none" w:sz="0" w:space="0" w:color="auto"/>
            <w:bottom w:val="none" w:sz="0" w:space="0" w:color="auto"/>
            <w:right w:val="none" w:sz="0" w:space="0" w:color="auto"/>
          </w:divBdr>
        </w:div>
        <w:div w:id="1341155375">
          <w:marLeft w:val="0"/>
          <w:marRight w:val="0"/>
          <w:marTop w:val="0"/>
          <w:marBottom w:val="0"/>
          <w:divBdr>
            <w:top w:val="none" w:sz="0" w:space="0" w:color="auto"/>
            <w:left w:val="none" w:sz="0" w:space="0" w:color="auto"/>
            <w:bottom w:val="none" w:sz="0" w:space="0" w:color="auto"/>
            <w:right w:val="none" w:sz="0" w:space="0" w:color="auto"/>
          </w:divBdr>
        </w:div>
        <w:div w:id="2099013748">
          <w:marLeft w:val="0"/>
          <w:marRight w:val="0"/>
          <w:marTop w:val="0"/>
          <w:marBottom w:val="0"/>
          <w:divBdr>
            <w:top w:val="none" w:sz="0" w:space="0" w:color="auto"/>
            <w:left w:val="none" w:sz="0" w:space="0" w:color="auto"/>
            <w:bottom w:val="none" w:sz="0" w:space="0" w:color="auto"/>
            <w:right w:val="none" w:sz="0" w:space="0" w:color="auto"/>
          </w:divBdr>
        </w:div>
        <w:div w:id="1601530113">
          <w:marLeft w:val="0"/>
          <w:marRight w:val="0"/>
          <w:marTop w:val="0"/>
          <w:marBottom w:val="0"/>
          <w:divBdr>
            <w:top w:val="none" w:sz="0" w:space="0" w:color="auto"/>
            <w:left w:val="none" w:sz="0" w:space="0" w:color="auto"/>
            <w:bottom w:val="none" w:sz="0" w:space="0" w:color="auto"/>
            <w:right w:val="none" w:sz="0" w:space="0" w:color="auto"/>
          </w:divBdr>
        </w:div>
        <w:div w:id="1737971699">
          <w:marLeft w:val="0"/>
          <w:marRight w:val="0"/>
          <w:marTop w:val="0"/>
          <w:marBottom w:val="0"/>
          <w:divBdr>
            <w:top w:val="none" w:sz="0" w:space="0" w:color="auto"/>
            <w:left w:val="none" w:sz="0" w:space="0" w:color="auto"/>
            <w:bottom w:val="none" w:sz="0" w:space="0" w:color="auto"/>
            <w:right w:val="none" w:sz="0" w:space="0" w:color="auto"/>
          </w:divBdr>
        </w:div>
        <w:div w:id="948897888">
          <w:marLeft w:val="0"/>
          <w:marRight w:val="0"/>
          <w:marTop w:val="0"/>
          <w:marBottom w:val="0"/>
          <w:divBdr>
            <w:top w:val="none" w:sz="0" w:space="0" w:color="auto"/>
            <w:left w:val="none" w:sz="0" w:space="0" w:color="auto"/>
            <w:bottom w:val="none" w:sz="0" w:space="0" w:color="auto"/>
            <w:right w:val="none" w:sz="0" w:space="0" w:color="auto"/>
          </w:divBdr>
        </w:div>
        <w:div w:id="1705062004">
          <w:marLeft w:val="0"/>
          <w:marRight w:val="0"/>
          <w:marTop w:val="0"/>
          <w:marBottom w:val="0"/>
          <w:divBdr>
            <w:top w:val="none" w:sz="0" w:space="0" w:color="auto"/>
            <w:left w:val="none" w:sz="0" w:space="0" w:color="auto"/>
            <w:bottom w:val="none" w:sz="0" w:space="0" w:color="auto"/>
            <w:right w:val="none" w:sz="0" w:space="0" w:color="auto"/>
          </w:divBdr>
        </w:div>
        <w:div w:id="905799971">
          <w:marLeft w:val="0"/>
          <w:marRight w:val="0"/>
          <w:marTop w:val="0"/>
          <w:marBottom w:val="0"/>
          <w:divBdr>
            <w:top w:val="none" w:sz="0" w:space="0" w:color="auto"/>
            <w:left w:val="none" w:sz="0" w:space="0" w:color="auto"/>
            <w:bottom w:val="none" w:sz="0" w:space="0" w:color="auto"/>
            <w:right w:val="none" w:sz="0" w:space="0" w:color="auto"/>
          </w:divBdr>
        </w:div>
        <w:div w:id="119343390">
          <w:marLeft w:val="0"/>
          <w:marRight w:val="0"/>
          <w:marTop w:val="0"/>
          <w:marBottom w:val="0"/>
          <w:divBdr>
            <w:top w:val="none" w:sz="0" w:space="0" w:color="auto"/>
            <w:left w:val="none" w:sz="0" w:space="0" w:color="auto"/>
            <w:bottom w:val="none" w:sz="0" w:space="0" w:color="auto"/>
            <w:right w:val="none" w:sz="0" w:space="0" w:color="auto"/>
          </w:divBdr>
        </w:div>
        <w:div w:id="123072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0" TargetMode="External"/><Relationship Id="rId5" Type="http://schemas.openxmlformats.org/officeDocument/2006/relationships/hyperlink" Target="https://www.ceta.org.co/html/vista_de_un_articulo.asp?Norma=519" TargetMode="External"/><Relationship Id="rId10" Type="http://schemas.openxmlformats.org/officeDocument/2006/relationships/theme" Target="theme/theme1.xml"/><Relationship Id="rId4" Type="http://schemas.openxmlformats.org/officeDocument/2006/relationships/hyperlink" Target="https://www.ceta.org.co/html/vista_de_un_articulo.asp?Norma=56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1616</Words>
  <Characters>8891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2019-04-26T00:59:00Z</dcterms:created>
  <dcterms:modified xsi:type="dcterms:W3CDTF">2019-04-26T01:01:00Z</dcterms:modified>
</cp:coreProperties>
</file>