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9E" w:rsidRDefault="006F349E" w:rsidP="006F349E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</w:pPr>
    </w:p>
    <w:p w:rsidR="006F349E" w:rsidRDefault="006F349E" w:rsidP="006F349E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</w:pPr>
    </w:p>
    <w:p w:rsidR="006F349E" w:rsidRDefault="006F349E" w:rsidP="006F349E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</w:pPr>
    </w:p>
    <w:p w:rsidR="006F349E" w:rsidRPr="006F349E" w:rsidRDefault="006F349E" w:rsidP="006F349E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Circular Externa Nº 000003</w:t>
      </w:r>
    </w:p>
    <w:p w:rsidR="006F349E" w:rsidRPr="006F349E" w:rsidRDefault="006F349E" w:rsidP="006F349E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01-08-2019</w:t>
      </w:r>
    </w:p>
    <w:p w:rsidR="006F349E" w:rsidRPr="006F349E" w:rsidRDefault="006F349E" w:rsidP="006F349E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Superintendencia Nacional de Salud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FF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FF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PARA:</w:t>
      </w:r>
      <w:r w:rsidRPr="006F349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Todas las entidades sometidas a inspección, vigilancia y control de la Superintendencia Nacional de Salud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DE:</w:t>
      </w:r>
      <w:r w:rsidRPr="006F349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Superintendencia Nacional de Salud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ASUNTO:</w:t>
      </w:r>
      <w:r w:rsidRPr="006F349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 Reporte de información a la </w:t>
      </w:r>
      <w:proofErr w:type="spellStart"/>
      <w:r w:rsidRPr="006F349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Supersalud</w:t>
      </w:r>
      <w:proofErr w:type="spellEnd"/>
      <w:r w:rsidRPr="006F349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– agosto a diciembre de 2019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FECHA:</w:t>
      </w:r>
      <w:r w:rsidRPr="006F349E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1° de agosto de 2019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sz w:val="22"/>
          <w:lang w:eastAsia="es-CO"/>
        </w:rPr>
        <w:t>I. ANTECEDENTES</w:t>
      </w:r>
      <w:bookmarkStart w:id="0" w:name="_GoBack"/>
      <w:bookmarkEnd w:id="0"/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Para la Superintendencia Nacional de Salud, como propósito estratégico de la transformación digital de la Entidad, es importante optimizar la interacción con los ciudadanos, y así mejorar la eficiencia y productividad en la gestión; esto, en desarrollo de las competencias y capacidades que le fueron concebidas bajo la normatividad vigente, en especial en la Ley 1949 de 2019.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En desarrollo de lo anterior, la Entidad ha iniciado un proyecto para la creación del Sistema General de Gestión de Salud, con la finalidad de que los vigilados, ciudadanos y los mismos funcionarios puedan hacer uso eficiente de la información que se utiliza en la inspección, vigilancia y control.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Así las cosas, este proyecto tiene como objetivo establecer un mecanismo eficiente, ágil y oportuno, en el cual se podrá ejercer control y seguridad sobre la información, aportando esfuerzos en la lucha contra la corrupción, facilitando la interoperabilidad de plataformas, y buscando la seguridad digital, impulsando la innovación y adopción tecnológica para la productividad de la administración pública, a través de la digitalización y automatización de trámites con los sujetos vigilados.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El nuevo sistema contará con mecanismos de perfilamiento, consulta, analítica y entregará valor a los usuarios de la información.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Finalmente, con el fin de unificar en un solo sistema el medio de envío de la información que transmiten las entidades sujetas a inspección, vigilancia y control de esta superintendencia, el cual permita la recepción de archivos de mayor tamaño, y atendiendo la importancia que reviste el reporte de información con calidad, cobertura, pertinencia y transparencia, por medio de la presente circular la Superintendencia Nacional de Salud ordena e imparte instrucciones sobre la transmisión y retransmisión de información, a través de los sistemas de recepción, validación y cargue, RVCC y NRVCC, por parte de todas las entidades sometidas a su inspección, vigilancia y control.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II. DEFINICIONES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Transmisión de Información: </w:t>
      </w: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corresponde al cargue exitoso de información a través de los aplicativos de reporte dispuestos por la Superintendencia.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Retransmisión de Información</w:t>
      </w: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: corresponde a la transmisión de información después de haber tenido un cargue exitoso de la misma.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lastRenderedPageBreak/>
        <w:t>III. INSTRUCCIONES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Primera.</w:t>
      </w: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 A partir del 1° de agosto hasta el 31 de diciembre de 2019, los sujetos vigilados no reportarán la información en los sistemas de recepción, validación y cargue, RVCC y NRVCC, que tenga fecha de reporte durante este período, según lo establecido en la circular única, sus modificatorias y otras instrucciones de la Superintendencia Nacional de Salud.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Segunda.</w:t>
      </w: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 Los operadores de loterías deberán realizar el envío de los archivos tipo que se relaciona a continuación a través del correo </w:t>
      </w:r>
      <w:hyperlink r:id="rId4" w:history="1">
        <w:r w:rsidRPr="006F349E">
          <w:rPr>
            <w:rFonts w:ascii="Segoe UI" w:eastAsia="Times New Roman" w:hAnsi="Segoe UI" w:cs="Segoe UI"/>
            <w:color w:val="0089E1"/>
            <w:sz w:val="22"/>
            <w:u w:val="single"/>
            <w:lang w:eastAsia="es-CO"/>
          </w:rPr>
          <w:t>reporteloterias@supersalud.gov.co</w:t>
        </w:r>
      </w:hyperlink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, con las mismas fechas de corte y reporte, según lo establecido en la Circular Externa número 047 de 2007 y la Circular Externa número 005 de 2011.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200 Informe de ventas y sorteo.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201 Informe premios obtenidos por el público.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202 Premios pagados en el mes.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203 Resultados del sorteo.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 xml:space="preserve">204 Reporte de </w:t>
      </w:r>
      <w:proofErr w:type="spellStart"/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billetería</w:t>
      </w:r>
      <w:proofErr w:type="spellEnd"/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 xml:space="preserve"> vendida por sorteo.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Tercera.</w:t>
      </w: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 Todos los vigilados deberán tener a disposición de la Superintendencia Nacional la información en los formatos y fechas establecidos por las diferentes circulares e instrucciones vigentes.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Cuarta.</w:t>
      </w: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 Los representantes legales, y en los casos que aplica contadores y revisores fiscales, deben realizar las verificaciones, revisiones, comparaciones, conciliaciones y demás acciones que sean pertinentes para asegurar la confiabilidad, suficiencia y de la información que se consolide en caso de que la Superintendencia Nacional de Salud lo requiera.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Quinta.</w:t>
      </w: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 En ningún caso se podrán realizar retransmisiones de información que haya sido transmitida hasta la fecha a través de los sistemas de recepción, validación y cargue, RVCC y NRVCC.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Sanciones. </w:t>
      </w:r>
      <w:r w:rsidRPr="006F349E">
        <w:rPr>
          <w:rFonts w:ascii="Segoe UI" w:eastAsia="Times New Roman" w:hAnsi="Segoe UI" w:cs="Segoe UI"/>
          <w:color w:val="000000"/>
          <w:sz w:val="22"/>
          <w:lang w:eastAsia="es-CO"/>
        </w:rPr>
        <w:t>La inobservancia e incumplimiento de las instrucciones emitidas en la presente circular, de conformidad con lo establecido en el numeral 7 del artículo 130, el artículo 131 de la Ley 1438 de 2011 y el artículo 4° de la Ley 1949 de 2019, dará lugar al inicio de procesos administrativos sancionatorios, sin perjuicio de las demás responsabilidades disciplinarias, fiscales, penales o civiles que puedan derivarse y las sanciones que puedan imponer otras autoridades judiciales y/o administrativas.</w:t>
      </w:r>
    </w:p>
    <w:p w:rsidR="006F349E" w:rsidRDefault="006F349E" w:rsidP="006F349E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</w:pPr>
    </w:p>
    <w:p w:rsidR="006F349E" w:rsidRDefault="006F349E" w:rsidP="006F349E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</w:pPr>
    </w:p>
    <w:p w:rsidR="006F349E" w:rsidRDefault="006F349E" w:rsidP="006F349E">
      <w:pPr>
        <w:pStyle w:val="pa20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Vigencia. </w:t>
      </w:r>
      <w:r>
        <w:rPr>
          <w:rFonts w:ascii="Segoe UI" w:hAnsi="Segoe UI" w:cs="Segoe UI"/>
          <w:color w:val="000000"/>
          <w:sz w:val="22"/>
          <w:szCs w:val="22"/>
        </w:rPr>
        <w:t>La presente Circular Externa rige a partir de la fecha de su publicación y hasta el 31 de diciembre de 2019.</w:t>
      </w:r>
    </w:p>
    <w:p w:rsidR="006F349E" w:rsidRDefault="006F349E" w:rsidP="006F349E">
      <w:pPr>
        <w:pStyle w:val="pa20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 </w:t>
      </w:r>
    </w:p>
    <w:p w:rsidR="006F349E" w:rsidRDefault="006F349E" w:rsidP="006F349E">
      <w:pPr>
        <w:pStyle w:val="pa20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22"/>
          <w:szCs w:val="22"/>
        </w:rPr>
        <w:t>Dada en Bogotá, D. C., a 1° de agosto de 2019.</w:t>
      </w:r>
    </w:p>
    <w:p w:rsidR="006F349E" w:rsidRDefault="006F349E" w:rsidP="006F349E">
      <w:pPr>
        <w:pStyle w:val="pa20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Publíquese y cúmplase.</w:t>
      </w:r>
    </w:p>
    <w:p w:rsidR="006F349E" w:rsidRDefault="006F349E" w:rsidP="006F349E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</w:pPr>
    </w:p>
    <w:p w:rsidR="006F349E" w:rsidRDefault="006F349E" w:rsidP="006F349E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</w:pPr>
    </w:p>
    <w:p w:rsidR="006F349E" w:rsidRDefault="006F349E" w:rsidP="006F349E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</w:pP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El Superintendente Nacional de Salud,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Fabio </w:t>
      </w:r>
      <w:proofErr w:type="spellStart"/>
      <w:r w:rsidRPr="006F349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Aristizábal</w:t>
      </w:r>
      <w:proofErr w:type="spellEnd"/>
      <w:r w:rsidRPr="006F349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 Ángel.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:rsidR="006F349E" w:rsidRPr="006F349E" w:rsidRDefault="006F349E" w:rsidP="006F349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6F349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O"/>
        </w:rPr>
        <w:t>Publicada en D.O. 51.032 del 1º de agosto de 2019.</w:t>
      </w:r>
    </w:p>
    <w:p w:rsidR="00730617" w:rsidRDefault="00730617" w:rsidP="006F349E"/>
    <w:sectPr w:rsidR="00730617" w:rsidSect="00A45230">
      <w:pgSz w:w="12191" w:h="18711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9E"/>
    <w:rsid w:val="006F349E"/>
    <w:rsid w:val="00730617"/>
    <w:rsid w:val="00A4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BB81"/>
  <w15:chartTrackingRefBased/>
  <w15:docId w15:val="{6F60B7B0-B372-45F4-909C-C161E900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20">
    <w:name w:val="pa20"/>
    <w:basedOn w:val="Normal"/>
    <w:rsid w:val="006F349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porteloterias@supersalud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2019-08-10T12:56:00Z</dcterms:created>
  <dcterms:modified xsi:type="dcterms:W3CDTF">2019-08-10T12:58:00Z</dcterms:modified>
</cp:coreProperties>
</file>