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587" w:rsidRPr="00784587" w:rsidRDefault="00784587">
      <w:pPr>
        <w:rPr>
          <w:rFonts w:cs="Times New Roman"/>
          <w:szCs w:val="24"/>
        </w:rPr>
      </w:pPr>
      <w:bookmarkStart w:id="0" w:name="_ftn10"/>
    </w:p>
    <w:p w:rsidR="00784587" w:rsidRPr="00784587" w:rsidRDefault="00784587" w:rsidP="00784587">
      <w:pPr>
        <w:spacing w:after="0" w:line="240" w:lineRule="auto"/>
        <w:jc w:val="center"/>
        <w:rPr>
          <w:rFonts w:eastAsia="Times New Roman" w:cs="Times New Roman"/>
          <w:szCs w:val="24"/>
          <w:lang w:eastAsia="es-CO"/>
        </w:rPr>
      </w:pPr>
      <w:r w:rsidRPr="00784587">
        <w:rPr>
          <w:rFonts w:eastAsia="Times New Roman" w:cs="Times New Roman"/>
          <w:b/>
          <w:bCs/>
          <w:szCs w:val="24"/>
          <w:lang w:eastAsia="es-CO"/>
        </w:rPr>
        <w:t>Concepto Nº 201911600269011</w:t>
      </w:r>
    </w:p>
    <w:p w:rsidR="00784587" w:rsidRPr="00784587" w:rsidRDefault="00784587" w:rsidP="00784587">
      <w:pPr>
        <w:spacing w:after="0" w:line="240" w:lineRule="auto"/>
        <w:jc w:val="center"/>
        <w:rPr>
          <w:rFonts w:eastAsia="Times New Roman" w:cs="Times New Roman"/>
          <w:szCs w:val="24"/>
          <w:lang w:eastAsia="es-CO"/>
        </w:rPr>
      </w:pPr>
      <w:r w:rsidRPr="00784587">
        <w:rPr>
          <w:rFonts w:eastAsia="Times New Roman" w:cs="Times New Roman"/>
          <w:b/>
          <w:bCs/>
          <w:szCs w:val="24"/>
          <w:lang w:eastAsia="es-CO"/>
        </w:rPr>
        <w:t>06-03-2019</w:t>
      </w:r>
    </w:p>
    <w:p w:rsidR="00784587" w:rsidRPr="00784587" w:rsidRDefault="00784587" w:rsidP="00784587">
      <w:pPr>
        <w:spacing w:after="0" w:line="240" w:lineRule="auto"/>
        <w:jc w:val="center"/>
        <w:rPr>
          <w:rFonts w:eastAsia="Times New Roman" w:cs="Times New Roman"/>
          <w:szCs w:val="24"/>
          <w:lang w:eastAsia="es-CO"/>
        </w:rPr>
      </w:pPr>
      <w:r w:rsidRPr="00784587">
        <w:rPr>
          <w:rFonts w:eastAsia="Times New Roman" w:cs="Times New Roman"/>
          <w:b/>
          <w:bCs/>
          <w:szCs w:val="24"/>
          <w:lang w:eastAsia="es-CO"/>
        </w:rPr>
        <w:t>Ministerio de Salud y Protección Social</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b/>
          <w:bCs/>
          <w:szCs w:val="24"/>
          <w:lang w:eastAsia="es-CO"/>
        </w:rPr>
        <w:t> </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b/>
          <w:bCs/>
          <w:szCs w:val="24"/>
          <w:lang w:eastAsia="es-CO"/>
        </w:rPr>
        <w:t> </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b/>
          <w:bCs/>
          <w:szCs w:val="24"/>
          <w:lang w:eastAsia="es-CO"/>
        </w:rPr>
        <w:t>Asunto: </w:t>
      </w:r>
      <w:r w:rsidRPr="00784587">
        <w:rPr>
          <w:rFonts w:eastAsia="Times New Roman" w:cs="Times New Roman"/>
          <w:szCs w:val="24"/>
          <w:lang w:eastAsia="es-CO"/>
        </w:rPr>
        <w:t>Consulta frente a la aplicación de la factura electrónica en el SGSSS</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b/>
          <w:bCs/>
          <w:szCs w:val="24"/>
          <w:lang w:eastAsia="es-CO"/>
        </w:rPr>
        <w:t>Radicado: </w:t>
      </w:r>
      <w:r w:rsidRPr="00784587">
        <w:rPr>
          <w:rFonts w:eastAsia="Times New Roman" w:cs="Times New Roman"/>
          <w:szCs w:val="24"/>
          <w:lang w:eastAsia="es-CO"/>
        </w:rPr>
        <w:t>201942300228692</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szCs w:val="24"/>
          <w:lang w:eastAsia="es-CO"/>
        </w:rPr>
        <w:t> </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szCs w:val="24"/>
          <w:lang w:eastAsia="es-CO"/>
        </w:rPr>
        <w:t> </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szCs w:val="24"/>
          <w:lang w:eastAsia="es-CO"/>
        </w:rPr>
        <w:t>Respetado señor:</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szCs w:val="24"/>
          <w:lang w:eastAsia="es-CO"/>
        </w:rPr>
        <w:t> </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szCs w:val="24"/>
          <w:lang w:eastAsia="es-CO"/>
        </w:rPr>
        <w:t>Procedente de la Superintendencia Nacional de Salud, hemos recibido su comunicación, mediante la cual en el marco de los Decretos 2242 de 2015</w:t>
      </w:r>
      <w:bookmarkStart w:id="1" w:name="_ftnref1"/>
      <w:r w:rsidRPr="00784587">
        <w:rPr>
          <w:rFonts w:eastAsia="Times New Roman" w:cs="Times New Roman"/>
          <w:szCs w:val="24"/>
          <w:lang w:eastAsia="es-CO"/>
        </w:rPr>
        <w:fldChar w:fldCharType="begin"/>
      </w:r>
      <w:r w:rsidRPr="00784587">
        <w:rPr>
          <w:rFonts w:eastAsia="Times New Roman" w:cs="Times New Roman"/>
          <w:szCs w:val="24"/>
          <w:lang w:eastAsia="es-CO"/>
        </w:rPr>
        <w:instrText xml:space="preserve"> HYPERLINK "https://www.ceta.org.co/html/vista_de_un_documento.asp?DocumentoID=36474" \l "_ftn1" \o "" </w:instrText>
      </w:r>
      <w:r w:rsidRPr="00784587">
        <w:rPr>
          <w:rFonts w:eastAsia="Times New Roman" w:cs="Times New Roman"/>
          <w:szCs w:val="24"/>
          <w:lang w:eastAsia="es-CO"/>
        </w:rPr>
        <w:fldChar w:fldCharType="separate"/>
      </w:r>
      <w:r w:rsidRPr="00784587">
        <w:rPr>
          <w:rFonts w:eastAsia="Times New Roman" w:cs="Times New Roman"/>
          <w:szCs w:val="24"/>
          <w:lang w:eastAsia="es-CO"/>
        </w:rPr>
        <w:t>[1]</w:t>
      </w:r>
      <w:r w:rsidRPr="00784587">
        <w:rPr>
          <w:rFonts w:eastAsia="Times New Roman" w:cs="Times New Roman"/>
          <w:szCs w:val="24"/>
          <w:lang w:eastAsia="es-CO"/>
        </w:rPr>
        <w:fldChar w:fldCharType="end"/>
      </w:r>
      <w:bookmarkEnd w:id="1"/>
      <w:r w:rsidRPr="00784587">
        <w:rPr>
          <w:rFonts w:eastAsia="Times New Roman" w:cs="Times New Roman"/>
          <w:szCs w:val="24"/>
          <w:lang w:eastAsia="es-CO"/>
        </w:rPr>
        <w:t> y 1625 de 2016</w:t>
      </w:r>
      <w:bookmarkStart w:id="2" w:name="_ftnref2"/>
      <w:r w:rsidRPr="00784587">
        <w:rPr>
          <w:rFonts w:eastAsia="Times New Roman" w:cs="Times New Roman"/>
          <w:szCs w:val="24"/>
          <w:lang w:eastAsia="es-CO"/>
        </w:rPr>
        <w:fldChar w:fldCharType="begin"/>
      </w:r>
      <w:r w:rsidRPr="00784587">
        <w:rPr>
          <w:rFonts w:eastAsia="Times New Roman" w:cs="Times New Roman"/>
          <w:szCs w:val="24"/>
          <w:lang w:eastAsia="es-CO"/>
        </w:rPr>
        <w:instrText xml:space="preserve"> HYPERLINK "https://www.ceta.org.co/html/vista_de_un_documento.asp?DocumentoID=36474" \l "_ftn2" \o "" </w:instrText>
      </w:r>
      <w:r w:rsidRPr="00784587">
        <w:rPr>
          <w:rFonts w:eastAsia="Times New Roman" w:cs="Times New Roman"/>
          <w:szCs w:val="24"/>
          <w:lang w:eastAsia="es-CO"/>
        </w:rPr>
        <w:fldChar w:fldCharType="separate"/>
      </w:r>
      <w:r w:rsidRPr="00784587">
        <w:rPr>
          <w:rFonts w:eastAsia="Times New Roman" w:cs="Times New Roman"/>
          <w:szCs w:val="24"/>
          <w:lang w:eastAsia="es-CO"/>
        </w:rPr>
        <w:t>[2]</w:t>
      </w:r>
      <w:r w:rsidRPr="00784587">
        <w:rPr>
          <w:rFonts w:eastAsia="Times New Roman" w:cs="Times New Roman"/>
          <w:szCs w:val="24"/>
          <w:lang w:eastAsia="es-CO"/>
        </w:rPr>
        <w:fldChar w:fldCharType="end"/>
      </w:r>
      <w:bookmarkEnd w:id="2"/>
      <w:r w:rsidRPr="00784587">
        <w:rPr>
          <w:rFonts w:eastAsia="Times New Roman" w:cs="Times New Roman"/>
          <w:szCs w:val="24"/>
          <w:lang w:eastAsia="es-CO"/>
        </w:rPr>
        <w:t>, plantea una serie de interrogantes relacionados con la aplicación de la factura electrónica en el Sistema General de Seguridad Social en Salud – SGSSS. Al respecto, nos permitimos señalar:</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szCs w:val="24"/>
          <w:lang w:eastAsia="es-CO"/>
        </w:rPr>
        <w:t> </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szCs w:val="24"/>
          <w:lang w:eastAsia="es-CO"/>
        </w:rPr>
        <w:t>En primer lugar, vale la pena precisar que este Ministerio teniendo en cuenta la importancia de la implementación de la factura electrónica para los actores del SGSSS, consideró necesario orientar la aplicación de la misma, por lo que se expidieron las Circulares 042</w:t>
      </w:r>
      <w:bookmarkStart w:id="3" w:name="_ftnref3"/>
      <w:r w:rsidRPr="00784587">
        <w:rPr>
          <w:rFonts w:eastAsia="Times New Roman" w:cs="Times New Roman"/>
          <w:szCs w:val="24"/>
          <w:lang w:eastAsia="es-CO"/>
        </w:rPr>
        <w:fldChar w:fldCharType="begin"/>
      </w:r>
      <w:r w:rsidRPr="00784587">
        <w:rPr>
          <w:rFonts w:eastAsia="Times New Roman" w:cs="Times New Roman"/>
          <w:szCs w:val="24"/>
          <w:lang w:eastAsia="es-CO"/>
        </w:rPr>
        <w:instrText xml:space="preserve"> HYPERLINK "https://www.ceta.org.co/html/vista_de_un_documento.asp?DocumentoID=36474" \l "_ftn3" \o "" </w:instrText>
      </w:r>
      <w:r w:rsidRPr="00784587">
        <w:rPr>
          <w:rFonts w:eastAsia="Times New Roman" w:cs="Times New Roman"/>
          <w:szCs w:val="24"/>
          <w:lang w:eastAsia="es-CO"/>
        </w:rPr>
        <w:fldChar w:fldCharType="separate"/>
      </w:r>
      <w:r w:rsidRPr="00784587">
        <w:rPr>
          <w:rFonts w:eastAsia="Times New Roman" w:cs="Times New Roman"/>
          <w:szCs w:val="24"/>
          <w:lang w:eastAsia="es-CO"/>
        </w:rPr>
        <w:t>[3]</w:t>
      </w:r>
      <w:r w:rsidRPr="00784587">
        <w:rPr>
          <w:rFonts w:eastAsia="Times New Roman" w:cs="Times New Roman"/>
          <w:szCs w:val="24"/>
          <w:lang w:eastAsia="es-CO"/>
        </w:rPr>
        <w:fldChar w:fldCharType="end"/>
      </w:r>
      <w:bookmarkEnd w:id="3"/>
      <w:r w:rsidRPr="00784587">
        <w:rPr>
          <w:rFonts w:eastAsia="Times New Roman" w:cs="Times New Roman"/>
          <w:szCs w:val="24"/>
          <w:lang w:eastAsia="es-CO"/>
        </w:rPr>
        <w:t> y 046</w:t>
      </w:r>
      <w:bookmarkStart w:id="4" w:name="_ftnref4"/>
      <w:r w:rsidRPr="00784587">
        <w:rPr>
          <w:rFonts w:eastAsia="Times New Roman" w:cs="Times New Roman"/>
          <w:szCs w:val="24"/>
          <w:lang w:eastAsia="es-CO"/>
        </w:rPr>
        <w:fldChar w:fldCharType="begin"/>
      </w:r>
      <w:r w:rsidRPr="00784587">
        <w:rPr>
          <w:rFonts w:eastAsia="Times New Roman" w:cs="Times New Roman"/>
          <w:szCs w:val="24"/>
          <w:lang w:eastAsia="es-CO"/>
        </w:rPr>
        <w:instrText xml:space="preserve"> HYPERLINK "https://www.ceta.org.co/html/vista_de_un_documento.asp?DocumentoID=36474" \l "_ftn4" \o "" </w:instrText>
      </w:r>
      <w:r w:rsidRPr="00784587">
        <w:rPr>
          <w:rFonts w:eastAsia="Times New Roman" w:cs="Times New Roman"/>
          <w:szCs w:val="24"/>
          <w:lang w:eastAsia="es-CO"/>
        </w:rPr>
        <w:fldChar w:fldCharType="separate"/>
      </w:r>
      <w:r w:rsidRPr="00784587">
        <w:rPr>
          <w:rFonts w:eastAsia="Times New Roman" w:cs="Times New Roman"/>
          <w:szCs w:val="24"/>
          <w:lang w:eastAsia="es-CO"/>
        </w:rPr>
        <w:t>[4]</w:t>
      </w:r>
      <w:r w:rsidRPr="00784587">
        <w:rPr>
          <w:rFonts w:eastAsia="Times New Roman" w:cs="Times New Roman"/>
          <w:szCs w:val="24"/>
          <w:lang w:eastAsia="es-CO"/>
        </w:rPr>
        <w:fldChar w:fldCharType="end"/>
      </w:r>
      <w:bookmarkEnd w:id="4"/>
      <w:r w:rsidRPr="00784587">
        <w:rPr>
          <w:rFonts w:eastAsia="Times New Roman" w:cs="Times New Roman"/>
          <w:szCs w:val="24"/>
          <w:lang w:eastAsia="es-CO"/>
        </w:rPr>
        <w:t> de 2018, en donde se informaron los pasos que deben seguir los contribuyentes del sector salud, para adoptar la mencionada facturación electrónica.</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szCs w:val="24"/>
          <w:lang w:eastAsia="es-CO"/>
        </w:rPr>
        <w:t> </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szCs w:val="24"/>
          <w:lang w:eastAsia="es-CO"/>
        </w:rPr>
        <w:t>En este orden de ideas y con el fin de dar</w:t>
      </w:r>
      <w:r w:rsidR="00EC22F2">
        <w:rPr>
          <w:rFonts w:eastAsia="Times New Roman" w:cs="Times New Roman"/>
          <w:szCs w:val="24"/>
          <w:lang w:eastAsia="es-CO"/>
        </w:rPr>
        <w:t xml:space="preserve"> respuesta a sus inquietudes, a</w:t>
      </w:r>
      <w:bookmarkStart w:id="5" w:name="_GoBack"/>
      <w:bookmarkEnd w:id="5"/>
      <w:r w:rsidRPr="00784587">
        <w:rPr>
          <w:rFonts w:eastAsia="Times New Roman" w:cs="Times New Roman"/>
          <w:szCs w:val="24"/>
          <w:lang w:eastAsia="es-CO"/>
        </w:rPr>
        <w:t>continuación relacionaremos algunas de las precisiones más relevantes de la Circular 046 de 2018, expedida por este Ministerio, así:</w:t>
      </w:r>
    </w:p>
    <w:p w:rsidR="00784587" w:rsidRPr="00784587" w:rsidRDefault="00784587" w:rsidP="00784587">
      <w:pPr>
        <w:spacing w:after="0" w:line="240" w:lineRule="auto"/>
        <w:ind w:left="180"/>
        <w:jc w:val="both"/>
        <w:rPr>
          <w:rFonts w:eastAsia="Times New Roman" w:cs="Times New Roman"/>
          <w:szCs w:val="24"/>
          <w:lang w:eastAsia="es-CO"/>
        </w:rPr>
      </w:pPr>
      <w:r w:rsidRPr="00784587">
        <w:rPr>
          <w:rFonts w:eastAsia="Times New Roman" w:cs="Times New Roman"/>
          <w:i/>
          <w:iCs/>
          <w:szCs w:val="24"/>
          <w:lang w:eastAsia="es-CO"/>
        </w:rPr>
        <w:t> </w:t>
      </w:r>
    </w:p>
    <w:p w:rsidR="00784587" w:rsidRPr="00784587" w:rsidRDefault="00784587" w:rsidP="00784587">
      <w:pPr>
        <w:spacing w:after="0" w:line="240" w:lineRule="auto"/>
        <w:ind w:left="180"/>
        <w:jc w:val="both"/>
        <w:rPr>
          <w:rFonts w:eastAsia="Times New Roman" w:cs="Times New Roman"/>
          <w:szCs w:val="24"/>
          <w:lang w:eastAsia="es-CO"/>
        </w:rPr>
      </w:pPr>
      <w:r w:rsidRPr="00784587">
        <w:rPr>
          <w:rFonts w:eastAsia="Times New Roman" w:cs="Times New Roman"/>
          <w:i/>
          <w:iCs/>
          <w:szCs w:val="24"/>
          <w:lang w:eastAsia="es-CO"/>
        </w:rPr>
        <w:t>“(…) los destinatarios de la presente circular deberán tener en cuenta lo previsto por la Sección 1 del Capítulo 4 del Título 1 de la Parte 6 del Libro 1 del Decreto 1625 de 2016, para la implementación de la factura electrónica, en articulación con la normativa especial que rige el Sistema de Salud, toda vez que esta no fue modificada ni derogada por la citada sección del Decreto único Reglamentario en Materia Tributaria.</w:t>
      </w:r>
    </w:p>
    <w:p w:rsidR="00784587" w:rsidRPr="00784587" w:rsidRDefault="00784587" w:rsidP="00784587">
      <w:pPr>
        <w:spacing w:after="0" w:line="240" w:lineRule="auto"/>
        <w:ind w:left="180"/>
        <w:jc w:val="both"/>
        <w:rPr>
          <w:rFonts w:eastAsia="Times New Roman" w:cs="Times New Roman"/>
          <w:szCs w:val="24"/>
          <w:lang w:eastAsia="es-CO"/>
        </w:rPr>
      </w:pPr>
      <w:r w:rsidRPr="00784587">
        <w:rPr>
          <w:rFonts w:eastAsia="Times New Roman" w:cs="Times New Roman"/>
          <w:i/>
          <w:iCs/>
          <w:szCs w:val="24"/>
          <w:lang w:eastAsia="es-CO"/>
        </w:rPr>
        <w:t> </w:t>
      </w:r>
    </w:p>
    <w:p w:rsidR="00784587" w:rsidRPr="00784587" w:rsidRDefault="00784587" w:rsidP="00784587">
      <w:pPr>
        <w:spacing w:after="0" w:line="240" w:lineRule="auto"/>
        <w:ind w:left="180"/>
        <w:jc w:val="both"/>
        <w:rPr>
          <w:rFonts w:eastAsia="Times New Roman" w:cs="Times New Roman"/>
          <w:szCs w:val="24"/>
          <w:lang w:eastAsia="es-CO"/>
        </w:rPr>
      </w:pPr>
      <w:r w:rsidRPr="00784587">
        <w:rPr>
          <w:rFonts w:eastAsia="Times New Roman" w:cs="Times New Roman"/>
          <w:i/>
          <w:iCs/>
          <w:szCs w:val="24"/>
          <w:lang w:eastAsia="es-CO"/>
        </w:rPr>
        <w:t>“Para la expedición de la factura electrónica se deberá tener en cuenta:</w:t>
      </w:r>
    </w:p>
    <w:p w:rsidR="00784587" w:rsidRPr="00784587" w:rsidRDefault="00784587" w:rsidP="00784587">
      <w:pPr>
        <w:spacing w:after="0" w:line="240" w:lineRule="auto"/>
        <w:ind w:left="180"/>
        <w:jc w:val="both"/>
        <w:rPr>
          <w:rFonts w:eastAsia="Times New Roman" w:cs="Times New Roman"/>
          <w:szCs w:val="24"/>
          <w:lang w:eastAsia="es-CO"/>
        </w:rPr>
      </w:pPr>
      <w:r w:rsidRPr="00784587">
        <w:rPr>
          <w:rFonts w:eastAsia="Times New Roman" w:cs="Times New Roman"/>
          <w:i/>
          <w:iCs/>
          <w:szCs w:val="24"/>
          <w:lang w:eastAsia="es-CO"/>
        </w:rPr>
        <w:t> </w:t>
      </w:r>
    </w:p>
    <w:p w:rsidR="00784587" w:rsidRPr="00784587" w:rsidRDefault="00784587" w:rsidP="00784587">
      <w:pPr>
        <w:spacing w:after="0" w:line="240" w:lineRule="auto"/>
        <w:ind w:left="180"/>
        <w:jc w:val="both"/>
        <w:rPr>
          <w:rFonts w:eastAsia="Times New Roman" w:cs="Times New Roman"/>
          <w:szCs w:val="24"/>
          <w:lang w:eastAsia="es-CO"/>
        </w:rPr>
      </w:pPr>
      <w:r w:rsidRPr="00784587">
        <w:rPr>
          <w:rFonts w:eastAsia="Times New Roman" w:cs="Times New Roman"/>
          <w:i/>
          <w:iCs/>
          <w:szCs w:val="24"/>
          <w:lang w:eastAsia="es-CO"/>
        </w:rPr>
        <w:t>1. Las condiciones de generación de la factura electrónica, previstas en el numeral 1 del artículo 1.3.6.1.4.1.3 del Decreto 1625 de 2016, así:</w:t>
      </w:r>
    </w:p>
    <w:p w:rsidR="00784587" w:rsidRPr="00784587" w:rsidRDefault="00784587" w:rsidP="00784587">
      <w:pPr>
        <w:spacing w:after="0" w:line="240" w:lineRule="auto"/>
        <w:ind w:left="180"/>
        <w:jc w:val="both"/>
        <w:rPr>
          <w:rFonts w:eastAsia="Times New Roman" w:cs="Times New Roman"/>
          <w:szCs w:val="24"/>
          <w:lang w:eastAsia="es-CO"/>
        </w:rPr>
      </w:pPr>
      <w:r w:rsidRPr="00784587">
        <w:rPr>
          <w:rFonts w:eastAsia="Times New Roman" w:cs="Times New Roman"/>
          <w:szCs w:val="24"/>
          <w:lang w:eastAsia="es-CO"/>
        </w:rPr>
        <w:t> </w:t>
      </w:r>
    </w:p>
    <w:p w:rsidR="00784587" w:rsidRPr="00784587" w:rsidRDefault="00784587" w:rsidP="00784587">
      <w:pPr>
        <w:spacing w:after="0" w:line="240" w:lineRule="auto"/>
        <w:ind w:left="180"/>
        <w:jc w:val="both"/>
        <w:rPr>
          <w:rFonts w:eastAsia="Times New Roman" w:cs="Times New Roman"/>
          <w:szCs w:val="24"/>
          <w:lang w:eastAsia="es-CO"/>
        </w:rPr>
      </w:pPr>
      <w:r w:rsidRPr="00784587">
        <w:rPr>
          <w:rFonts w:eastAsia="Times New Roman" w:cs="Times New Roman"/>
          <w:b/>
          <w:bCs/>
          <w:i/>
          <w:iCs/>
          <w:szCs w:val="24"/>
          <w:lang w:eastAsia="es-CO"/>
        </w:rPr>
        <w:t>“1. Condiciones de generación:</w:t>
      </w:r>
    </w:p>
    <w:p w:rsidR="00784587" w:rsidRPr="00784587" w:rsidRDefault="00784587" w:rsidP="00784587">
      <w:pPr>
        <w:spacing w:after="0" w:line="240" w:lineRule="auto"/>
        <w:ind w:left="180"/>
        <w:jc w:val="both"/>
        <w:rPr>
          <w:rFonts w:eastAsia="Times New Roman" w:cs="Times New Roman"/>
          <w:szCs w:val="24"/>
          <w:lang w:eastAsia="es-CO"/>
        </w:rPr>
      </w:pPr>
      <w:r w:rsidRPr="00784587">
        <w:rPr>
          <w:rFonts w:eastAsia="Times New Roman" w:cs="Times New Roman"/>
          <w:b/>
          <w:bCs/>
          <w:i/>
          <w:iCs/>
          <w:szCs w:val="24"/>
          <w:lang w:eastAsia="es-CO"/>
        </w:rPr>
        <w:t> </w:t>
      </w:r>
    </w:p>
    <w:p w:rsidR="00784587" w:rsidRPr="00784587" w:rsidRDefault="00784587" w:rsidP="00784587">
      <w:pPr>
        <w:spacing w:after="0" w:line="240" w:lineRule="auto"/>
        <w:ind w:left="180"/>
        <w:jc w:val="both"/>
        <w:rPr>
          <w:rFonts w:eastAsia="Times New Roman" w:cs="Times New Roman"/>
          <w:szCs w:val="24"/>
          <w:lang w:eastAsia="es-CO"/>
        </w:rPr>
      </w:pPr>
      <w:r w:rsidRPr="00784587">
        <w:rPr>
          <w:rFonts w:eastAsia="Times New Roman" w:cs="Times New Roman"/>
          <w:i/>
          <w:iCs/>
          <w:szCs w:val="24"/>
          <w:lang w:eastAsia="es-CO"/>
        </w:rPr>
        <w:t>a) Utilizar el formato electrónico de generación XML ESTÁNDAR ESTABLECIDO por la unidad Administrativa Especial Dirección de impuestos y Aduanas Nacionales en las condiciones que está señale</w:t>
      </w:r>
    </w:p>
    <w:p w:rsidR="00784587" w:rsidRPr="00784587" w:rsidRDefault="00784587" w:rsidP="00784587">
      <w:pPr>
        <w:spacing w:after="0" w:line="240" w:lineRule="auto"/>
        <w:ind w:left="180"/>
        <w:jc w:val="both"/>
        <w:rPr>
          <w:rFonts w:eastAsia="Times New Roman" w:cs="Times New Roman"/>
          <w:szCs w:val="24"/>
          <w:lang w:eastAsia="es-CO"/>
        </w:rPr>
      </w:pPr>
      <w:r w:rsidRPr="00784587">
        <w:rPr>
          <w:rFonts w:eastAsia="Times New Roman" w:cs="Times New Roman"/>
          <w:i/>
          <w:iCs/>
          <w:szCs w:val="24"/>
          <w:lang w:eastAsia="es-CO"/>
        </w:rPr>
        <w:t>(…)</w:t>
      </w:r>
    </w:p>
    <w:p w:rsidR="00784587" w:rsidRPr="00784587" w:rsidRDefault="00784587" w:rsidP="00784587">
      <w:pPr>
        <w:spacing w:after="0" w:line="240" w:lineRule="auto"/>
        <w:ind w:left="180"/>
        <w:jc w:val="both"/>
        <w:rPr>
          <w:rFonts w:eastAsia="Times New Roman" w:cs="Times New Roman"/>
          <w:szCs w:val="24"/>
          <w:lang w:eastAsia="es-CO"/>
        </w:rPr>
      </w:pPr>
      <w:r w:rsidRPr="00784587">
        <w:rPr>
          <w:rFonts w:eastAsia="Times New Roman" w:cs="Times New Roman"/>
          <w:i/>
          <w:iCs/>
          <w:szCs w:val="24"/>
          <w:lang w:eastAsia="es-CO"/>
        </w:rPr>
        <w:t>Incluir el Código Único de Factura Electrónica”</w:t>
      </w:r>
    </w:p>
    <w:p w:rsidR="00784587" w:rsidRPr="00784587" w:rsidRDefault="00784587" w:rsidP="00784587">
      <w:pPr>
        <w:spacing w:after="0" w:line="240" w:lineRule="auto"/>
        <w:ind w:left="180"/>
        <w:jc w:val="both"/>
        <w:rPr>
          <w:rFonts w:eastAsia="Times New Roman" w:cs="Times New Roman"/>
          <w:szCs w:val="24"/>
          <w:lang w:eastAsia="es-CO"/>
        </w:rPr>
      </w:pPr>
      <w:r w:rsidRPr="00784587">
        <w:rPr>
          <w:rFonts w:eastAsia="Times New Roman" w:cs="Times New Roman"/>
          <w:i/>
          <w:iCs/>
          <w:szCs w:val="24"/>
          <w:lang w:eastAsia="es-CO"/>
        </w:rPr>
        <w:t> </w:t>
      </w:r>
    </w:p>
    <w:p w:rsidR="00784587" w:rsidRPr="00784587" w:rsidRDefault="00784587" w:rsidP="00784587">
      <w:pPr>
        <w:spacing w:after="0" w:line="240" w:lineRule="auto"/>
        <w:ind w:left="180"/>
        <w:jc w:val="both"/>
        <w:rPr>
          <w:rFonts w:eastAsia="Times New Roman" w:cs="Times New Roman"/>
          <w:szCs w:val="24"/>
          <w:lang w:eastAsia="es-CO"/>
        </w:rPr>
      </w:pPr>
      <w:r w:rsidRPr="00784587">
        <w:rPr>
          <w:rFonts w:eastAsia="Times New Roman" w:cs="Times New Roman"/>
          <w:i/>
          <w:iCs/>
          <w:szCs w:val="24"/>
          <w:lang w:eastAsia="es-CO"/>
        </w:rPr>
        <w:t>2. Las condiciones de entrega de la factura electrónica de que trata el numeral 2 del artículo 1.3.6.1.4.1.3 del Decreto 1625 de 2016 (…)”</w:t>
      </w:r>
    </w:p>
    <w:p w:rsidR="00784587" w:rsidRPr="00784587" w:rsidRDefault="00784587" w:rsidP="00784587">
      <w:pPr>
        <w:spacing w:after="0" w:line="240" w:lineRule="auto"/>
        <w:ind w:left="180"/>
        <w:jc w:val="both"/>
        <w:rPr>
          <w:rFonts w:eastAsia="Times New Roman" w:cs="Times New Roman"/>
          <w:szCs w:val="24"/>
          <w:lang w:eastAsia="es-CO"/>
        </w:rPr>
      </w:pPr>
      <w:r w:rsidRPr="00784587">
        <w:rPr>
          <w:rFonts w:eastAsia="Times New Roman" w:cs="Times New Roman"/>
          <w:i/>
          <w:iCs/>
          <w:szCs w:val="24"/>
          <w:lang w:eastAsia="es-CO"/>
        </w:rPr>
        <w:t>3. En el Régimen subsidiado, la factura electrónica por la prestación de servicios de salud no cubiertos con cargo a la UPC, deberá presentarse ante el pagador que corresponda, de acuerdo con el modelo adoptado con cada entidad territorial en los términos de la Resolución 1479 de 2015, o aquella que la modifique o sustituta.</w:t>
      </w:r>
    </w:p>
    <w:p w:rsidR="00784587" w:rsidRPr="00784587" w:rsidRDefault="00784587" w:rsidP="00784587">
      <w:pPr>
        <w:spacing w:after="0" w:line="240" w:lineRule="auto"/>
        <w:ind w:left="180"/>
        <w:jc w:val="both"/>
        <w:rPr>
          <w:rFonts w:eastAsia="Times New Roman" w:cs="Times New Roman"/>
          <w:szCs w:val="24"/>
          <w:lang w:eastAsia="es-CO"/>
        </w:rPr>
      </w:pPr>
      <w:r w:rsidRPr="00784587">
        <w:rPr>
          <w:rFonts w:eastAsia="Times New Roman" w:cs="Times New Roman"/>
          <w:i/>
          <w:iCs/>
          <w:szCs w:val="24"/>
          <w:lang w:eastAsia="es-CO"/>
        </w:rPr>
        <w:t>(…)</w:t>
      </w:r>
    </w:p>
    <w:p w:rsidR="00784587" w:rsidRPr="00784587" w:rsidRDefault="00784587" w:rsidP="00784587">
      <w:pPr>
        <w:spacing w:after="0" w:line="240" w:lineRule="auto"/>
        <w:ind w:left="180"/>
        <w:jc w:val="both"/>
        <w:rPr>
          <w:rFonts w:eastAsia="Times New Roman" w:cs="Times New Roman"/>
          <w:szCs w:val="24"/>
          <w:lang w:eastAsia="es-CO"/>
        </w:rPr>
      </w:pPr>
      <w:r w:rsidRPr="00784587">
        <w:rPr>
          <w:rFonts w:eastAsia="Times New Roman" w:cs="Times New Roman"/>
          <w:i/>
          <w:iCs/>
          <w:szCs w:val="24"/>
          <w:lang w:eastAsia="es-CO"/>
        </w:rPr>
        <w:t xml:space="preserve">6. Frente al Sistema de Salud, deberá tenerse en cuenta que el pago y trámite de glosas continúa adelantándose de acuerdo con lo establecido en los artículos 56 y 57 de la Ley </w:t>
      </w:r>
      <w:r w:rsidRPr="00784587">
        <w:rPr>
          <w:rFonts w:eastAsia="Times New Roman" w:cs="Times New Roman"/>
          <w:i/>
          <w:iCs/>
          <w:szCs w:val="24"/>
          <w:lang w:eastAsia="es-CO"/>
        </w:rPr>
        <w:lastRenderedPageBreak/>
        <w:t>1438 de 2011 o la norma que los modifique o sustituya, sin desconocer la reglamentación propia de recobros ante la ADRES, las entidades aseguradoras autorizadas para expedir el SOAT y las Administradoras de Riesgos Laborales – ARL.</w:t>
      </w:r>
    </w:p>
    <w:p w:rsidR="00784587" w:rsidRPr="00784587" w:rsidRDefault="00784587" w:rsidP="00784587">
      <w:pPr>
        <w:spacing w:after="0" w:line="240" w:lineRule="auto"/>
        <w:ind w:left="180"/>
        <w:jc w:val="both"/>
        <w:rPr>
          <w:rFonts w:eastAsia="Times New Roman" w:cs="Times New Roman"/>
          <w:szCs w:val="24"/>
          <w:lang w:eastAsia="es-CO"/>
        </w:rPr>
      </w:pPr>
      <w:r w:rsidRPr="00784587">
        <w:rPr>
          <w:rFonts w:eastAsia="Times New Roman" w:cs="Times New Roman"/>
          <w:i/>
          <w:iCs/>
          <w:szCs w:val="24"/>
          <w:lang w:eastAsia="es-CO"/>
        </w:rPr>
        <w:t>7. El trámite de glosas sobre las facturas expedidas por los obligados a facturar, correspondientes a servicios y tecnologías en salud no financiados con cargo a la UPC-S y servicios complementarios del Régimen Subsidiado a cargo de las entidades territoriales, seguirán adelantándose de acuerdo con lo previsto en las Resoluciones 1479 de 2015 y 2438 de 2018 y las demás normas que las modifiquen o sustituyan y los procedimientos adoptados por cada entidad territorial.</w:t>
      </w:r>
    </w:p>
    <w:p w:rsidR="00784587" w:rsidRPr="00784587" w:rsidRDefault="00784587" w:rsidP="00784587">
      <w:pPr>
        <w:spacing w:after="0" w:line="240" w:lineRule="auto"/>
        <w:ind w:left="180"/>
        <w:jc w:val="both"/>
        <w:rPr>
          <w:rFonts w:eastAsia="Times New Roman" w:cs="Times New Roman"/>
          <w:szCs w:val="24"/>
          <w:lang w:eastAsia="es-CO"/>
        </w:rPr>
      </w:pPr>
      <w:r w:rsidRPr="00784587">
        <w:rPr>
          <w:rFonts w:eastAsia="Times New Roman" w:cs="Times New Roman"/>
          <w:i/>
          <w:iCs/>
          <w:szCs w:val="24"/>
          <w:lang w:eastAsia="es-CO"/>
        </w:rPr>
        <w:t>8. Las facturas electrónicas que deban ser cobradas o recobradas ante la ADRES por tecnologías en salud no financiadas con cargo a la UPC y servicios complementarios, se rigen para su trámite, por las normas propias contenidas en el Decreto 780 de 2016 Único Reglamentario del Sector Salud y Protección Social y Protección Social, la Resolución 1885 de 2018 y las demás normas que las modifiquen o sustituyan.</w:t>
      </w:r>
    </w:p>
    <w:p w:rsidR="00784587" w:rsidRPr="00784587" w:rsidRDefault="00784587" w:rsidP="00784587">
      <w:pPr>
        <w:spacing w:after="0" w:line="240" w:lineRule="auto"/>
        <w:ind w:left="180"/>
        <w:jc w:val="both"/>
        <w:rPr>
          <w:rFonts w:eastAsia="Times New Roman" w:cs="Times New Roman"/>
          <w:szCs w:val="24"/>
          <w:lang w:eastAsia="es-CO"/>
        </w:rPr>
      </w:pPr>
      <w:r w:rsidRPr="00784587">
        <w:rPr>
          <w:rFonts w:eastAsia="Times New Roman" w:cs="Times New Roman"/>
          <w:i/>
          <w:iCs/>
          <w:szCs w:val="24"/>
          <w:lang w:eastAsia="es-CO"/>
        </w:rPr>
        <w:t>(…)</w:t>
      </w:r>
    </w:p>
    <w:p w:rsidR="00784587" w:rsidRPr="00784587" w:rsidRDefault="00784587" w:rsidP="00784587">
      <w:pPr>
        <w:spacing w:after="0" w:line="240" w:lineRule="auto"/>
        <w:ind w:left="180"/>
        <w:jc w:val="both"/>
        <w:rPr>
          <w:rFonts w:eastAsia="Times New Roman" w:cs="Times New Roman"/>
          <w:szCs w:val="24"/>
          <w:lang w:eastAsia="es-CO"/>
        </w:rPr>
      </w:pPr>
      <w:r w:rsidRPr="00784587">
        <w:rPr>
          <w:rFonts w:eastAsia="Times New Roman" w:cs="Times New Roman"/>
          <w:i/>
          <w:iCs/>
          <w:szCs w:val="24"/>
          <w:lang w:eastAsia="es-CO"/>
        </w:rPr>
        <w:t>12. La factura junto con los soportes debe entregarse por el obligado a facturar ante el adquirente (entidad pagadora), momento a partir del cual inician los plazos de pago y el trámite de glosas.</w:t>
      </w:r>
    </w:p>
    <w:p w:rsidR="00784587" w:rsidRPr="00784587" w:rsidRDefault="00784587" w:rsidP="00784587">
      <w:pPr>
        <w:spacing w:after="0" w:line="240" w:lineRule="auto"/>
        <w:ind w:left="180"/>
        <w:jc w:val="both"/>
        <w:rPr>
          <w:rFonts w:eastAsia="Times New Roman" w:cs="Times New Roman"/>
          <w:szCs w:val="24"/>
          <w:lang w:eastAsia="es-CO"/>
        </w:rPr>
      </w:pPr>
      <w:r w:rsidRPr="00784587">
        <w:rPr>
          <w:rFonts w:eastAsia="Times New Roman" w:cs="Times New Roman"/>
          <w:i/>
          <w:iCs/>
          <w:szCs w:val="24"/>
          <w:lang w:eastAsia="es-CO"/>
        </w:rPr>
        <w:t>(…)</w:t>
      </w:r>
    </w:p>
    <w:p w:rsidR="00784587" w:rsidRPr="00784587" w:rsidRDefault="00784587" w:rsidP="00784587">
      <w:pPr>
        <w:spacing w:after="0" w:line="240" w:lineRule="auto"/>
        <w:ind w:left="180"/>
        <w:jc w:val="both"/>
        <w:rPr>
          <w:rFonts w:eastAsia="Times New Roman" w:cs="Times New Roman"/>
          <w:szCs w:val="24"/>
          <w:lang w:eastAsia="es-CO"/>
        </w:rPr>
      </w:pPr>
      <w:r w:rsidRPr="00784587">
        <w:rPr>
          <w:rFonts w:eastAsia="Times New Roman" w:cs="Times New Roman"/>
          <w:i/>
          <w:iCs/>
          <w:szCs w:val="24"/>
          <w:lang w:eastAsia="es-CO"/>
        </w:rPr>
        <w:t>Respecto de los soportes es preciso tener en cuenta:</w:t>
      </w:r>
    </w:p>
    <w:p w:rsidR="00784587" w:rsidRPr="00784587" w:rsidRDefault="00784587" w:rsidP="00784587">
      <w:pPr>
        <w:spacing w:after="0" w:line="240" w:lineRule="auto"/>
        <w:ind w:left="180"/>
        <w:jc w:val="both"/>
        <w:rPr>
          <w:rFonts w:eastAsia="Times New Roman" w:cs="Times New Roman"/>
          <w:szCs w:val="24"/>
          <w:lang w:eastAsia="es-CO"/>
        </w:rPr>
      </w:pPr>
      <w:r w:rsidRPr="00784587">
        <w:rPr>
          <w:rFonts w:eastAsia="Times New Roman" w:cs="Times New Roman"/>
          <w:i/>
          <w:iCs/>
          <w:szCs w:val="24"/>
          <w:lang w:eastAsia="es-CO"/>
        </w:rPr>
        <w:t>(…)</w:t>
      </w:r>
    </w:p>
    <w:p w:rsidR="00784587" w:rsidRPr="00784587" w:rsidRDefault="00784587" w:rsidP="00784587">
      <w:pPr>
        <w:spacing w:after="0" w:line="240" w:lineRule="auto"/>
        <w:ind w:left="180"/>
        <w:jc w:val="both"/>
        <w:rPr>
          <w:rFonts w:eastAsia="Times New Roman" w:cs="Times New Roman"/>
          <w:szCs w:val="24"/>
          <w:lang w:eastAsia="es-CO"/>
        </w:rPr>
      </w:pPr>
      <w:r w:rsidRPr="00784587">
        <w:rPr>
          <w:rFonts w:eastAsia="Times New Roman" w:cs="Times New Roman"/>
          <w:i/>
          <w:iCs/>
          <w:szCs w:val="24"/>
          <w:lang w:eastAsia="es-CO"/>
        </w:rPr>
        <w:t>1. Solamente se entregarán por parte del obligado a facturar a la entidad pagadora; sin desconocer la reglamentación propia que rige operaciones de la ADRES, las entidades aseguradoras autorizadas para expedir el SOAT, las administradoras de Riesgos Laborales – ARL y los actos administrativos expedidos por las entidades territoriales en cumplimiento de lo establecido en la Resolución 1479 de 2015 y las nomas que la modifiquen o sustituyan.</w:t>
      </w:r>
    </w:p>
    <w:p w:rsidR="00784587" w:rsidRPr="00784587" w:rsidRDefault="00784587" w:rsidP="00784587">
      <w:pPr>
        <w:spacing w:after="0" w:line="240" w:lineRule="auto"/>
        <w:ind w:left="180"/>
        <w:jc w:val="both"/>
        <w:rPr>
          <w:rFonts w:eastAsia="Times New Roman" w:cs="Times New Roman"/>
          <w:szCs w:val="24"/>
          <w:lang w:eastAsia="es-CO"/>
        </w:rPr>
      </w:pPr>
      <w:r w:rsidRPr="00784587">
        <w:rPr>
          <w:rFonts w:eastAsia="Times New Roman" w:cs="Times New Roman"/>
          <w:i/>
          <w:iCs/>
          <w:szCs w:val="24"/>
          <w:lang w:eastAsia="es-CO"/>
        </w:rPr>
        <w:t>2. Incluirán el Código único de Factura Electrónica – CUFE, para garantizar su identificación al momento de realizar los procesos de auditoría y verificación.</w:t>
      </w:r>
    </w:p>
    <w:p w:rsidR="00784587" w:rsidRPr="00784587" w:rsidRDefault="00784587" w:rsidP="00784587">
      <w:pPr>
        <w:spacing w:after="0" w:line="240" w:lineRule="auto"/>
        <w:ind w:left="180"/>
        <w:jc w:val="both"/>
        <w:rPr>
          <w:rFonts w:eastAsia="Times New Roman" w:cs="Times New Roman"/>
          <w:szCs w:val="24"/>
          <w:lang w:eastAsia="es-CO"/>
        </w:rPr>
      </w:pPr>
      <w:r w:rsidRPr="00784587">
        <w:rPr>
          <w:rFonts w:eastAsia="Times New Roman" w:cs="Times New Roman"/>
          <w:i/>
          <w:iCs/>
          <w:szCs w:val="24"/>
          <w:lang w:eastAsia="es-CO"/>
        </w:rPr>
        <w:t>3. Se radicarán todos los que el obligado a facturar considere indispensables, atendiendo lo establecido en el acuerdo de voluntades, la Resolución 3047 de 2008 modificada por las Resoluciones 419 de 2009 y 4331 de 2012 expedidas por este Ministerio. El adquiriente (entidad pagadora) no exigirá soportes adicionales a los definidos en dichas disposiciones.</w:t>
      </w:r>
    </w:p>
    <w:p w:rsidR="00784587" w:rsidRPr="00784587" w:rsidRDefault="00784587" w:rsidP="00784587">
      <w:pPr>
        <w:spacing w:after="0" w:line="240" w:lineRule="auto"/>
        <w:ind w:left="180"/>
        <w:jc w:val="both"/>
        <w:rPr>
          <w:rFonts w:eastAsia="Times New Roman" w:cs="Times New Roman"/>
          <w:szCs w:val="24"/>
          <w:lang w:eastAsia="es-CO"/>
        </w:rPr>
      </w:pPr>
      <w:r w:rsidRPr="00784587">
        <w:rPr>
          <w:rFonts w:eastAsia="Times New Roman" w:cs="Times New Roman"/>
          <w:i/>
          <w:iCs/>
          <w:szCs w:val="24"/>
          <w:lang w:eastAsia="es-CO"/>
        </w:rPr>
        <w:t>(…)”</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szCs w:val="24"/>
          <w:lang w:eastAsia="es-CO"/>
        </w:rPr>
        <w:t> </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szCs w:val="24"/>
          <w:lang w:eastAsia="es-CO"/>
        </w:rPr>
        <w:t>Teniendo en cuenta lo precisado en la Circular Externa 046 de 2018, expedida por esta entidad, frente a sus preguntas se tiene lo siguiente:</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i/>
          <w:iCs/>
          <w:szCs w:val="24"/>
          <w:lang w:eastAsia="es-CO"/>
        </w:rPr>
        <w:t> </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i/>
          <w:iCs/>
          <w:szCs w:val="24"/>
          <w:lang w:eastAsia="es-CO"/>
        </w:rPr>
        <w:t>1. “Dada la entrada en vigencia de la facturación electrónica de conformidad con lo dispuesto en el Decreto 1625 de 2016 y el Decreto 2242 de 2015 ¿en qué momento, y a través de qué mecanismo, debe el prestador de servicios de salud efectuar la entrega de los soportes de la factura a la Entidad Responsable de Pago conforme al Anexo Técnico No 5 de la Resolución 3047 de 2008, cuando se hace uso de la factura electrónica?”</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szCs w:val="24"/>
          <w:lang w:eastAsia="es-CO"/>
        </w:rPr>
        <w:t> </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szCs w:val="24"/>
          <w:lang w:eastAsia="es-CO"/>
        </w:rPr>
        <w:t>Sobre el particular, vale la pena aclarar que de acuerdo a lo indicado en el numeral 6 de la Circular 046 de 2018, en donde se hace mención a lo requerido para la expedición de la factura electrónica, se aclara que: “</w:t>
      </w:r>
      <w:r w:rsidRPr="00784587">
        <w:rPr>
          <w:rFonts w:eastAsia="Times New Roman" w:cs="Times New Roman"/>
          <w:i/>
          <w:iCs/>
          <w:szCs w:val="24"/>
          <w:lang w:eastAsia="es-CO"/>
        </w:rPr>
        <w:t>Frente al Sistema de Salud, </w:t>
      </w:r>
      <w:r w:rsidRPr="00784587">
        <w:rPr>
          <w:rFonts w:eastAsia="Times New Roman" w:cs="Times New Roman"/>
          <w:b/>
          <w:bCs/>
          <w:i/>
          <w:iCs/>
          <w:szCs w:val="24"/>
          <w:lang w:eastAsia="es-CO"/>
        </w:rPr>
        <w:t>deberá tenerse en cuenta que el pago y trámite de glosas continúa adelantándose de acuerdo con lo establecido en los artículos 56 y 57 de la Ley 1438 de 2011 o la norma que los modifique o sustituya, </w:t>
      </w:r>
      <w:r w:rsidRPr="00784587">
        <w:rPr>
          <w:rFonts w:eastAsia="Times New Roman" w:cs="Times New Roman"/>
          <w:i/>
          <w:iCs/>
          <w:szCs w:val="24"/>
          <w:lang w:eastAsia="es-CO"/>
        </w:rPr>
        <w:t>(…)”</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szCs w:val="24"/>
          <w:lang w:eastAsia="es-CO"/>
        </w:rPr>
        <w:t> </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szCs w:val="24"/>
          <w:lang w:eastAsia="es-CO"/>
        </w:rPr>
        <w:t>En este sentido, tratándose del mecanismo para la entrega de los soportes, estos se continuarán radicando de acuerdo a lo que se encuentra reglamentado en la Resolución 3047 de 2008, modificada por las Resoluciones 419 de 2009 y 4331 de 2012, expedidas por este Ministerio, sin olvidar que los mismos, deberán incluir el Código Único de Factura Electrónica – CUFE, para garantizar su identificación al momento de que se realicen los procesos de auditoria y verificación.</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i/>
          <w:iCs/>
          <w:szCs w:val="24"/>
          <w:lang w:eastAsia="es-CO"/>
        </w:rPr>
        <w:lastRenderedPageBreak/>
        <w:t> </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i/>
          <w:iCs/>
          <w:szCs w:val="24"/>
          <w:lang w:eastAsia="es-CO"/>
        </w:rPr>
        <w:t>2. A la Luz de lo dispuesto en el Decreto 1625 de 2016 y el Decreto 2242 de 2015, ¿a partir de qué momento se debe computar el término para el pago de las facturas de venta de servicios de salud, previsto en el artículo 13 literal d) de la Ley 1122 de 2007, cuando se haga uso de la factura electrónica?</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szCs w:val="24"/>
          <w:lang w:eastAsia="es-CO"/>
        </w:rPr>
        <w:t> </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szCs w:val="24"/>
          <w:lang w:eastAsia="es-CO"/>
        </w:rPr>
        <w:t>Respecto de las previsiones contenidas en el literal d)</w:t>
      </w:r>
      <w:bookmarkStart w:id="6" w:name="_ftnref5"/>
      <w:r w:rsidRPr="00784587">
        <w:rPr>
          <w:rFonts w:eastAsia="Times New Roman" w:cs="Times New Roman"/>
          <w:szCs w:val="24"/>
          <w:lang w:eastAsia="es-CO"/>
        </w:rPr>
        <w:fldChar w:fldCharType="begin"/>
      </w:r>
      <w:r w:rsidRPr="00784587">
        <w:rPr>
          <w:rFonts w:eastAsia="Times New Roman" w:cs="Times New Roman"/>
          <w:szCs w:val="24"/>
          <w:lang w:eastAsia="es-CO"/>
        </w:rPr>
        <w:instrText xml:space="preserve"> HYPERLINK "https://www.ceta.org.co/html/vista_de_un_documento.asp?DocumentoID=36474" \l "_ftn5" \o "" </w:instrText>
      </w:r>
      <w:r w:rsidRPr="00784587">
        <w:rPr>
          <w:rFonts w:eastAsia="Times New Roman" w:cs="Times New Roman"/>
          <w:szCs w:val="24"/>
          <w:lang w:eastAsia="es-CO"/>
        </w:rPr>
        <w:fldChar w:fldCharType="separate"/>
      </w:r>
      <w:r w:rsidRPr="00784587">
        <w:rPr>
          <w:rFonts w:eastAsia="Times New Roman" w:cs="Times New Roman"/>
          <w:szCs w:val="24"/>
          <w:lang w:eastAsia="es-CO"/>
        </w:rPr>
        <w:t>[5]</w:t>
      </w:r>
      <w:r w:rsidRPr="00784587">
        <w:rPr>
          <w:rFonts w:eastAsia="Times New Roman" w:cs="Times New Roman"/>
          <w:szCs w:val="24"/>
          <w:lang w:eastAsia="es-CO"/>
        </w:rPr>
        <w:fldChar w:fldCharType="end"/>
      </w:r>
      <w:bookmarkEnd w:id="6"/>
      <w:r w:rsidRPr="00784587">
        <w:rPr>
          <w:rFonts w:eastAsia="Times New Roman" w:cs="Times New Roman"/>
          <w:szCs w:val="24"/>
          <w:lang w:eastAsia="es-CO"/>
        </w:rPr>
        <w:t> del artículo 13 de la Ley 1122 de 2007</w:t>
      </w:r>
      <w:bookmarkStart w:id="7" w:name="_ftnref6"/>
      <w:r w:rsidRPr="00784587">
        <w:rPr>
          <w:rFonts w:eastAsia="Times New Roman" w:cs="Times New Roman"/>
          <w:szCs w:val="24"/>
          <w:lang w:eastAsia="es-CO"/>
        </w:rPr>
        <w:fldChar w:fldCharType="begin"/>
      </w:r>
      <w:r w:rsidRPr="00784587">
        <w:rPr>
          <w:rFonts w:eastAsia="Times New Roman" w:cs="Times New Roman"/>
          <w:szCs w:val="24"/>
          <w:lang w:eastAsia="es-CO"/>
        </w:rPr>
        <w:instrText xml:space="preserve"> HYPERLINK "https://www.ceta.org.co/html/vista_de_un_documento.asp?DocumentoID=36474" \l "_ftn6" \o "" </w:instrText>
      </w:r>
      <w:r w:rsidRPr="00784587">
        <w:rPr>
          <w:rFonts w:eastAsia="Times New Roman" w:cs="Times New Roman"/>
          <w:szCs w:val="24"/>
          <w:lang w:eastAsia="es-CO"/>
        </w:rPr>
        <w:fldChar w:fldCharType="separate"/>
      </w:r>
      <w:r w:rsidRPr="00784587">
        <w:rPr>
          <w:rFonts w:eastAsia="Times New Roman" w:cs="Times New Roman"/>
          <w:szCs w:val="24"/>
          <w:lang w:eastAsia="es-CO"/>
        </w:rPr>
        <w:t>[6]</w:t>
      </w:r>
      <w:r w:rsidRPr="00784587">
        <w:rPr>
          <w:rFonts w:eastAsia="Times New Roman" w:cs="Times New Roman"/>
          <w:szCs w:val="24"/>
          <w:lang w:eastAsia="es-CO"/>
        </w:rPr>
        <w:fldChar w:fldCharType="end"/>
      </w:r>
      <w:bookmarkEnd w:id="7"/>
      <w:r w:rsidRPr="00784587">
        <w:rPr>
          <w:rFonts w:eastAsia="Times New Roman" w:cs="Times New Roman"/>
          <w:szCs w:val="24"/>
          <w:lang w:eastAsia="es-CO"/>
        </w:rPr>
        <w:t>, vale la pena acotar que estas a la fecha no han sido modificadas ni derogadas por una norma posterior, por lo que continúan vigentes, en este caso, vale la pena resaltar que la facturación electrónica, no modifica para el SGSSS, lo relacionado con el pago y el trámite de glosas.</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i/>
          <w:iCs/>
          <w:szCs w:val="24"/>
          <w:lang w:eastAsia="es-CO"/>
        </w:rPr>
        <w:t> </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i/>
          <w:iCs/>
          <w:szCs w:val="24"/>
          <w:lang w:eastAsia="es-CO"/>
        </w:rPr>
        <w:t>3. Conforme a lo dispuesto en el Decreto 1625 de 2016 y el Decreto 2242 de 2015, ¿a partir de cuándo se debe computar el término para la formulación de glosas a las facturas de venta de servicios de salud, previsto en el artículo 57 de la Ley 1438 de 2011, cuando se haga uso de la factura electrónica?</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i/>
          <w:iCs/>
          <w:szCs w:val="24"/>
          <w:lang w:eastAsia="es-CO"/>
        </w:rPr>
        <w:t>4. Conforme a lo dispuesto en el Decreto 1625 de 2016 y el Decreto 2242 de 2015, ¿Cuál es el mecanismo que debe utilizar la Entidad Responsable del Pago (ERP) para comunicar al prestador de servicios de salud las causales de glosa o devolución a las facturas, cuando se haga uso de la factura electrónica?</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szCs w:val="24"/>
          <w:lang w:eastAsia="es-CO"/>
        </w:rPr>
        <w:t> </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szCs w:val="24"/>
          <w:lang w:eastAsia="es-CO"/>
        </w:rPr>
        <w:t xml:space="preserve">Ahora bien, en cuanto a sus preguntas 3 y 4, estas se entienden resueltas con la respuesta brindada al punto 1 de su escrito, en la medida en </w:t>
      </w:r>
      <w:proofErr w:type="gramStart"/>
      <w:r w:rsidRPr="00784587">
        <w:rPr>
          <w:rFonts w:eastAsia="Times New Roman" w:cs="Times New Roman"/>
          <w:szCs w:val="24"/>
          <w:lang w:eastAsia="es-CO"/>
        </w:rPr>
        <w:t>que</w:t>
      </w:r>
      <w:proofErr w:type="gramEnd"/>
      <w:r w:rsidRPr="00784587">
        <w:rPr>
          <w:rFonts w:eastAsia="Times New Roman" w:cs="Times New Roman"/>
          <w:szCs w:val="24"/>
          <w:lang w:eastAsia="es-CO"/>
        </w:rPr>
        <w:t xml:space="preserve"> frente al Sistema General de Seguridad Social en Salud, el pago y trámite de glosas </w:t>
      </w:r>
      <w:r w:rsidRPr="00784587">
        <w:rPr>
          <w:rFonts w:eastAsia="Times New Roman" w:cs="Times New Roman"/>
          <w:b/>
          <w:bCs/>
          <w:szCs w:val="24"/>
          <w:lang w:eastAsia="es-CO"/>
        </w:rPr>
        <w:t>continúa adelantándose de acuerdo con lo establecido en los artículos 56 y 57 de la Ley 1438 de 2011 o la norma que los modifique o sustituya.</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i/>
          <w:iCs/>
          <w:szCs w:val="24"/>
          <w:lang w:eastAsia="es-CO"/>
        </w:rPr>
        <w:t> </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i/>
          <w:iCs/>
          <w:szCs w:val="24"/>
          <w:lang w:eastAsia="es-CO"/>
        </w:rPr>
        <w:t>5. ¿Qué debe hacer el prestador de servicios de salud obligado a facturar electrónicamente, en el evento en que la plataforma tecnológica autorizada para la remisión de la factura electrónica no permita adjuntar los soportes de la factura que haya lugar conforme la Resolución 3047 de 2008?</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szCs w:val="24"/>
          <w:lang w:eastAsia="es-CO"/>
        </w:rPr>
        <w:t> </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szCs w:val="24"/>
          <w:lang w:eastAsia="es-CO"/>
        </w:rPr>
        <w:t>En cuanto a su pregunta relacionada con la plataforma autorizada para facturar electrónicamente, cuando esta no permite adjuntar los soportes de la factura, debe precisarse que este es un aspecto que no puede definir este Ministerio, como quiera que es la Dirección de Impuestos y Aduanas Nacionales – DIAN, la entidad encargada de autorizar a los diferentes proveedores tecnológicos para prestar servicios de factura electrónica (para fines tributarios), no obstante, en lo que atañe al SGSSS, para realizar el pago de los servicios de salud prestados, se deberá cumplir como ya se ha indicado, con el trámite establecido en la Resolución 3047 de 2008</w:t>
      </w:r>
      <w:bookmarkStart w:id="8" w:name="_ftnref7"/>
      <w:r w:rsidRPr="00784587">
        <w:rPr>
          <w:rFonts w:eastAsia="Times New Roman" w:cs="Times New Roman"/>
          <w:szCs w:val="24"/>
          <w:lang w:eastAsia="es-CO"/>
        </w:rPr>
        <w:fldChar w:fldCharType="begin"/>
      </w:r>
      <w:r w:rsidRPr="00784587">
        <w:rPr>
          <w:rFonts w:eastAsia="Times New Roman" w:cs="Times New Roman"/>
          <w:szCs w:val="24"/>
          <w:lang w:eastAsia="es-CO"/>
        </w:rPr>
        <w:instrText xml:space="preserve"> HYPERLINK "https://www.ceta.org.co/html/vista_de_un_documento.asp?DocumentoID=36474" \l "_ftn7" \o "" </w:instrText>
      </w:r>
      <w:r w:rsidRPr="00784587">
        <w:rPr>
          <w:rFonts w:eastAsia="Times New Roman" w:cs="Times New Roman"/>
          <w:szCs w:val="24"/>
          <w:lang w:eastAsia="es-CO"/>
        </w:rPr>
        <w:fldChar w:fldCharType="separate"/>
      </w:r>
      <w:r w:rsidRPr="00784587">
        <w:rPr>
          <w:rFonts w:eastAsia="Times New Roman" w:cs="Times New Roman"/>
          <w:szCs w:val="24"/>
          <w:lang w:eastAsia="es-CO"/>
        </w:rPr>
        <w:t>[7]</w:t>
      </w:r>
      <w:r w:rsidRPr="00784587">
        <w:rPr>
          <w:rFonts w:eastAsia="Times New Roman" w:cs="Times New Roman"/>
          <w:szCs w:val="24"/>
          <w:lang w:eastAsia="es-CO"/>
        </w:rPr>
        <w:fldChar w:fldCharType="end"/>
      </w:r>
      <w:bookmarkEnd w:id="8"/>
      <w:r w:rsidRPr="00784587">
        <w:rPr>
          <w:rFonts w:eastAsia="Times New Roman" w:cs="Times New Roman"/>
          <w:szCs w:val="24"/>
          <w:lang w:eastAsia="es-CO"/>
        </w:rPr>
        <w:t>, modificada por la Resolución 416 de 2009</w:t>
      </w:r>
      <w:bookmarkStart w:id="9" w:name="_ftnref8"/>
      <w:r w:rsidRPr="00784587">
        <w:rPr>
          <w:rFonts w:eastAsia="Times New Roman" w:cs="Times New Roman"/>
          <w:szCs w:val="24"/>
          <w:lang w:eastAsia="es-CO"/>
        </w:rPr>
        <w:fldChar w:fldCharType="begin"/>
      </w:r>
      <w:r w:rsidRPr="00784587">
        <w:rPr>
          <w:rFonts w:eastAsia="Times New Roman" w:cs="Times New Roman"/>
          <w:szCs w:val="24"/>
          <w:lang w:eastAsia="es-CO"/>
        </w:rPr>
        <w:instrText xml:space="preserve"> HYPERLINK "https://www.ceta.org.co/html/vista_de_un_documento.asp?DocumentoID=36474" \l "_ftn8" \o "" </w:instrText>
      </w:r>
      <w:r w:rsidRPr="00784587">
        <w:rPr>
          <w:rFonts w:eastAsia="Times New Roman" w:cs="Times New Roman"/>
          <w:szCs w:val="24"/>
          <w:lang w:eastAsia="es-CO"/>
        </w:rPr>
        <w:fldChar w:fldCharType="separate"/>
      </w:r>
      <w:r w:rsidRPr="00784587">
        <w:rPr>
          <w:rFonts w:eastAsia="Times New Roman" w:cs="Times New Roman"/>
          <w:szCs w:val="24"/>
          <w:lang w:eastAsia="es-CO"/>
        </w:rPr>
        <w:t>[8]</w:t>
      </w:r>
      <w:r w:rsidRPr="00784587">
        <w:rPr>
          <w:rFonts w:eastAsia="Times New Roman" w:cs="Times New Roman"/>
          <w:szCs w:val="24"/>
          <w:lang w:eastAsia="es-CO"/>
        </w:rPr>
        <w:fldChar w:fldCharType="end"/>
      </w:r>
      <w:bookmarkEnd w:id="9"/>
      <w:r w:rsidRPr="00784587">
        <w:rPr>
          <w:rFonts w:eastAsia="Times New Roman" w:cs="Times New Roman"/>
          <w:szCs w:val="24"/>
          <w:lang w:eastAsia="es-CO"/>
        </w:rPr>
        <w:t> y adicionada y modificada por la Resolución 4331 de 2012</w:t>
      </w:r>
      <w:bookmarkStart w:id="10" w:name="_ftnref9"/>
      <w:r w:rsidRPr="00784587">
        <w:rPr>
          <w:rFonts w:eastAsia="Times New Roman" w:cs="Times New Roman"/>
          <w:szCs w:val="24"/>
          <w:lang w:eastAsia="es-CO"/>
        </w:rPr>
        <w:fldChar w:fldCharType="begin"/>
      </w:r>
      <w:r w:rsidRPr="00784587">
        <w:rPr>
          <w:rFonts w:eastAsia="Times New Roman" w:cs="Times New Roman"/>
          <w:szCs w:val="24"/>
          <w:lang w:eastAsia="es-CO"/>
        </w:rPr>
        <w:instrText xml:space="preserve"> HYPERLINK "https://www.ceta.org.co/html/vista_de_un_documento.asp?DocumentoID=36474" \l "_ftn9" \o "" </w:instrText>
      </w:r>
      <w:r w:rsidRPr="00784587">
        <w:rPr>
          <w:rFonts w:eastAsia="Times New Roman" w:cs="Times New Roman"/>
          <w:szCs w:val="24"/>
          <w:lang w:eastAsia="es-CO"/>
        </w:rPr>
        <w:fldChar w:fldCharType="separate"/>
      </w:r>
      <w:r w:rsidRPr="00784587">
        <w:rPr>
          <w:rFonts w:eastAsia="Times New Roman" w:cs="Times New Roman"/>
          <w:szCs w:val="24"/>
          <w:lang w:eastAsia="es-CO"/>
        </w:rPr>
        <w:t>[9]</w:t>
      </w:r>
      <w:r w:rsidRPr="00784587">
        <w:rPr>
          <w:rFonts w:eastAsia="Times New Roman" w:cs="Times New Roman"/>
          <w:szCs w:val="24"/>
          <w:lang w:eastAsia="es-CO"/>
        </w:rPr>
        <w:fldChar w:fldCharType="end"/>
      </w:r>
      <w:bookmarkEnd w:id="10"/>
      <w:r w:rsidRPr="00784587">
        <w:rPr>
          <w:rFonts w:eastAsia="Times New Roman" w:cs="Times New Roman"/>
          <w:szCs w:val="24"/>
          <w:lang w:eastAsia="es-CO"/>
        </w:rPr>
        <w:t>, para lo cual, los pagadores podrán recibir la representación gráfica de la factura electrónica en formato impreso, junto con los soportes respectivos.</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szCs w:val="24"/>
          <w:lang w:eastAsia="es-CO"/>
        </w:rPr>
        <w:t> </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szCs w:val="24"/>
          <w:lang w:eastAsia="es-CO"/>
        </w:rPr>
        <w:t>El anterior concepto tiene los efectos determinados en el artículo 28 del Código de Procedimiento Administrativo y de lo Contencioso Administrativo, sustituido en su título II, por el artículo 1 de la Ley 1755 de 2015</w:t>
      </w:r>
      <w:bookmarkStart w:id="11" w:name="_ftnref10"/>
      <w:r w:rsidRPr="00784587">
        <w:rPr>
          <w:rFonts w:eastAsia="Times New Roman" w:cs="Times New Roman"/>
          <w:szCs w:val="24"/>
          <w:lang w:eastAsia="es-CO"/>
        </w:rPr>
        <w:fldChar w:fldCharType="begin"/>
      </w:r>
      <w:r w:rsidRPr="00784587">
        <w:rPr>
          <w:rFonts w:eastAsia="Times New Roman" w:cs="Times New Roman"/>
          <w:szCs w:val="24"/>
          <w:lang w:eastAsia="es-CO"/>
        </w:rPr>
        <w:instrText xml:space="preserve"> HYPERLINK "https://www.ceta.org.co/html/vista_de_un_documento.asp?DocumentoID=36474" \l "_ftn10" \o "" </w:instrText>
      </w:r>
      <w:r w:rsidRPr="00784587">
        <w:rPr>
          <w:rFonts w:eastAsia="Times New Roman" w:cs="Times New Roman"/>
          <w:szCs w:val="24"/>
          <w:lang w:eastAsia="es-CO"/>
        </w:rPr>
        <w:fldChar w:fldCharType="separate"/>
      </w:r>
      <w:r w:rsidRPr="00784587">
        <w:rPr>
          <w:rFonts w:eastAsia="Times New Roman" w:cs="Times New Roman"/>
          <w:szCs w:val="24"/>
          <w:lang w:eastAsia="es-CO"/>
        </w:rPr>
        <w:t>[10]</w:t>
      </w:r>
      <w:r w:rsidRPr="00784587">
        <w:rPr>
          <w:rFonts w:eastAsia="Times New Roman" w:cs="Times New Roman"/>
          <w:szCs w:val="24"/>
          <w:lang w:eastAsia="es-CO"/>
        </w:rPr>
        <w:fldChar w:fldCharType="end"/>
      </w:r>
      <w:bookmarkEnd w:id="11"/>
      <w:r w:rsidRPr="00784587">
        <w:rPr>
          <w:rFonts w:eastAsia="Times New Roman" w:cs="Times New Roman"/>
          <w:szCs w:val="24"/>
          <w:lang w:eastAsia="es-CO"/>
        </w:rPr>
        <w:t>.</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szCs w:val="24"/>
          <w:lang w:eastAsia="es-CO"/>
        </w:rPr>
        <w:t> </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szCs w:val="24"/>
          <w:lang w:eastAsia="es-CO"/>
        </w:rPr>
        <w:t>Cordialmente,</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b/>
          <w:bCs/>
          <w:szCs w:val="24"/>
          <w:lang w:eastAsia="es-CO"/>
        </w:rPr>
        <w:t> </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b/>
          <w:bCs/>
          <w:szCs w:val="24"/>
          <w:lang w:eastAsia="es-CO"/>
        </w:rPr>
        <w:t> </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b/>
          <w:bCs/>
          <w:szCs w:val="24"/>
          <w:lang w:eastAsia="es-CO"/>
        </w:rPr>
        <w:t>ANDREA ELIZABETH HURTADO NEIRA</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szCs w:val="24"/>
          <w:lang w:eastAsia="es-CO"/>
        </w:rPr>
        <w:t>Directora Jurídica</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szCs w:val="24"/>
          <w:lang w:eastAsia="es-CO"/>
        </w:rPr>
        <w:br w:type="textWrapping" w:clear="all"/>
      </w:r>
    </w:p>
    <w:p w:rsidR="00784587" w:rsidRPr="00784587" w:rsidRDefault="00EC22F2" w:rsidP="00784587">
      <w:pPr>
        <w:spacing w:after="0" w:line="240" w:lineRule="auto"/>
        <w:jc w:val="both"/>
        <w:rPr>
          <w:rFonts w:eastAsia="Times New Roman" w:cs="Times New Roman"/>
          <w:szCs w:val="24"/>
          <w:lang w:eastAsia="es-CO"/>
        </w:rPr>
      </w:pPr>
      <w:r>
        <w:rPr>
          <w:rFonts w:eastAsia="Times New Roman" w:cs="Times New Roman"/>
          <w:szCs w:val="24"/>
          <w:lang w:eastAsia="es-CO"/>
        </w:rPr>
        <w:pict>
          <v:rect id="_x0000_i1025" style="width:145pt;height:.6pt" o:hrpct="330" o:hrstd="t" o:hr="t" fillcolor="#a0a0a0" stroked="f"/>
        </w:pict>
      </w:r>
    </w:p>
    <w:bookmarkStart w:id="12" w:name="_ftn1"/>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szCs w:val="24"/>
          <w:lang w:eastAsia="es-CO"/>
        </w:rPr>
        <w:lastRenderedPageBreak/>
        <w:fldChar w:fldCharType="begin"/>
      </w:r>
      <w:r w:rsidRPr="00784587">
        <w:rPr>
          <w:rFonts w:eastAsia="Times New Roman" w:cs="Times New Roman"/>
          <w:szCs w:val="24"/>
          <w:lang w:eastAsia="es-CO"/>
        </w:rPr>
        <w:instrText xml:space="preserve"> HYPERLINK "https://www.ceta.org.co/html/vista_de_un_documento.asp?DocumentoID=36474" \l "_ftnref1" \o "" </w:instrText>
      </w:r>
      <w:r w:rsidRPr="00784587">
        <w:rPr>
          <w:rFonts w:eastAsia="Times New Roman" w:cs="Times New Roman"/>
          <w:szCs w:val="24"/>
          <w:lang w:eastAsia="es-CO"/>
        </w:rPr>
        <w:fldChar w:fldCharType="separate"/>
      </w:r>
      <w:r w:rsidRPr="00784587">
        <w:rPr>
          <w:rFonts w:eastAsia="Times New Roman" w:cs="Times New Roman"/>
          <w:szCs w:val="24"/>
          <w:lang w:eastAsia="es-CO"/>
        </w:rPr>
        <w:t>[1]</w:t>
      </w:r>
      <w:r w:rsidRPr="00784587">
        <w:rPr>
          <w:rFonts w:eastAsia="Times New Roman" w:cs="Times New Roman"/>
          <w:szCs w:val="24"/>
          <w:lang w:eastAsia="es-CO"/>
        </w:rPr>
        <w:fldChar w:fldCharType="end"/>
      </w:r>
      <w:bookmarkEnd w:id="12"/>
      <w:r w:rsidRPr="00784587">
        <w:rPr>
          <w:rFonts w:eastAsia="Times New Roman" w:cs="Times New Roman"/>
          <w:szCs w:val="24"/>
          <w:lang w:eastAsia="es-CO"/>
        </w:rPr>
        <w:t> </w:t>
      </w:r>
      <w:r w:rsidRPr="00784587">
        <w:rPr>
          <w:rFonts w:eastAsia="Times New Roman" w:cs="Times New Roman"/>
          <w:i/>
          <w:iCs/>
          <w:szCs w:val="24"/>
          <w:lang w:eastAsia="es-CO"/>
        </w:rPr>
        <w:t>Por el cual se reglamentan las condiciones de expedición e interoperabilidad de la factura electrónica con fines de masificación y control fiscal</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szCs w:val="24"/>
          <w:lang w:eastAsia="es-CO"/>
        </w:rPr>
        <w:t> </w:t>
      </w:r>
    </w:p>
    <w:bookmarkStart w:id="13" w:name="_ftn2"/>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szCs w:val="24"/>
          <w:lang w:eastAsia="es-CO"/>
        </w:rPr>
        <w:fldChar w:fldCharType="begin"/>
      </w:r>
      <w:r w:rsidRPr="00784587">
        <w:rPr>
          <w:rFonts w:eastAsia="Times New Roman" w:cs="Times New Roman"/>
          <w:szCs w:val="24"/>
          <w:lang w:eastAsia="es-CO"/>
        </w:rPr>
        <w:instrText xml:space="preserve"> HYPERLINK "https://www.ceta.org.co/html/vista_de_un_documento.asp?DocumentoID=36474" \l "_ftnref2" \o "" </w:instrText>
      </w:r>
      <w:r w:rsidRPr="00784587">
        <w:rPr>
          <w:rFonts w:eastAsia="Times New Roman" w:cs="Times New Roman"/>
          <w:szCs w:val="24"/>
          <w:lang w:eastAsia="es-CO"/>
        </w:rPr>
        <w:fldChar w:fldCharType="separate"/>
      </w:r>
      <w:r w:rsidRPr="00784587">
        <w:rPr>
          <w:rFonts w:eastAsia="Times New Roman" w:cs="Times New Roman"/>
          <w:szCs w:val="24"/>
          <w:lang w:eastAsia="es-CO"/>
        </w:rPr>
        <w:t>[2]</w:t>
      </w:r>
      <w:r w:rsidRPr="00784587">
        <w:rPr>
          <w:rFonts w:eastAsia="Times New Roman" w:cs="Times New Roman"/>
          <w:szCs w:val="24"/>
          <w:lang w:eastAsia="es-CO"/>
        </w:rPr>
        <w:fldChar w:fldCharType="end"/>
      </w:r>
      <w:bookmarkEnd w:id="13"/>
      <w:r w:rsidRPr="00784587">
        <w:rPr>
          <w:rFonts w:eastAsia="Times New Roman" w:cs="Times New Roman"/>
          <w:szCs w:val="24"/>
          <w:lang w:eastAsia="es-CO"/>
        </w:rPr>
        <w:t> </w:t>
      </w:r>
      <w:r w:rsidRPr="00784587">
        <w:rPr>
          <w:rFonts w:eastAsia="Times New Roman" w:cs="Times New Roman"/>
          <w:i/>
          <w:iCs/>
          <w:szCs w:val="24"/>
          <w:lang w:eastAsia="es-CO"/>
        </w:rPr>
        <w:t>Por medio del cual se expide el Decreto Único Reglamentario en materia tributaria.</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szCs w:val="24"/>
          <w:lang w:eastAsia="es-CO"/>
        </w:rPr>
        <w:t> </w:t>
      </w:r>
    </w:p>
    <w:bookmarkStart w:id="14" w:name="_ftn3"/>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szCs w:val="24"/>
          <w:lang w:eastAsia="es-CO"/>
        </w:rPr>
        <w:fldChar w:fldCharType="begin"/>
      </w:r>
      <w:r w:rsidRPr="00784587">
        <w:rPr>
          <w:rFonts w:eastAsia="Times New Roman" w:cs="Times New Roman"/>
          <w:szCs w:val="24"/>
          <w:lang w:eastAsia="es-CO"/>
        </w:rPr>
        <w:instrText xml:space="preserve"> HYPERLINK "https://www.ceta.org.co/html/vista_de_un_documento.asp?DocumentoID=36474" \l "_ftnref3" \o "" </w:instrText>
      </w:r>
      <w:r w:rsidRPr="00784587">
        <w:rPr>
          <w:rFonts w:eastAsia="Times New Roman" w:cs="Times New Roman"/>
          <w:szCs w:val="24"/>
          <w:lang w:eastAsia="es-CO"/>
        </w:rPr>
        <w:fldChar w:fldCharType="separate"/>
      </w:r>
      <w:r w:rsidRPr="00784587">
        <w:rPr>
          <w:rFonts w:eastAsia="Times New Roman" w:cs="Times New Roman"/>
          <w:szCs w:val="24"/>
          <w:lang w:eastAsia="es-CO"/>
        </w:rPr>
        <w:t>[3]</w:t>
      </w:r>
      <w:r w:rsidRPr="00784587">
        <w:rPr>
          <w:rFonts w:eastAsia="Times New Roman" w:cs="Times New Roman"/>
          <w:szCs w:val="24"/>
          <w:lang w:eastAsia="es-CO"/>
        </w:rPr>
        <w:fldChar w:fldCharType="end"/>
      </w:r>
      <w:bookmarkEnd w:id="14"/>
      <w:r w:rsidRPr="00784587">
        <w:rPr>
          <w:rFonts w:eastAsia="Times New Roman" w:cs="Times New Roman"/>
          <w:szCs w:val="24"/>
          <w:lang w:eastAsia="es-CO"/>
        </w:rPr>
        <w:t> </w:t>
      </w:r>
      <w:r w:rsidRPr="00784587">
        <w:rPr>
          <w:rFonts w:eastAsia="Times New Roman" w:cs="Times New Roman"/>
          <w:i/>
          <w:iCs/>
          <w:szCs w:val="24"/>
          <w:lang w:eastAsia="es-CO"/>
        </w:rPr>
        <w:t>Avances en el proceso de implementación de la factura electrónica.</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szCs w:val="24"/>
          <w:lang w:eastAsia="es-CO"/>
        </w:rPr>
        <w:t> </w:t>
      </w:r>
    </w:p>
    <w:bookmarkStart w:id="15" w:name="_ftn4"/>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szCs w:val="24"/>
          <w:lang w:eastAsia="es-CO"/>
        </w:rPr>
        <w:fldChar w:fldCharType="begin"/>
      </w:r>
      <w:r w:rsidRPr="00784587">
        <w:rPr>
          <w:rFonts w:eastAsia="Times New Roman" w:cs="Times New Roman"/>
          <w:szCs w:val="24"/>
          <w:lang w:eastAsia="es-CO"/>
        </w:rPr>
        <w:instrText xml:space="preserve"> HYPERLINK "https://www.ceta.org.co/html/vista_de_un_documento.asp?DocumentoID=36474" \l "_ftnref4" \o "" </w:instrText>
      </w:r>
      <w:r w:rsidRPr="00784587">
        <w:rPr>
          <w:rFonts w:eastAsia="Times New Roman" w:cs="Times New Roman"/>
          <w:szCs w:val="24"/>
          <w:lang w:eastAsia="es-CO"/>
        </w:rPr>
        <w:fldChar w:fldCharType="separate"/>
      </w:r>
      <w:r w:rsidRPr="00784587">
        <w:rPr>
          <w:rFonts w:eastAsia="Times New Roman" w:cs="Times New Roman"/>
          <w:szCs w:val="24"/>
          <w:lang w:eastAsia="es-CO"/>
        </w:rPr>
        <w:t>[4]</w:t>
      </w:r>
      <w:r w:rsidRPr="00784587">
        <w:rPr>
          <w:rFonts w:eastAsia="Times New Roman" w:cs="Times New Roman"/>
          <w:szCs w:val="24"/>
          <w:lang w:eastAsia="es-CO"/>
        </w:rPr>
        <w:fldChar w:fldCharType="end"/>
      </w:r>
      <w:bookmarkEnd w:id="15"/>
      <w:r w:rsidRPr="00784587">
        <w:rPr>
          <w:rFonts w:eastAsia="Times New Roman" w:cs="Times New Roman"/>
          <w:szCs w:val="24"/>
          <w:lang w:eastAsia="es-CO"/>
        </w:rPr>
        <w:t> </w:t>
      </w:r>
      <w:r w:rsidRPr="00784587">
        <w:rPr>
          <w:rFonts w:eastAsia="Times New Roman" w:cs="Times New Roman"/>
          <w:i/>
          <w:iCs/>
          <w:szCs w:val="24"/>
          <w:lang w:eastAsia="es-CO"/>
        </w:rPr>
        <w:t>Implementación de la factura electrónica.</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szCs w:val="24"/>
          <w:lang w:eastAsia="es-CO"/>
        </w:rPr>
        <w:t> </w:t>
      </w:r>
    </w:p>
    <w:bookmarkStart w:id="16" w:name="_ftn5"/>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szCs w:val="24"/>
          <w:lang w:eastAsia="es-CO"/>
        </w:rPr>
        <w:fldChar w:fldCharType="begin"/>
      </w:r>
      <w:r w:rsidRPr="00784587">
        <w:rPr>
          <w:rFonts w:eastAsia="Times New Roman" w:cs="Times New Roman"/>
          <w:szCs w:val="24"/>
          <w:lang w:eastAsia="es-CO"/>
        </w:rPr>
        <w:instrText xml:space="preserve"> HYPERLINK "https://www.ceta.org.co/html/vista_de_un_documento.asp?DocumentoID=36474" \l "_ftnref5" \o "" </w:instrText>
      </w:r>
      <w:r w:rsidRPr="00784587">
        <w:rPr>
          <w:rFonts w:eastAsia="Times New Roman" w:cs="Times New Roman"/>
          <w:szCs w:val="24"/>
          <w:lang w:eastAsia="es-CO"/>
        </w:rPr>
        <w:fldChar w:fldCharType="separate"/>
      </w:r>
      <w:r w:rsidRPr="00784587">
        <w:rPr>
          <w:rFonts w:eastAsia="Times New Roman" w:cs="Times New Roman"/>
          <w:szCs w:val="24"/>
          <w:lang w:eastAsia="es-CO"/>
        </w:rPr>
        <w:t>[5]</w:t>
      </w:r>
      <w:r w:rsidRPr="00784587">
        <w:rPr>
          <w:rFonts w:eastAsia="Times New Roman" w:cs="Times New Roman"/>
          <w:szCs w:val="24"/>
          <w:lang w:eastAsia="es-CO"/>
        </w:rPr>
        <w:fldChar w:fldCharType="end"/>
      </w:r>
      <w:bookmarkEnd w:id="16"/>
      <w:r w:rsidRPr="00784587">
        <w:rPr>
          <w:rFonts w:eastAsia="Times New Roman" w:cs="Times New Roman"/>
          <w:szCs w:val="24"/>
          <w:lang w:eastAsia="es-CO"/>
        </w:rPr>
        <w:t> </w:t>
      </w:r>
      <w:r w:rsidRPr="00784587">
        <w:rPr>
          <w:rFonts w:eastAsia="Times New Roman" w:cs="Times New Roman"/>
          <w:b/>
          <w:bCs/>
          <w:i/>
          <w:iCs/>
          <w:szCs w:val="24"/>
          <w:lang w:eastAsia="es-CO"/>
        </w:rPr>
        <w:t>“ARTÍCULO 13. FLUJO Y PROTECCIÓN DE LOS RECURSOS. </w:t>
      </w:r>
      <w:r w:rsidRPr="00784587">
        <w:rPr>
          <w:rFonts w:eastAsia="Times New Roman" w:cs="Times New Roman"/>
          <w:i/>
          <w:iCs/>
          <w:szCs w:val="24"/>
          <w:lang w:eastAsia="es-CO"/>
        </w:rPr>
        <w:t>Los actores responsables de la administración, flujo y protección de los recursos deberán acogerse a las siguientes normas:</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i/>
          <w:iCs/>
          <w:szCs w:val="24"/>
          <w:lang w:eastAsia="es-CO"/>
        </w:rPr>
        <w:t>(…)</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i/>
          <w:iCs/>
          <w:szCs w:val="24"/>
          <w:lang w:eastAsia="es-CO"/>
        </w:rPr>
        <w:t>Las Entidades Promotoras de Salud EPS de ambos regímenes, pagarán los servicios a los Prestadores de Servicios de salud habilitados, mes anticipado en un 100% si los contratos son por capitación. Si fuesen por otra modalidad, como pago por evento, global prospectivo o grupo diagnóstico se hará como mínimo un pago anticipado del 50% del valor de la factura, dentro de los cinco días posteriores a su presentación. En caso de no presentarse objeción o glosa alguna, el saldo se pagará dentro de los treinta días (30) siguientes a la presentación de la factura, siempre y cuando haya recibido los recursos del ente territorial en el caso del régimen subsidiado. De lo contrario, pagará dentro de los quince (15) días posteriores a la recepción del pago. El Ministerio de la Protección Social reglamentará lo referente a la contratación por capitación, a la forma y los tiempos de presentación, recepción, remisión y revisión de facturas, glosas y respuesta a glosas y pagos e intereses de mora, asegurando que aquellas facturas que presenten glosas queden canceladas dentro de los 60 días posteriores a la presentación de la factura;</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szCs w:val="24"/>
          <w:lang w:eastAsia="es-CO"/>
        </w:rPr>
        <w:t> </w:t>
      </w:r>
    </w:p>
    <w:bookmarkStart w:id="17" w:name="_ftn6"/>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szCs w:val="24"/>
          <w:lang w:eastAsia="es-CO"/>
        </w:rPr>
        <w:fldChar w:fldCharType="begin"/>
      </w:r>
      <w:r w:rsidRPr="00784587">
        <w:rPr>
          <w:rFonts w:eastAsia="Times New Roman" w:cs="Times New Roman"/>
          <w:szCs w:val="24"/>
          <w:lang w:eastAsia="es-CO"/>
        </w:rPr>
        <w:instrText xml:space="preserve"> HYPERLINK "https://www.ceta.org.co/html/vista_de_un_documento.asp?DocumentoID=36474" \l "_ftnref6" \o "" </w:instrText>
      </w:r>
      <w:r w:rsidRPr="00784587">
        <w:rPr>
          <w:rFonts w:eastAsia="Times New Roman" w:cs="Times New Roman"/>
          <w:szCs w:val="24"/>
          <w:lang w:eastAsia="es-CO"/>
        </w:rPr>
        <w:fldChar w:fldCharType="separate"/>
      </w:r>
      <w:r w:rsidRPr="00784587">
        <w:rPr>
          <w:rFonts w:eastAsia="Times New Roman" w:cs="Times New Roman"/>
          <w:szCs w:val="24"/>
          <w:lang w:eastAsia="es-CO"/>
        </w:rPr>
        <w:t>[6]</w:t>
      </w:r>
      <w:r w:rsidRPr="00784587">
        <w:rPr>
          <w:rFonts w:eastAsia="Times New Roman" w:cs="Times New Roman"/>
          <w:szCs w:val="24"/>
          <w:lang w:eastAsia="es-CO"/>
        </w:rPr>
        <w:fldChar w:fldCharType="end"/>
      </w:r>
      <w:bookmarkEnd w:id="17"/>
      <w:r w:rsidRPr="00784587">
        <w:rPr>
          <w:rFonts w:eastAsia="Times New Roman" w:cs="Times New Roman"/>
          <w:szCs w:val="24"/>
          <w:lang w:eastAsia="es-CO"/>
        </w:rPr>
        <w:t> </w:t>
      </w:r>
      <w:r w:rsidRPr="00784587">
        <w:rPr>
          <w:rFonts w:eastAsia="Times New Roman" w:cs="Times New Roman"/>
          <w:i/>
          <w:iCs/>
          <w:szCs w:val="24"/>
          <w:lang w:eastAsia="es-CO"/>
        </w:rPr>
        <w:t>Por la cual se hacen algunas modificaciones en el Sistema General de Seguridad Social en Salud y se dictan otras disposiciones.</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szCs w:val="24"/>
          <w:lang w:eastAsia="es-CO"/>
        </w:rPr>
        <w:t> </w:t>
      </w:r>
    </w:p>
    <w:bookmarkStart w:id="18" w:name="_ftn7"/>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szCs w:val="24"/>
          <w:lang w:eastAsia="es-CO"/>
        </w:rPr>
        <w:fldChar w:fldCharType="begin"/>
      </w:r>
      <w:r w:rsidRPr="00784587">
        <w:rPr>
          <w:rFonts w:eastAsia="Times New Roman" w:cs="Times New Roman"/>
          <w:szCs w:val="24"/>
          <w:lang w:eastAsia="es-CO"/>
        </w:rPr>
        <w:instrText xml:space="preserve"> HYPERLINK "https://www.ceta.org.co/html/vista_de_un_documento.asp?DocumentoID=36474" \l "_ftnref7" \o "" </w:instrText>
      </w:r>
      <w:r w:rsidRPr="00784587">
        <w:rPr>
          <w:rFonts w:eastAsia="Times New Roman" w:cs="Times New Roman"/>
          <w:szCs w:val="24"/>
          <w:lang w:eastAsia="es-CO"/>
        </w:rPr>
        <w:fldChar w:fldCharType="separate"/>
      </w:r>
      <w:r w:rsidRPr="00784587">
        <w:rPr>
          <w:rFonts w:eastAsia="Times New Roman" w:cs="Times New Roman"/>
          <w:szCs w:val="24"/>
          <w:lang w:eastAsia="es-CO"/>
        </w:rPr>
        <w:t>[7]</w:t>
      </w:r>
      <w:r w:rsidRPr="00784587">
        <w:rPr>
          <w:rFonts w:eastAsia="Times New Roman" w:cs="Times New Roman"/>
          <w:szCs w:val="24"/>
          <w:lang w:eastAsia="es-CO"/>
        </w:rPr>
        <w:fldChar w:fldCharType="end"/>
      </w:r>
      <w:bookmarkEnd w:id="18"/>
      <w:r w:rsidRPr="00784587">
        <w:rPr>
          <w:rFonts w:eastAsia="Times New Roman" w:cs="Times New Roman"/>
          <w:szCs w:val="24"/>
          <w:lang w:eastAsia="es-CO"/>
        </w:rPr>
        <w:t> </w:t>
      </w:r>
      <w:r w:rsidRPr="00784587">
        <w:rPr>
          <w:rFonts w:eastAsia="Times New Roman" w:cs="Times New Roman"/>
          <w:i/>
          <w:iCs/>
          <w:szCs w:val="24"/>
          <w:lang w:eastAsia="es-CO"/>
        </w:rPr>
        <w:t>Por medio de la cual se definen los formatos, mecanismos de envío, procedimientos y términos a ser implementados en las relaciones entre prestadores de servicios de salud y entidades responsables del pago de servicios de salud, definidos en el Decreto 4747 de 2007</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szCs w:val="24"/>
          <w:lang w:eastAsia="es-CO"/>
        </w:rPr>
        <w:t> </w:t>
      </w:r>
    </w:p>
    <w:bookmarkStart w:id="19" w:name="_ftn8"/>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szCs w:val="24"/>
          <w:lang w:eastAsia="es-CO"/>
        </w:rPr>
        <w:fldChar w:fldCharType="begin"/>
      </w:r>
      <w:r w:rsidRPr="00784587">
        <w:rPr>
          <w:rFonts w:eastAsia="Times New Roman" w:cs="Times New Roman"/>
          <w:szCs w:val="24"/>
          <w:lang w:eastAsia="es-CO"/>
        </w:rPr>
        <w:instrText xml:space="preserve"> HYPERLINK "https://www.ceta.org.co/html/vista_de_un_documento.asp?DocumentoID=36474" \l "_ftnref8" \o "" </w:instrText>
      </w:r>
      <w:r w:rsidRPr="00784587">
        <w:rPr>
          <w:rFonts w:eastAsia="Times New Roman" w:cs="Times New Roman"/>
          <w:szCs w:val="24"/>
          <w:lang w:eastAsia="es-CO"/>
        </w:rPr>
        <w:fldChar w:fldCharType="separate"/>
      </w:r>
      <w:r w:rsidRPr="00784587">
        <w:rPr>
          <w:rFonts w:eastAsia="Times New Roman" w:cs="Times New Roman"/>
          <w:szCs w:val="24"/>
          <w:lang w:eastAsia="es-CO"/>
        </w:rPr>
        <w:t>[8]</w:t>
      </w:r>
      <w:r w:rsidRPr="00784587">
        <w:rPr>
          <w:rFonts w:eastAsia="Times New Roman" w:cs="Times New Roman"/>
          <w:szCs w:val="24"/>
          <w:lang w:eastAsia="es-CO"/>
        </w:rPr>
        <w:fldChar w:fldCharType="end"/>
      </w:r>
      <w:bookmarkEnd w:id="19"/>
      <w:r w:rsidRPr="00784587">
        <w:rPr>
          <w:rFonts w:eastAsia="Times New Roman" w:cs="Times New Roman"/>
          <w:szCs w:val="24"/>
          <w:lang w:eastAsia="es-CO"/>
        </w:rPr>
        <w:t> </w:t>
      </w:r>
      <w:r w:rsidRPr="00784587">
        <w:rPr>
          <w:rFonts w:eastAsia="Times New Roman" w:cs="Times New Roman"/>
          <w:i/>
          <w:iCs/>
          <w:szCs w:val="24"/>
          <w:lang w:eastAsia="es-CO"/>
        </w:rPr>
        <w:t>Por medio de la cual se realizan unas modificaciones a la Resolución 3047 de 2008 y se dictan otras disposiciones</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i/>
          <w:iCs/>
          <w:szCs w:val="24"/>
          <w:lang w:eastAsia="es-CO"/>
        </w:rPr>
        <w:t> </w:t>
      </w:r>
    </w:p>
    <w:bookmarkStart w:id="20" w:name="_ftn9"/>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szCs w:val="24"/>
          <w:lang w:eastAsia="es-CO"/>
        </w:rPr>
        <w:fldChar w:fldCharType="begin"/>
      </w:r>
      <w:r w:rsidRPr="00784587">
        <w:rPr>
          <w:rFonts w:eastAsia="Times New Roman" w:cs="Times New Roman"/>
          <w:szCs w:val="24"/>
          <w:lang w:eastAsia="es-CO"/>
        </w:rPr>
        <w:instrText xml:space="preserve"> HYPERLINK "https://www.ceta.org.co/html/vista_de_un_documento.asp?DocumentoID=36474" \l "_ftnref9" \o "" </w:instrText>
      </w:r>
      <w:r w:rsidRPr="00784587">
        <w:rPr>
          <w:rFonts w:eastAsia="Times New Roman" w:cs="Times New Roman"/>
          <w:szCs w:val="24"/>
          <w:lang w:eastAsia="es-CO"/>
        </w:rPr>
        <w:fldChar w:fldCharType="separate"/>
      </w:r>
      <w:r w:rsidRPr="00784587">
        <w:rPr>
          <w:rFonts w:eastAsia="Times New Roman" w:cs="Times New Roman"/>
          <w:szCs w:val="24"/>
          <w:lang w:eastAsia="es-CO"/>
        </w:rPr>
        <w:t>[9]</w:t>
      </w:r>
      <w:r w:rsidRPr="00784587">
        <w:rPr>
          <w:rFonts w:eastAsia="Times New Roman" w:cs="Times New Roman"/>
          <w:szCs w:val="24"/>
          <w:lang w:eastAsia="es-CO"/>
        </w:rPr>
        <w:fldChar w:fldCharType="end"/>
      </w:r>
      <w:bookmarkEnd w:id="20"/>
      <w:r w:rsidRPr="00784587">
        <w:rPr>
          <w:rFonts w:eastAsia="Times New Roman" w:cs="Times New Roman"/>
          <w:szCs w:val="24"/>
          <w:lang w:eastAsia="es-CO"/>
        </w:rPr>
        <w:t> </w:t>
      </w:r>
      <w:r w:rsidRPr="00784587">
        <w:rPr>
          <w:rFonts w:eastAsia="Times New Roman" w:cs="Times New Roman"/>
          <w:i/>
          <w:iCs/>
          <w:szCs w:val="24"/>
          <w:lang w:eastAsia="es-CO"/>
        </w:rPr>
        <w:t>Por medio de la cual se adiciona y modifica parcialmente la Resolución 3047 de 2008, modificada por la Resolución 416 de 2009</w:t>
      </w:r>
    </w:p>
    <w:p w:rsidR="00784587" w:rsidRPr="00784587" w:rsidRDefault="00784587" w:rsidP="00784587">
      <w:pPr>
        <w:spacing w:after="0" w:line="240" w:lineRule="auto"/>
        <w:jc w:val="both"/>
        <w:rPr>
          <w:rFonts w:eastAsia="Times New Roman" w:cs="Times New Roman"/>
          <w:szCs w:val="24"/>
          <w:lang w:eastAsia="es-CO"/>
        </w:rPr>
      </w:pPr>
      <w:r w:rsidRPr="00784587">
        <w:rPr>
          <w:rFonts w:eastAsia="Times New Roman" w:cs="Times New Roman"/>
          <w:szCs w:val="24"/>
          <w:lang w:eastAsia="es-CO"/>
        </w:rPr>
        <w:t> </w:t>
      </w:r>
    </w:p>
    <w:p w:rsidR="00730617" w:rsidRPr="00784587" w:rsidRDefault="00EC22F2">
      <w:pPr>
        <w:rPr>
          <w:rFonts w:cs="Times New Roman"/>
          <w:i/>
          <w:iCs/>
          <w:szCs w:val="24"/>
          <w:shd w:val="clear" w:color="auto" w:fill="FFFFFF"/>
        </w:rPr>
      </w:pPr>
      <w:hyperlink r:id="rId4" w:anchor="_ftnref10" w:history="1">
        <w:r w:rsidR="00784587" w:rsidRPr="00784587">
          <w:rPr>
            <w:rStyle w:val="Refdenotaalpie"/>
            <w:rFonts w:cs="Times New Roman"/>
            <w:szCs w:val="24"/>
            <w:shd w:val="clear" w:color="auto" w:fill="FFFFFF"/>
          </w:rPr>
          <w:t>[10]</w:t>
        </w:r>
      </w:hyperlink>
      <w:bookmarkEnd w:id="0"/>
      <w:r w:rsidR="00784587" w:rsidRPr="00784587">
        <w:rPr>
          <w:rFonts w:cs="Times New Roman"/>
          <w:szCs w:val="24"/>
          <w:shd w:val="clear" w:color="auto" w:fill="FFFFFF"/>
        </w:rPr>
        <w:t> </w:t>
      </w:r>
      <w:r w:rsidR="00784587" w:rsidRPr="00784587">
        <w:rPr>
          <w:rFonts w:cs="Times New Roman"/>
          <w:i/>
          <w:iCs/>
          <w:szCs w:val="24"/>
          <w:shd w:val="clear" w:color="auto" w:fill="FFFFFF"/>
        </w:rPr>
        <w:t>Por medio de la cual se regula el derecho fundamental de petición y se sustituye el Título del Código de Procedimiento Administrativo y de lo Contencioso Administrativo.</w:t>
      </w:r>
    </w:p>
    <w:p w:rsidR="00784587" w:rsidRPr="00784587" w:rsidRDefault="00784587">
      <w:pPr>
        <w:rPr>
          <w:rFonts w:cs="Times New Roman"/>
          <w:szCs w:val="24"/>
        </w:rPr>
      </w:pPr>
      <w:r w:rsidRPr="00784587">
        <w:rPr>
          <w:rFonts w:cs="Times New Roman"/>
          <w:i/>
          <w:iCs/>
          <w:szCs w:val="24"/>
          <w:shd w:val="clear" w:color="auto" w:fill="FFFFFF"/>
        </w:rPr>
        <w:t>_________________________________________________________________________________________________________</w:t>
      </w:r>
    </w:p>
    <w:sectPr w:rsidR="00784587" w:rsidRPr="0078458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87"/>
    <w:rsid w:val="00730617"/>
    <w:rsid w:val="00784587"/>
    <w:rsid w:val="00A45230"/>
    <w:rsid w:val="00EC22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DAAA"/>
  <w15:chartTrackingRefBased/>
  <w15:docId w15:val="{8CE4A076-24CC-43E2-8516-EDA2F7DE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sid w:val="00784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281196">
      <w:bodyDiv w:val="1"/>
      <w:marLeft w:val="0"/>
      <w:marRight w:val="0"/>
      <w:marTop w:val="0"/>
      <w:marBottom w:val="0"/>
      <w:divBdr>
        <w:top w:val="none" w:sz="0" w:space="0" w:color="auto"/>
        <w:left w:val="none" w:sz="0" w:space="0" w:color="auto"/>
        <w:bottom w:val="none" w:sz="0" w:space="0" w:color="auto"/>
        <w:right w:val="none" w:sz="0" w:space="0" w:color="auto"/>
      </w:divBdr>
      <w:divsChild>
        <w:div w:id="1707636065">
          <w:marLeft w:val="0"/>
          <w:marRight w:val="0"/>
          <w:marTop w:val="0"/>
          <w:marBottom w:val="0"/>
          <w:divBdr>
            <w:top w:val="none" w:sz="0" w:space="0" w:color="auto"/>
            <w:left w:val="none" w:sz="0" w:space="0" w:color="auto"/>
            <w:bottom w:val="none" w:sz="0" w:space="0" w:color="auto"/>
            <w:right w:val="none" w:sz="0" w:space="0" w:color="auto"/>
          </w:divBdr>
        </w:div>
        <w:div w:id="1001081340">
          <w:marLeft w:val="0"/>
          <w:marRight w:val="0"/>
          <w:marTop w:val="0"/>
          <w:marBottom w:val="0"/>
          <w:divBdr>
            <w:top w:val="none" w:sz="0" w:space="0" w:color="auto"/>
            <w:left w:val="none" w:sz="0" w:space="0" w:color="auto"/>
            <w:bottom w:val="none" w:sz="0" w:space="0" w:color="auto"/>
            <w:right w:val="none" w:sz="0" w:space="0" w:color="auto"/>
          </w:divBdr>
        </w:div>
        <w:div w:id="1802651943">
          <w:marLeft w:val="0"/>
          <w:marRight w:val="0"/>
          <w:marTop w:val="0"/>
          <w:marBottom w:val="0"/>
          <w:divBdr>
            <w:top w:val="none" w:sz="0" w:space="0" w:color="auto"/>
            <w:left w:val="none" w:sz="0" w:space="0" w:color="auto"/>
            <w:bottom w:val="none" w:sz="0" w:space="0" w:color="auto"/>
            <w:right w:val="none" w:sz="0" w:space="0" w:color="auto"/>
          </w:divBdr>
        </w:div>
        <w:div w:id="1931818028">
          <w:marLeft w:val="0"/>
          <w:marRight w:val="0"/>
          <w:marTop w:val="0"/>
          <w:marBottom w:val="0"/>
          <w:divBdr>
            <w:top w:val="none" w:sz="0" w:space="0" w:color="auto"/>
            <w:left w:val="none" w:sz="0" w:space="0" w:color="auto"/>
            <w:bottom w:val="none" w:sz="0" w:space="0" w:color="auto"/>
            <w:right w:val="none" w:sz="0" w:space="0" w:color="auto"/>
          </w:divBdr>
        </w:div>
        <w:div w:id="65231513">
          <w:marLeft w:val="0"/>
          <w:marRight w:val="0"/>
          <w:marTop w:val="0"/>
          <w:marBottom w:val="0"/>
          <w:divBdr>
            <w:top w:val="none" w:sz="0" w:space="0" w:color="auto"/>
            <w:left w:val="none" w:sz="0" w:space="0" w:color="auto"/>
            <w:bottom w:val="none" w:sz="0" w:space="0" w:color="auto"/>
            <w:right w:val="none" w:sz="0" w:space="0" w:color="auto"/>
          </w:divBdr>
        </w:div>
        <w:div w:id="1188641471">
          <w:marLeft w:val="0"/>
          <w:marRight w:val="0"/>
          <w:marTop w:val="0"/>
          <w:marBottom w:val="0"/>
          <w:divBdr>
            <w:top w:val="none" w:sz="0" w:space="0" w:color="auto"/>
            <w:left w:val="none" w:sz="0" w:space="0" w:color="auto"/>
            <w:bottom w:val="none" w:sz="0" w:space="0" w:color="auto"/>
            <w:right w:val="none" w:sz="0" w:space="0" w:color="auto"/>
          </w:divBdr>
        </w:div>
        <w:div w:id="1061711736">
          <w:marLeft w:val="0"/>
          <w:marRight w:val="0"/>
          <w:marTop w:val="0"/>
          <w:marBottom w:val="0"/>
          <w:divBdr>
            <w:top w:val="none" w:sz="0" w:space="0" w:color="auto"/>
            <w:left w:val="none" w:sz="0" w:space="0" w:color="auto"/>
            <w:bottom w:val="none" w:sz="0" w:space="0" w:color="auto"/>
            <w:right w:val="none" w:sz="0" w:space="0" w:color="auto"/>
          </w:divBdr>
        </w:div>
        <w:div w:id="1771508043">
          <w:marLeft w:val="0"/>
          <w:marRight w:val="0"/>
          <w:marTop w:val="0"/>
          <w:marBottom w:val="0"/>
          <w:divBdr>
            <w:top w:val="none" w:sz="0" w:space="0" w:color="auto"/>
            <w:left w:val="none" w:sz="0" w:space="0" w:color="auto"/>
            <w:bottom w:val="none" w:sz="0" w:space="0" w:color="auto"/>
            <w:right w:val="none" w:sz="0" w:space="0" w:color="auto"/>
          </w:divBdr>
        </w:div>
        <w:div w:id="1818105509">
          <w:marLeft w:val="0"/>
          <w:marRight w:val="0"/>
          <w:marTop w:val="0"/>
          <w:marBottom w:val="0"/>
          <w:divBdr>
            <w:top w:val="none" w:sz="0" w:space="0" w:color="auto"/>
            <w:left w:val="none" w:sz="0" w:space="0" w:color="auto"/>
            <w:bottom w:val="none" w:sz="0" w:space="0" w:color="auto"/>
            <w:right w:val="none" w:sz="0" w:space="0" w:color="auto"/>
          </w:divBdr>
        </w:div>
      </w:divsChild>
    </w:div>
    <w:div w:id="1701196878">
      <w:bodyDiv w:val="1"/>
      <w:marLeft w:val="0"/>
      <w:marRight w:val="0"/>
      <w:marTop w:val="0"/>
      <w:marBottom w:val="0"/>
      <w:divBdr>
        <w:top w:val="none" w:sz="0" w:space="0" w:color="auto"/>
        <w:left w:val="none" w:sz="0" w:space="0" w:color="auto"/>
        <w:bottom w:val="none" w:sz="0" w:space="0" w:color="auto"/>
        <w:right w:val="none" w:sz="0" w:space="0" w:color="auto"/>
      </w:divBdr>
      <w:divsChild>
        <w:div w:id="2058704076">
          <w:marLeft w:val="0"/>
          <w:marRight w:val="0"/>
          <w:marTop w:val="0"/>
          <w:marBottom w:val="0"/>
          <w:divBdr>
            <w:top w:val="none" w:sz="0" w:space="0" w:color="auto"/>
            <w:left w:val="none" w:sz="0" w:space="0" w:color="auto"/>
            <w:bottom w:val="none" w:sz="0" w:space="0" w:color="auto"/>
            <w:right w:val="none" w:sz="0" w:space="0" w:color="auto"/>
          </w:divBdr>
          <w:divsChild>
            <w:div w:id="665018662">
              <w:marLeft w:val="0"/>
              <w:marRight w:val="0"/>
              <w:marTop w:val="0"/>
              <w:marBottom w:val="0"/>
              <w:divBdr>
                <w:top w:val="none" w:sz="0" w:space="0" w:color="auto"/>
                <w:left w:val="none" w:sz="0" w:space="0" w:color="auto"/>
                <w:bottom w:val="none" w:sz="0" w:space="0" w:color="auto"/>
                <w:right w:val="none" w:sz="0" w:space="0" w:color="auto"/>
              </w:divBdr>
            </w:div>
            <w:div w:id="30107157">
              <w:marLeft w:val="0"/>
              <w:marRight w:val="0"/>
              <w:marTop w:val="0"/>
              <w:marBottom w:val="0"/>
              <w:divBdr>
                <w:top w:val="none" w:sz="0" w:space="0" w:color="auto"/>
                <w:left w:val="none" w:sz="0" w:space="0" w:color="auto"/>
                <w:bottom w:val="none" w:sz="0" w:space="0" w:color="auto"/>
                <w:right w:val="none" w:sz="0" w:space="0" w:color="auto"/>
              </w:divBdr>
            </w:div>
            <w:div w:id="1779713155">
              <w:marLeft w:val="0"/>
              <w:marRight w:val="0"/>
              <w:marTop w:val="0"/>
              <w:marBottom w:val="0"/>
              <w:divBdr>
                <w:top w:val="none" w:sz="0" w:space="0" w:color="auto"/>
                <w:left w:val="none" w:sz="0" w:space="0" w:color="auto"/>
                <w:bottom w:val="none" w:sz="0" w:space="0" w:color="auto"/>
                <w:right w:val="none" w:sz="0" w:space="0" w:color="auto"/>
              </w:divBdr>
            </w:div>
            <w:div w:id="2059086167">
              <w:marLeft w:val="0"/>
              <w:marRight w:val="0"/>
              <w:marTop w:val="0"/>
              <w:marBottom w:val="0"/>
              <w:divBdr>
                <w:top w:val="none" w:sz="0" w:space="0" w:color="auto"/>
                <w:left w:val="none" w:sz="0" w:space="0" w:color="auto"/>
                <w:bottom w:val="none" w:sz="0" w:space="0" w:color="auto"/>
                <w:right w:val="none" w:sz="0" w:space="0" w:color="auto"/>
              </w:divBdr>
            </w:div>
            <w:div w:id="352802571">
              <w:marLeft w:val="0"/>
              <w:marRight w:val="0"/>
              <w:marTop w:val="0"/>
              <w:marBottom w:val="0"/>
              <w:divBdr>
                <w:top w:val="none" w:sz="0" w:space="0" w:color="auto"/>
                <w:left w:val="none" w:sz="0" w:space="0" w:color="auto"/>
                <w:bottom w:val="none" w:sz="0" w:space="0" w:color="auto"/>
                <w:right w:val="none" w:sz="0" w:space="0" w:color="auto"/>
              </w:divBdr>
            </w:div>
            <w:div w:id="1924147353">
              <w:marLeft w:val="0"/>
              <w:marRight w:val="0"/>
              <w:marTop w:val="0"/>
              <w:marBottom w:val="0"/>
              <w:divBdr>
                <w:top w:val="none" w:sz="0" w:space="0" w:color="auto"/>
                <w:left w:val="none" w:sz="0" w:space="0" w:color="auto"/>
                <w:bottom w:val="none" w:sz="0" w:space="0" w:color="auto"/>
                <w:right w:val="none" w:sz="0" w:space="0" w:color="auto"/>
              </w:divBdr>
            </w:div>
            <w:div w:id="2073963878">
              <w:marLeft w:val="0"/>
              <w:marRight w:val="0"/>
              <w:marTop w:val="0"/>
              <w:marBottom w:val="0"/>
              <w:divBdr>
                <w:top w:val="none" w:sz="0" w:space="0" w:color="auto"/>
                <w:left w:val="none" w:sz="0" w:space="0" w:color="auto"/>
                <w:bottom w:val="none" w:sz="0" w:space="0" w:color="auto"/>
                <w:right w:val="none" w:sz="0" w:space="0" w:color="auto"/>
              </w:divBdr>
            </w:div>
            <w:div w:id="729424244">
              <w:marLeft w:val="0"/>
              <w:marRight w:val="0"/>
              <w:marTop w:val="0"/>
              <w:marBottom w:val="0"/>
              <w:divBdr>
                <w:top w:val="none" w:sz="0" w:space="0" w:color="auto"/>
                <w:left w:val="none" w:sz="0" w:space="0" w:color="auto"/>
                <w:bottom w:val="none" w:sz="0" w:space="0" w:color="auto"/>
                <w:right w:val="none" w:sz="0" w:space="0" w:color="auto"/>
              </w:divBdr>
            </w:div>
            <w:div w:id="1812745916">
              <w:marLeft w:val="0"/>
              <w:marRight w:val="0"/>
              <w:marTop w:val="0"/>
              <w:marBottom w:val="0"/>
              <w:divBdr>
                <w:top w:val="none" w:sz="0" w:space="0" w:color="auto"/>
                <w:left w:val="none" w:sz="0" w:space="0" w:color="auto"/>
                <w:bottom w:val="none" w:sz="0" w:space="0" w:color="auto"/>
                <w:right w:val="none" w:sz="0" w:space="0" w:color="auto"/>
              </w:divBdr>
            </w:div>
            <w:div w:id="64855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eta.org.co/html/vista_de_un_documento.asp?DocumentoID=3647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2240</Words>
  <Characters>12322</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2019-05-17T02:39:00Z</dcterms:created>
  <dcterms:modified xsi:type="dcterms:W3CDTF">2019-06-09T21:17:00Z</dcterms:modified>
</cp:coreProperties>
</file>