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4A" w:rsidRPr="0030404A" w:rsidRDefault="0030404A" w:rsidP="0030404A">
      <w:pPr>
        <w:shd w:val="clear" w:color="auto" w:fill="FFFFFF"/>
        <w:spacing w:line="240" w:lineRule="auto"/>
        <w:jc w:val="center"/>
        <w:rPr>
          <w:rFonts w:eastAsia="Times New Roman" w:cs="Times New Roman"/>
          <w:szCs w:val="24"/>
          <w:lang w:eastAsia="es-CO"/>
        </w:rPr>
      </w:pPr>
      <w:r w:rsidRPr="0030404A">
        <w:rPr>
          <w:rFonts w:eastAsia="Times New Roman" w:cs="Times New Roman"/>
          <w:b/>
          <w:bCs/>
          <w:szCs w:val="24"/>
          <w:lang w:eastAsia="es-CO"/>
        </w:rPr>
        <w:t>OFICIO Nº 899 [900749]</w:t>
      </w:r>
    </w:p>
    <w:p w:rsidR="0030404A" w:rsidRPr="0030404A" w:rsidRDefault="0030404A" w:rsidP="0030404A">
      <w:pPr>
        <w:shd w:val="clear" w:color="auto" w:fill="FFFFFF"/>
        <w:spacing w:line="240" w:lineRule="auto"/>
        <w:jc w:val="center"/>
        <w:rPr>
          <w:rFonts w:eastAsia="Times New Roman" w:cs="Times New Roman"/>
          <w:szCs w:val="24"/>
          <w:lang w:eastAsia="es-CO"/>
        </w:rPr>
      </w:pPr>
      <w:r w:rsidRPr="0030404A">
        <w:rPr>
          <w:rFonts w:eastAsia="Times New Roman" w:cs="Times New Roman"/>
          <w:b/>
          <w:bCs/>
          <w:szCs w:val="24"/>
          <w:lang w:eastAsia="es-CO"/>
        </w:rPr>
        <w:t>15-04-2019</w:t>
      </w:r>
    </w:p>
    <w:p w:rsidR="0030404A" w:rsidRPr="0030404A" w:rsidRDefault="0030404A" w:rsidP="0030404A">
      <w:pPr>
        <w:shd w:val="clear" w:color="auto" w:fill="FFFFFF"/>
        <w:spacing w:line="240" w:lineRule="auto"/>
        <w:jc w:val="center"/>
        <w:rPr>
          <w:rFonts w:eastAsia="Times New Roman" w:cs="Times New Roman"/>
          <w:szCs w:val="24"/>
          <w:lang w:eastAsia="es-CO"/>
        </w:rPr>
      </w:pPr>
      <w:r w:rsidRPr="0030404A">
        <w:rPr>
          <w:rFonts w:eastAsia="Times New Roman" w:cs="Times New Roman"/>
          <w:b/>
          <w:bCs/>
          <w:szCs w:val="24"/>
          <w:lang w:eastAsia="es-CO"/>
        </w:rPr>
        <w:t>DIAN</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b/>
          <w:bCs/>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b/>
          <w:bCs/>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Subdirección de Gestión Normativa y Doctrina</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Bogotá, D.C.</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1002082214 – 00899</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proofErr w:type="spellStart"/>
      <w:r w:rsidRPr="0030404A">
        <w:rPr>
          <w:rFonts w:eastAsia="Times New Roman" w:cs="Times New Roman"/>
          <w:b/>
          <w:bCs/>
          <w:szCs w:val="24"/>
          <w:lang w:eastAsia="es-CO"/>
        </w:rPr>
        <w:t>Ref</w:t>
      </w:r>
      <w:proofErr w:type="spellEnd"/>
      <w:r w:rsidRPr="0030404A">
        <w:rPr>
          <w:rFonts w:eastAsia="Times New Roman" w:cs="Times New Roman"/>
          <w:b/>
          <w:bCs/>
          <w:szCs w:val="24"/>
          <w:lang w:eastAsia="es-CO"/>
        </w:rPr>
        <w:t>: </w:t>
      </w:r>
      <w:r w:rsidRPr="0030404A">
        <w:rPr>
          <w:rFonts w:eastAsia="Times New Roman" w:cs="Times New Roman"/>
          <w:szCs w:val="24"/>
          <w:lang w:eastAsia="es-CO"/>
        </w:rPr>
        <w:t>Radicado 100016017 del 11/03/2019</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89"/>
      </w:tblGrid>
      <w:tr w:rsidR="0030404A" w:rsidRPr="0030404A" w:rsidTr="0030404A">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szCs w:val="24"/>
                <w:lang w:eastAsia="es-CO"/>
              </w:rPr>
              <w:t>Impuesto sobre la Renta y Complementarios</w:t>
            </w:r>
          </w:p>
        </w:tc>
      </w:tr>
      <w:tr w:rsidR="0030404A" w:rsidRPr="0030404A" w:rsidTr="0030404A">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szCs w:val="24"/>
                <w:lang w:eastAsia="es-CO"/>
              </w:rPr>
              <w:t>Fiducia Civil</w:t>
            </w:r>
          </w:p>
        </w:tc>
      </w:tr>
      <w:tr w:rsidR="0030404A" w:rsidRPr="0030404A" w:rsidTr="0030404A">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0404A" w:rsidRPr="0030404A" w:rsidRDefault="0030404A" w:rsidP="0030404A">
            <w:pPr>
              <w:spacing w:line="240" w:lineRule="auto"/>
              <w:rPr>
                <w:rFonts w:eastAsia="Times New Roman" w:cs="Times New Roman"/>
                <w:szCs w:val="24"/>
                <w:lang w:eastAsia="es-CO"/>
              </w:rPr>
            </w:pPr>
            <w:r w:rsidRPr="0030404A">
              <w:rPr>
                <w:rFonts w:eastAsia="Times New Roman" w:cs="Times New Roman"/>
                <w:szCs w:val="24"/>
                <w:lang w:eastAsia="es-CO"/>
              </w:rPr>
              <w:t>Artículos 794, 795 y 822 del Código Civil.</w:t>
            </w:r>
          </w:p>
          <w:p w:rsidR="0030404A" w:rsidRPr="0030404A" w:rsidRDefault="0030404A" w:rsidP="0030404A">
            <w:pPr>
              <w:spacing w:line="240" w:lineRule="auto"/>
              <w:rPr>
                <w:rFonts w:eastAsia="Times New Roman" w:cs="Times New Roman"/>
                <w:szCs w:val="24"/>
                <w:lang w:eastAsia="es-CO"/>
              </w:rPr>
            </w:pPr>
            <w:hyperlink r:id="rId4" w:tooltip="Estatuto Tributario CETA" w:history="1">
              <w:r w:rsidRPr="0030404A">
                <w:rPr>
                  <w:rFonts w:eastAsia="Times New Roman" w:cs="Times New Roman"/>
                  <w:szCs w:val="24"/>
                  <w:u w:val="single"/>
                  <w:lang w:eastAsia="es-CO"/>
                </w:rPr>
                <w:t>Artículo 26</w:t>
              </w:r>
            </w:hyperlink>
            <w:r w:rsidRPr="0030404A">
              <w:rPr>
                <w:rFonts w:eastAsia="Times New Roman" w:cs="Times New Roman"/>
                <w:szCs w:val="24"/>
                <w:lang w:eastAsia="es-CO"/>
              </w:rPr>
              <w:t> Estatuto Tributario.</w:t>
            </w:r>
          </w:p>
        </w:tc>
      </w:tr>
    </w:tbl>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xml:space="preserve">Cordial saludo, Señor </w:t>
      </w:r>
      <w:proofErr w:type="spellStart"/>
      <w:r w:rsidRPr="0030404A">
        <w:rPr>
          <w:rFonts w:eastAsia="Times New Roman" w:cs="Times New Roman"/>
          <w:szCs w:val="24"/>
          <w:lang w:eastAsia="es-CO"/>
        </w:rPr>
        <w:t>Olivella</w:t>
      </w:r>
      <w:proofErr w:type="spellEnd"/>
      <w:r w:rsidRPr="0030404A">
        <w:rPr>
          <w:rFonts w:eastAsia="Times New Roman" w:cs="Times New Roman"/>
          <w:szCs w:val="24"/>
          <w:lang w:eastAsia="es-CO"/>
        </w:rPr>
        <w:t>:</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En atención a la consulta, en la que solicita:</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i/>
          <w:iCs/>
          <w:szCs w:val="24"/>
          <w:u w:val="single"/>
          <w:lang w:eastAsia="es-CO"/>
        </w:rPr>
        <w:t xml:space="preserve">1. ¿Cuál es el tratamiento tributario aplicables a la propiedad fiduciaria cuando el constituyente y el fiduciario son la misma persona? Lo anterior, en la medida en que se entiende que no existe una transferencia de la propiedad sobre el bien fideicomisito puesto que este </w:t>
      </w:r>
      <w:proofErr w:type="spellStart"/>
      <w:r w:rsidRPr="0030404A">
        <w:rPr>
          <w:rFonts w:eastAsia="Times New Roman" w:cs="Times New Roman"/>
          <w:i/>
          <w:iCs/>
          <w:szCs w:val="24"/>
          <w:u w:val="single"/>
          <w:lang w:eastAsia="es-CO"/>
        </w:rPr>
        <w:t>permanence</w:t>
      </w:r>
      <w:proofErr w:type="spellEnd"/>
      <w:r w:rsidRPr="0030404A">
        <w:rPr>
          <w:rFonts w:eastAsia="Times New Roman" w:cs="Times New Roman"/>
          <w:i/>
          <w:iCs/>
          <w:szCs w:val="24"/>
          <w:u w:val="single"/>
          <w:lang w:eastAsia="es-CO"/>
        </w:rPr>
        <w:t xml:space="preserve"> (sic) dentro del patrimonio del mismo constituyente hasta que se cumpla la condición dispuesta para la transferencia de los bienes al fideicomisario o beneficiario</w:t>
      </w:r>
      <w:r w:rsidRPr="0030404A">
        <w:rPr>
          <w:rFonts w:eastAsia="Times New Roman" w:cs="Times New Roman"/>
          <w:i/>
          <w:iCs/>
          <w:szCs w:val="24"/>
          <w:lang w:eastAsia="es-CO"/>
        </w:rPr>
        <w:t>.</w:t>
      </w:r>
    </w:p>
    <w:p w:rsidR="0030404A" w:rsidRDefault="0030404A" w:rsidP="0030404A">
      <w:pPr>
        <w:shd w:val="clear" w:color="auto" w:fill="FFFFFF"/>
        <w:spacing w:line="240" w:lineRule="auto"/>
        <w:rPr>
          <w:rFonts w:eastAsia="Times New Roman" w:cs="Times New Roman"/>
          <w:i/>
          <w:iCs/>
          <w:szCs w:val="24"/>
          <w:u w:val="single"/>
          <w:lang w:eastAsia="es-CO"/>
        </w:rPr>
      </w:pP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i/>
          <w:iCs/>
          <w:szCs w:val="24"/>
          <w:u w:val="single"/>
          <w:lang w:eastAsia="es-CO"/>
        </w:rPr>
        <w:t xml:space="preserve">2. ¿Constituye ganancia ocasional para el constituyente la constitución de la propiedad fiduciaria cuando el constituyente es el mismo fiduciario? </w:t>
      </w:r>
      <w:proofErr w:type="gramStart"/>
      <w:r w:rsidRPr="0030404A">
        <w:rPr>
          <w:rFonts w:eastAsia="Times New Roman" w:cs="Times New Roman"/>
          <w:i/>
          <w:iCs/>
          <w:szCs w:val="24"/>
          <w:u w:val="single"/>
          <w:lang w:eastAsia="es-CO"/>
        </w:rPr>
        <w:t>O</w:t>
      </w:r>
      <w:proofErr w:type="gramEnd"/>
      <w:r w:rsidRPr="0030404A">
        <w:rPr>
          <w:rFonts w:eastAsia="Times New Roman" w:cs="Times New Roman"/>
          <w:i/>
          <w:iCs/>
          <w:szCs w:val="24"/>
          <w:u w:val="single"/>
          <w:lang w:eastAsia="es-CO"/>
        </w:rPr>
        <w:t xml:space="preserve"> por el contrario, ¿se trataría como una operación neutra para efectos fiscales, puesto que no está recibiendo el constituyente bienes diferentes a los que ya posee?</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i/>
          <w:iCs/>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La propiedad fiduciaria de conformidad con los artículos 794 y 795 del Código Civil colombiano es una limitación al dominio mediante la cual una persona (natural o jurídica) llamada fideicomitente o constituyente, transfiere a otra (fiduciario) a título gratuito, el derecho sobre todo o parte de una herencia o la propiedad sobre uno o varios bienes, con el objeto principal de restituir estos bienes a otra u otras personas (fideicomisarios) cuando se cumpla con la condición pactada.</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La propiedad fiduciaria se consolidad en cabeza del fiduciario, por lo tanto, es este quien detenta la propiedad de los bienes mientras no se cumpla la condición pactada. Adicionalmente, no existe disposición normativa que impida que el fideicomitente y el fiduciario sean un mismo sujeto, a diferencia de la prohibición consagrada en el numera 6 del artículo 822 de Código Civil, según la cual el fiduciario y el fideicomisario no podrán ser la misma persona.</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lastRenderedPageBreak/>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Dicho lo anterior, ponemos de presente lo establecido en el Concepto 009255 de 2002 y Oficio No. 002044 de 2017, al resolver el problema jurídico sobre quién debe cumplir las obligaciones relativas al impuesto sobre la renta y complementarios respecto de los bienes objeto de un fideicomiso civil, así como de los ingresos de que aquellos se deriven, se concluyó que por regla general los bienes y rentas deben ser denunciados en la declaración del impuesto sobre la renta y complementarios del fiduciario, que para el caso en concreto es el mismo fideicomitente.</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Se debe tener en cuenta si los frutos producto de los bienes son percibidos en cabeza del fideicomisario, este tendrá que incluirlos dentro de su denuncio rentístico.</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xml:space="preserve">Sin embargo, frente al caso en concreto, si al momento de la constitución de la propiedad fiduciaria el fideicomitente y fiduciario son el mismo sujeto, no existe una transferencia de la propiedad fiduciaria sobre el bien </w:t>
      </w:r>
      <w:proofErr w:type="spellStart"/>
      <w:r w:rsidRPr="0030404A">
        <w:rPr>
          <w:rFonts w:eastAsia="Times New Roman" w:cs="Times New Roman"/>
          <w:szCs w:val="24"/>
          <w:lang w:eastAsia="es-CO"/>
        </w:rPr>
        <w:t>fideicometido</w:t>
      </w:r>
      <w:proofErr w:type="spellEnd"/>
      <w:r w:rsidRPr="0030404A">
        <w:rPr>
          <w:rFonts w:eastAsia="Times New Roman" w:cs="Times New Roman"/>
          <w:szCs w:val="24"/>
          <w:lang w:eastAsia="es-CO"/>
        </w:rPr>
        <w:t>, (sic) dado que no hay un traspaso de bienes de un patrimonio a otro en el momento de constitución de la propiedad fiduciaria al permanecer dentro del patrimonio del mismo sujeto.</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Por lo tanto, para efectos del impuesto sobre la renta y complementarios, al ser el fideicomitente y fiduciario el mismo sujeto y al no existir una transferencia de los bienes, no hay un ingreso susceptible de ser gravado, ni de constituir ganancia ocasional sino hasta el momento que se restituya el bien al beneficiario o fideicomisario. Lo anterior, de conformidad con el </w:t>
      </w:r>
      <w:hyperlink r:id="rId5" w:tooltip="Estatuto Tributario CETA" w:history="1">
        <w:r w:rsidRPr="0030404A">
          <w:rPr>
            <w:rFonts w:eastAsia="Times New Roman" w:cs="Times New Roman"/>
            <w:szCs w:val="24"/>
            <w:u w:val="single"/>
            <w:lang w:eastAsia="es-CO"/>
          </w:rPr>
          <w:t>artículo 26</w:t>
        </w:r>
      </w:hyperlink>
      <w:r w:rsidRPr="0030404A">
        <w:rPr>
          <w:rFonts w:eastAsia="Times New Roman" w:cs="Times New Roman"/>
          <w:szCs w:val="24"/>
          <w:lang w:eastAsia="es-CO"/>
        </w:rPr>
        <w:t> del estatuto tributario, en el entendido que no existe un incremento neto del patrimonio por parte del fiduciario al ser el mismo fideicomitente.</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Atentamente,</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 </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b/>
          <w:bCs/>
          <w:szCs w:val="24"/>
          <w:lang w:eastAsia="es-CO"/>
        </w:rPr>
        <w:t>LORENZO CASTILLO BARVO</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Subdirector de Gestión Normativa y Doctrina (E)</w:t>
      </w:r>
    </w:p>
    <w:p w:rsidR="0030404A" w:rsidRP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Dirección de Gestión Jurídica</w:t>
      </w:r>
    </w:p>
    <w:p w:rsidR="0030404A" w:rsidRDefault="0030404A" w:rsidP="0030404A">
      <w:pPr>
        <w:shd w:val="clear" w:color="auto" w:fill="FFFFFF"/>
        <w:spacing w:line="240" w:lineRule="auto"/>
        <w:rPr>
          <w:rFonts w:eastAsia="Times New Roman" w:cs="Times New Roman"/>
          <w:szCs w:val="24"/>
          <w:lang w:eastAsia="es-CO"/>
        </w:rPr>
      </w:pPr>
      <w:r w:rsidRPr="0030404A">
        <w:rPr>
          <w:rFonts w:eastAsia="Times New Roman" w:cs="Times New Roman"/>
          <w:szCs w:val="24"/>
          <w:lang w:eastAsia="es-CO"/>
        </w:rPr>
        <w:t>UAE-Dirección de Impuestos y Aduanas Nacionales</w:t>
      </w:r>
    </w:p>
    <w:p w:rsidR="0030404A" w:rsidRPr="0030404A" w:rsidRDefault="0030404A" w:rsidP="0030404A">
      <w:pPr>
        <w:shd w:val="clear" w:color="auto" w:fill="FFFFFF"/>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w:t>
      </w:r>
      <w:bookmarkStart w:id="0" w:name="_GoBack"/>
      <w:bookmarkEnd w:id="0"/>
    </w:p>
    <w:p w:rsidR="00730617" w:rsidRPr="0030404A" w:rsidRDefault="00730617">
      <w:pPr>
        <w:rPr>
          <w:rFonts w:cs="Times New Roman"/>
          <w:szCs w:val="24"/>
        </w:rPr>
      </w:pPr>
    </w:p>
    <w:sectPr w:rsidR="00730617" w:rsidRPr="0030404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4A"/>
    <w:rsid w:val="0030404A"/>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A4E"/>
  <w15:chartTrackingRefBased/>
  <w15:docId w15:val="{C1C434C7-3762-43E4-9D79-5BDC64CB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2019-07-19T22:26:00Z</dcterms:created>
  <dcterms:modified xsi:type="dcterms:W3CDTF">2019-07-19T22:31:00Z</dcterms:modified>
</cp:coreProperties>
</file>