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0B5" w:rsidRPr="00CD40B5" w:rsidRDefault="00CD40B5">
      <w:pPr>
        <w:rPr>
          <w:rFonts w:cs="Times New Roman"/>
          <w:szCs w:val="24"/>
        </w:rPr>
      </w:pPr>
    </w:p>
    <w:p w:rsidR="00CD40B5" w:rsidRPr="00CD40B5" w:rsidRDefault="00CD40B5">
      <w:pPr>
        <w:rPr>
          <w:rFonts w:cs="Times New Roman"/>
          <w:szCs w:val="24"/>
        </w:rPr>
      </w:pPr>
    </w:p>
    <w:p w:rsidR="00CD40B5" w:rsidRPr="00CD40B5" w:rsidRDefault="00CD40B5">
      <w:pPr>
        <w:rPr>
          <w:rFonts w:cs="Times New Roman"/>
          <w:szCs w:val="24"/>
        </w:rPr>
      </w:pPr>
    </w:p>
    <w:p w:rsidR="00CD40B5" w:rsidRPr="00CD40B5" w:rsidRDefault="00CD40B5" w:rsidP="00CD40B5">
      <w:pPr>
        <w:jc w:val="both"/>
        <w:rPr>
          <w:rFonts w:cs="Times New Roman"/>
          <w:szCs w:val="24"/>
          <w:shd w:val="clear" w:color="auto" w:fill="FFFFFF"/>
        </w:rPr>
      </w:pPr>
    </w:p>
    <w:p w:rsidR="00CD40B5" w:rsidRPr="00CD40B5" w:rsidRDefault="00CD40B5" w:rsidP="00CD40B5">
      <w:pPr>
        <w:spacing w:after="0" w:line="240" w:lineRule="auto"/>
        <w:jc w:val="center"/>
        <w:rPr>
          <w:rFonts w:eastAsia="Times New Roman" w:cs="Times New Roman"/>
          <w:szCs w:val="24"/>
          <w:lang w:eastAsia="es-CO"/>
        </w:rPr>
      </w:pPr>
      <w:r w:rsidRPr="00CD40B5">
        <w:rPr>
          <w:rFonts w:eastAsia="Times New Roman" w:cs="Times New Roman"/>
          <w:b/>
          <w:bCs/>
          <w:szCs w:val="24"/>
          <w:lang w:eastAsia="es-CO"/>
        </w:rPr>
        <w:t>OFICIO Nº 873 [008761]</w:t>
      </w:r>
    </w:p>
    <w:p w:rsidR="00CD40B5" w:rsidRPr="00CD40B5" w:rsidRDefault="00CD40B5" w:rsidP="00CD40B5">
      <w:pPr>
        <w:spacing w:after="0" w:line="240" w:lineRule="auto"/>
        <w:jc w:val="center"/>
        <w:rPr>
          <w:rFonts w:eastAsia="Times New Roman" w:cs="Times New Roman"/>
          <w:szCs w:val="24"/>
          <w:lang w:eastAsia="es-CO"/>
        </w:rPr>
      </w:pPr>
      <w:r w:rsidRPr="00CD40B5">
        <w:rPr>
          <w:rFonts w:eastAsia="Times New Roman" w:cs="Times New Roman"/>
          <w:b/>
          <w:bCs/>
          <w:szCs w:val="24"/>
          <w:lang w:eastAsia="es-CO"/>
        </w:rPr>
        <w:t>11-04-2019</w:t>
      </w:r>
    </w:p>
    <w:p w:rsidR="00CD40B5" w:rsidRPr="00CD40B5" w:rsidRDefault="00CD40B5" w:rsidP="00CD40B5">
      <w:pPr>
        <w:spacing w:after="0" w:line="240" w:lineRule="auto"/>
        <w:jc w:val="center"/>
        <w:rPr>
          <w:rFonts w:eastAsia="Times New Roman" w:cs="Times New Roman"/>
          <w:szCs w:val="24"/>
          <w:lang w:eastAsia="es-CO"/>
        </w:rPr>
      </w:pPr>
      <w:r w:rsidRPr="00CD40B5">
        <w:rPr>
          <w:rFonts w:eastAsia="Times New Roman" w:cs="Times New Roman"/>
          <w:b/>
          <w:bCs/>
          <w:szCs w:val="24"/>
          <w:lang w:eastAsia="es-CO"/>
        </w:rPr>
        <w:t>DIAN</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Subdirección de Gestión Normativa y Doctrina</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100208221 – 00873</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Bogotá, D.C.</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5381"/>
      </w:tblGrid>
      <w:tr w:rsidR="00CD40B5" w:rsidRPr="00CD40B5" w:rsidTr="00CD40B5">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Impuesto sobre la Renta y Complementarios</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Impuesto sobre la renta y complementarios</w:t>
            </w:r>
          </w:p>
        </w:tc>
      </w:tr>
      <w:tr w:rsidR="00CD40B5" w:rsidRPr="00CD40B5" w:rsidTr="00CD40B5">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Concurrencia de Beneficios Fiscales – Improcedencia</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Descuento del Impuesto Sobre la Renta</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Descuentos</w:t>
            </w:r>
          </w:p>
        </w:tc>
      </w:tr>
      <w:tr w:rsidR="00CD40B5" w:rsidRPr="00CD40B5" w:rsidTr="00CD40B5">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Artículo 23 de la Ley 383 de 1997</w:t>
            </w:r>
          </w:p>
          <w:p w:rsidR="00CD40B5" w:rsidRPr="00CD40B5" w:rsidRDefault="00CD40B5" w:rsidP="00CD40B5">
            <w:pPr>
              <w:spacing w:after="0" w:line="240" w:lineRule="auto"/>
              <w:jc w:val="both"/>
              <w:rPr>
                <w:rFonts w:eastAsia="Times New Roman" w:cs="Times New Roman"/>
                <w:szCs w:val="24"/>
                <w:lang w:eastAsia="es-CO"/>
              </w:rPr>
            </w:pPr>
            <w:hyperlink r:id="rId4" w:tooltip="Estatuto Tributario CETA" w:history="1">
              <w:r w:rsidRPr="00CD40B5">
                <w:rPr>
                  <w:rFonts w:eastAsia="Times New Roman" w:cs="Times New Roman"/>
                  <w:szCs w:val="24"/>
                  <w:u w:val="single"/>
                  <w:lang w:eastAsia="es-CO"/>
                </w:rPr>
                <w:t>Artículo 255</w:t>
              </w:r>
            </w:hyperlink>
            <w:r w:rsidRPr="00CD40B5">
              <w:rPr>
                <w:rFonts w:eastAsia="Times New Roman" w:cs="Times New Roman"/>
                <w:szCs w:val="24"/>
                <w:lang w:eastAsia="es-CO"/>
              </w:rPr>
              <w:t> del Estatuto Tributario</w:t>
            </w:r>
          </w:p>
          <w:p w:rsidR="00CD40B5" w:rsidRPr="00CD40B5" w:rsidRDefault="00CD40B5" w:rsidP="00CD40B5">
            <w:pPr>
              <w:spacing w:after="0" w:line="240" w:lineRule="auto"/>
              <w:jc w:val="both"/>
              <w:rPr>
                <w:rFonts w:eastAsia="Times New Roman" w:cs="Times New Roman"/>
                <w:szCs w:val="24"/>
                <w:lang w:eastAsia="es-CO"/>
              </w:rPr>
            </w:pPr>
            <w:hyperlink r:id="rId5" w:tooltip="Estatuto Tributario CETA" w:history="1">
              <w:r w:rsidRPr="00CD40B5">
                <w:rPr>
                  <w:rFonts w:eastAsia="Times New Roman" w:cs="Times New Roman"/>
                  <w:szCs w:val="24"/>
                  <w:u w:val="single"/>
                  <w:lang w:eastAsia="es-CO"/>
                </w:rPr>
                <w:t>Artículo 258-1</w:t>
              </w:r>
            </w:hyperlink>
            <w:r w:rsidRPr="00CD40B5">
              <w:rPr>
                <w:rFonts w:eastAsia="Times New Roman" w:cs="Times New Roman"/>
                <w:szCs w:val="24"/>
                <w:lang w:eastAsia="es-CO"/>
              </w:rPr>
              <w:t> del Estatuto Tributario</w:t>
            </w:r>
          </w:p>
          <w:p w:rsidR="00CD40B5" w:rsidRPr="00CD40B5" w:rsidRDefault="00CD40B5" w:rsidP="00CD40B5">
            <w:pPr>
              <w:spacing w:after="0" w:line="240" w:lineRule="auto"/>
              <w:jc w:val="both"/>
              <w:rPr>
                <w:rFonts w:eastAsia="Times New Roman" w:cs="Times New Roman"/>
                <w:szCs w:val="24"/>
                <w:lang w:eastAsia="es-CO"/>
              </w:rPr>
            </w:pPr>
            <w:hyperlink r:id="rId6" w:tooltip="Estatuto Tributario CETA" w:history="1">
              <w:r w:rsidRPr="00CD40B5">
                <w:rPr>
                  <w:rFonts w:eastAsia="Times New Roman" w:cs="Times New Roman"/>
                  <w:szCs w:val="24"/>
                  <w:u w:val="single"/>
                  <w:lang w:eastAsia="es-CO"/>
                </w:rPr>
                <w:t>Artículo 127-1</w:t>
              </w:r>
            </w:hyperlink>
            <w:r w:rsidRPr="00CD40B5">
              <w:rPr>
                <w:rFonts w:eastAsia="Times New Roman" w:cs="Times New Roman"/>
                <w:szCs w:val="24"/>
                <w:lang w:eastAsia="es-CO"/>
              </w:rPr>
              <w:t> del Estatuto Tributario</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Concepto No. 30172 del 26 de marzo de 2008</w:t>
            </w:r>
          </w:p>
        </w:tc>
      </w:tr>
    </w:tbl>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Mediante escrito radicado 100013293 del 27 de febrero de dos mil diecinueve (2019) esta Subdirección recibió dos consultas por medio de la que se solicita aclarar, lo siguiente:</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 </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“1. ¿El beneficio tributario de que trata el </w:t>
      </w:r>
      <w:hyperlink r:id="rId7" w:tooltip="Estatuto Tributario CETA" w:history="1">
        <w:r w:rsidRPr="00CD40B5">
          <w:rPr>
            <w:rFonts w:eastAsia="Times New Roman" w:cs="Times New Roman"/>
            <w:i/>
            <w:iCs/>
            <w:szCs w:val="24"/>
            <w:u w:val="single"/>
            <w:lang w:eastAsia="es-CO"/>
          </w:rPr>
          <w:t>artículo 255</w:t>
        </w:r>
      </w:hyperlink>
      <w:r w:rsidRPr="00CD40B5">
        <w:rPr>
          <w:rFonts w:eastAsia="Times New Roman" w:cs="Times New Roman"/>
          <w:i/>
          <w:iCs/>
          <w:szCs w:val="24"/>
          <w:lang w:eastAsia="es-CO"/>
        </w:rPr>
        <w:t> del Estatuto Tributario, referente al impuesto sobre la renta, se puede tomar de manera concurrente con el contemplado en el </w:t>
      </w:r>
      <w:hyperlink r:id="rId8" w:tooltip="Estatuto Tributario CETA" w:history="1">
        <w:r w:rsidRPr="00CD40B5">
          <w:rPr>
            <w:rFonts w:eastAsia="Times New Roman" w:cs="Times New Roman"/>
            <w:i/>
            <w:iCs/>
            <w:szCs w:val="24"/>
            <w:u w:val="single"/>
            <w:lang w:eastAsia="es-CO"/>
          </w:rPr>
          <w:t>artículo 258-1</w:t>
        </w:r>
      </w:hyperlink>
      <w:r w:rsidRPr="00CD40B5">
        <w:rPr>
          <w:rFonts w:eastAsia="Times New Roman" w:cs="Times New Roman"/>
          <w:i/>
          <w:iCs/>
          <w:szCs w:val="24"/>
          <w:lang w:eastAsia="es-CO"/>
        </w:rPr>
        <w:t> ibídem, relacionado con el IVA?</w:t>
      </w:r>
    </w:p>
    <w:p w:rsidR="00CD40B5" w:rsidRDefault="00CD40B5" w:rsidP="00CD40B5">
      <w:pPr>
        <w:spacing w:after="0" w:line="240" w:lineRule="auto"/>
        <w:ind w:left="180"/>
        <w:jc w:val="both"/>
        <w:rPr>
          <w:rFonts w:eastAsia="Times New Roman" w:cs="Times New Roman"/>
          <w:i/>
          <w:iCs/>
          <w:szCs w:val="24"/>
          <w:lang w:eastAsia="es-CO"/>
        </w:rPr>
      </w:pP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2. ¿Cómo se calcula el descuento tributario del </w:t>
      </w:r>
      <w:hyperlink r:id="rId9" w:tooltip="Estatuto Tributario CETA" w:history="1">
        <w:r w:rsidRPr="00CD40B5">
          <w:rPr>
            <w:rFonts w:eastAsia="Times New Roman" w:cs="Times New Roman"/>
            <w:i/>
            <w:iCs/>
            <w:szCs w:val="24"/>
            <w:u w:val="single"/>
            <w:lang w:eastAsia="es-CO"/>
          </w:rPr>
          <w:t>artículo 255</w:t>
        </w:r>
      </w:hyperlink>
      <w:r w:rsidRPr="00CD40B5">
        <w:rPr>
          <w:rFonts w:eastAsia="Times New Roman" w:cs="Times New Roman"/>
          <w:i/>
          <w:iCs/>
          <w:szCs w:val="24"/>
          <w:lang w:eastAsia="es-CO"/>
        </w:rPr>
        <w:t> del Estatuto Tributario cuando la inversión en control, conservación y mejoramiento de medio ambiente se realiza mediante un contrato de leasing? ¿Se puede tomar el descuento sobre el valor total del bien en el año gravable de la adquisición del bien a través del contrato de leasing, o se debe ir tomando en proporción al monto pagado del leasing en cada año gravable?”.</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En atención a la consulta, se procede a analizar las siguientes consideraciones tributarias:</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lastRenderedPageBreak/>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1. Consulta No. 1:</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1.1. Concluimos que el descuento establecido en el </w:t>
      </w:r>
      <w:hyperlink r:id="rId10" w:tooltip="Estatuto Tributario CETA" w:history="1">
        <w:r w:rsidRPr="00CD40B5">
          <w:rPr>
            <w:rFonts w:eastAsia="Times New Roman" w:cs="Times New Roman"/>
            <w:szCs w:val="24"/>
            <w:u w:val="single"/>
            <w:lang w:eastAsia="es-CO"/>
          </w:rPr>
          <w:t>artículo 255</w:t>
        </w:r>
      </w:hyperlink>
      <w:r w:rsidRPr="00CD40B5">
        <w:rPr>
          <w:rFonts w:eastAsia="Times New Roman" w:cs="Times New Roman"/>
          <w:szCs w:val="24"/>
          <w:lang w:eastAsia="es-CO"/>
        </w:rPr>
        <w:t> del Estatuto Tributario (“</w:t>
      </w:r>
      <w:r w:rsidRPr="00CD40B5">
        <w:rPr>
          <w:rFonts w:eastAsia="Times New Roman" w:cs="Times New Roman"/>
          <w:szCs w:val="24"/>
          <w:u w:val="single"/>
          <w:lang w:eastAsia="es-CO"/>
        </w:rPr>
        <w:t>E.T.</w:t>
      </w:r>
      <w:r w:rsidRPr="00CD40B5">
        <w:rPr>
          <w:rFonts w:eastAsia="Times New Roman" w:cs="Times New Roman"/>
          <w:szCs w:val="24"/>
          <w:lang w:eastAsia="es-CO"/>
        </w:rPr>
        <w:t>”) se puede aplicar de manera concurrente con el descuento tributario establecido en el </w:t>
      </w:r>
      <w:hyperlink r:id="rId11" w:tooltip="Estatuto Tributario CETA" w:history="1">
        <w:r w:rsidRPr="00CD40B5">
          <w:rPr>
            <w:rFonts w:eastAsia="Times New Roman" w:cs="Times New Roman"/>
            <w:szCs w:val="24"/>
            <w:u w:val="single"/>
            <w:lang w:eastAsia="es-CO"/>
          </w:rPr>
          <w:t>artículo 258-1</w:t>
        </w:r>
      </w:hyperlink>
      <w:r w:rsidRPr="00CD40B5">
        <w:rPr>
          <w:rFonts w:eastAsia="Times New Roman" w:cs="Times New Roman"/>
          <w:szCs w:val="24"/>
          <w:lang w:eastAsia="es-CO"/>
        </w:rPr>
        <w:t> del E.T., ya que cada uno de estos se genera como consecuencia de hechos económicos diferentes en los términos del artículo 23 de la Ley 383 de 1997. La anterior conclusión, proviene del análisis realizado a continuación.</w:t>
      </w:r>
    </w:p>
    <w:p w:rsidR="00CD40B5" w:rsidRDefault="00CD40B5" w:rsidP="00CD40B5">
      <w:pPr>
        <w:spacing w:after="0" w:line="240" w:lineRule="auto"/>
        <w:jc w:val="both"/>
        <w:rPr>
          <w:rFonts w:eastAsia="Times New Roman" w:cs="Times New Roman"/>
          <w:szCs w:val="24"/>
          <w:lang w:eastAsia="es-CO"/>
        </w:rPr>
      </w:pP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1.2. El </w:t>
      </w:r>
      <w:hyperlink r:id="rId12" w:tooltip="Estatuto Tributario CETA" w:history="1">
        <w:r w:rsidRPr="00CD40B5">
          <w:rPr>
            <w:rFonts w:eastAsia="Times New Roman" w:cs="Times New Roman"/>
            <w:szCs w:val="24"/>
            <w:u w:val="single"/>
            <w:lang w:eastAsia="es-CO"/>
          </w:rPr>
          <w:t>artículo 255</w:t>
        </w:r>
      </w:hyperlink>
      <w:r w:rsidRPr="00CD40B5">
        <w:rPr>
          <w:rFonts w:eastAsia="Times New Roman" w:cs="Times New Roman"/>
          <w:szCs w:val="24"/>
          <w:lang w:eastAsia="es-CO"/>
        </w:rPr>
        <w:t> del E.T. establece un descuento tributario por las inversiones realizadas en control, conservación y mejoramiento del medio ambiente. Por lo cual podrá reconocerse como descuento el 25% de la inversión realizada, siempre y cuando se cumplan la totalidad de los requisitos aplicables para la procedencia del descuento.</w:t>
      </w:r>
    </w:p>
    <w:p w:rsidR="00CD40B5" w:rsidRDefault="00CD40B5" w:rsidP="00CD40B5">
      <w:pPr>
        <w:spacing w:after="0" w:line="240" w:lineRule="auto"/>
        <w:jc w:val="both"/>
        <w:rPr>
          <w:rFonts w:eastAsia="Times New Roman" w:cs="Times New Roman"/>
          <w:szCs w:val="24"/>
          <w:lang w:eastAsia="es-CO"/>
        </w:rPr>
      </w:pP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1.3. De lo anterior, es preciso señalar que el hecho económico que reconoce el descuento del </w:t>
      </w:r>
      <w:hyperlink r:id="rId13" w:tooltip="Estatuto Tributario CETA" w:history="1">
        <w:r w:rsidRPr="00CD40B5">
          <w:rPr>
            <w:rFonts w:eastAsia="Times New Roman" w:cs="Times New Roman"/>
            <w:szCs w:val="24"/>
            <w:u w:val="single"/>
            <w:lang w:eastAsia="es-CO"/>
          </w:rPr>
          <w:t>artículo 255</w:t>
        </w:r>
      </w:hyperlink>
      <w:r w:rsidRPr="00CD40B5">
        <w:rPr>
          <w:rFonts w:eastAsia="Times New Roman" w:cs="Times New Roman"/>
          <w:szCs w:val="24"/>
          <w:lang w:eastAsia="es-CO"/>
        </w:rPr>
        <w:t> del Estatuto Tributario es la realización de una inversión en control, conservación y mejoramiento del medio ambiente.</w:t>
      </w:r>
    </w:p>
    <w:p w:rsidR="00CD40B5" w:rsidRDefault="00CD40B5" w:rsidP="00CD40B5">
      <w:pPr>
        <w:spacing w:after="0" w:line="240" w:lineRule="auto"/>
        <w:jc w:val="both"/>
        <w:rPr>
          <w:rFonts w:eastAsia="Times New Roman" w:cs="Times New Roman"/>
          <w:szCs w:val="24"/>
          <w:lang w:eastAsia="es-CO"/>
        </w:rPr>
      </w:pP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1.4. Adicionalmente, el descuento del </w:t>
      </w:r>
      <w:hyperlink r:id="rId14" w:tooltip="Estatuto Tributario CETA" w:history="1">
        <w:r w:rsidRPr="00CD40B5">
          <w:rPr>
            <w:rFonts w:eastAsia="Times New Roman" w:cs="Times New Roman"/>
            <w:szCs w:val="24"/>
            <w:u w:val="single"/>
            <w:lang w:eastAsia="es-CO"/>
          </w:rPr>
          <w:t>artículo 255</w:t>
        </w:r>
      </w:hyperlink>
      <w:r w:rsidRPr="00CD40B5">
        <w:rPr>
          <w:rFonts w:eastAsia="Times New Roman" w:cs="Times New Roman"/>
          <w:szCs w:val="24"/>
          <w:lang w:eastAsia="es-CO"/>
        </w:rPr>
        <w:t> del Estatuto Tributario se determina sobre el valor de la inversión realizada en control, conservación y mejoramiento del medio ambiente </w:t>
      </w:r>
      <w:r w:rsidRPr="00CD40B5">
        <w:rPr>
          <w:rFonts w:eastAsia="Times New Roman" w:cs="Times New Roman"/>
          <w:szCs w:val="24"/>
          <w:u w:val="single"/>
          <w:lang w:eastAsia="es-CO"/>
        </w:rPr>
        <w:t>donde no se incluye el valor del IVA pagado en dichas inversiones</w:t>
      </w:r>
      <w:r w:rsidRPr="00CD40B5">
        <w:rPr>
          <w:rFonts w:eastAsia="Times New Roman" w:cs="Times New Roman"/>
          <w:szCs w:val="24"/>
          <w:lang w:eastAsia="es-CO"/>
        </w:rPr>
        <w:t>.</w:t>
      </w:r>
    </w:p>
    <w:p w:rsidR="00CD40B5" w:rsidRDefault="00CD40B5" w:rsidP="00CD40B5">
      <w:pPr>
        <w:spacing w:after="0" w:line="240" w:lineRule="auto"/>
        <w:jc w:val="both"/>
        <w:rPr>
          <w:rFonts w:eastAsia="Times New Roman" w:cs="Times New Roman"/>
          <w:szCs w:val="24"/>
          <w:lang w:eastAsia="es-CO"/>
        </w:rPr>
      </w:pP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1.5. Por su lado, el descuento establecido en el </w:t>
      </w:r>
      <w:hyperlink r:id="rId15" w:tooltip="Estatuto Tributario CETA" w:history="1">
        <w:r w:rsidRPr="00CD40B5">
          <w:rPr>
            <w:rFonts w:eastAsia="Times New Roman" w:cs="Times New Roman"/>
            <w:szCs w:val="24"/>
            <w:u w:val="single"/>
            <w:lang w:eastAsia="es-CO"/>
          </w:rPr>
          <w:t>artículo 258-1</w:t>
        </w:r>
      </w:hyperlink>
      <w:r w:rsidRPr="00CD40B5">
        <w:rPr>
          <w:rFonts w:eastAsia="Times New Roman" w:cs="Times New Roman"/>
          <w:szCs w:val="24"/>
          <w:lang w:eastAsia="es-CO"/>
        </w:rPr>
        <w:t> del E.T. establece un descuento tributario por el IVA pagado en la importación, formación, construcción o adquisición de activos fijos reales productivos.</w:t>
      </w:r>
    </w:p>
    <w:p w:rsidR="00CD40B5" w:rsidRDefault="00CD40B5" w:rsidP="00CD40B5">
      <w:pPr>
        <w:spacing w:after="0" w:line="240" w:lineRule="auto"/>
        <w:jc w:val="both"/>
        <w:rPr>
          <w:rFonts w:eastAsia="Times New Roman" w:cs="Times New Roman"/>
          <w:szCs w:val="24"/>
          <w:lang w:eastAsia="es-CO"/>
        </w:rPr>
      </w:pP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1.6. En el caso del </w:t>
      </w:r>
      <w:hyperlink r:id="rId16" w:tooltip="Estatuto Tributario CETA" w:history="1">
        <w:r w:rsidRPr="00CD40B5">
          <w:rPr>
            <w:rFonts w:eastAsia="Times New Roman" w:cs="Times New Roman"/>
            <w:szCs w:val="24"/>
            <w:u w:val="single"/>
            <w:lang w:eastAsia="es-CO"/>
          </w:rPr>
          <w:t>artículo 258-1</w:t>
        </w:r>
      </w:hyperlink>
      <w:r w:rsidRPr="00CD40B5">
        <w:rPr>
          <w:rFonts w:eastAsia="Times New Roman" w:cs="Times New Roman"/>
          <w:szCs w:val="24"/>
          <w:lang w:eastAsia="es-CO"/>
        </w:rPr>
        <w:t> del E.T., es posible reconocer que el hecho económico que da lugar al descuento es el pago del IVA en la importación, formación, construcción o adquisición de activos fijos reales productivo (sic), lo cual lo hace diferente al analizado en el literal b) de este numeral. De igual manera, el </w:t>
      </w:r>
      <w:hyperlink r:id="rId17" w:tooltip="Estatuto Tributario CETA" w:history="1">
        <w:r w:rsidRPr="00CD40B5">
          <w:rPr>
            <w:rFonts w:eastAsia="Times New Roman" w:cs="Times New Roman"/>
            <w:szCs w:val="24"/>
            <w:u w:val="single"/>
            <w:lang w:eastAsia="es-CO"/>
          </w:rPr>
          <w:t>artículo 258-1</w:t>
        </w:r>
      </w:hyperlink>
      <w:r w:rsidRPr="00CD40B5">
        <w:rPr>
          <w:rFonts w:eastAsia="Times New Roman" w:cs="Times New Roman"/>
          <w:szCs w:val="24"/>
          <w:lang w:eastAsia="es-CO"/>
        </w:rPr>
        <w:t> del Estatuto Tributario establece que: </w:t>
      </w:r>
      <w:r w:rsidRPr="00CD40B5">
        <w:rPr>
          <w:rFonts w:eastAsia="Times New Roman" w:cs="Times New Roman"/>
          <w:i/>
          <w:iCs/>
          <w:szCs w:val="24"/>
          <w:lang w:eastAsia="es-CO"/>
        </w:rPr>
        <w:t>“(…) El IVA de que trata esta disposición no podrá ì (sic) tomarse simultáneamente como costo o gasto en el impuesto sobre la renta ni será ì (sic) descontable del impuesto sobre las ventas –IVA.”</w:t>
      </w:r>
    </w:p>
    <w:p w:rsidR="00CD40B5" w:rsidRDefault="00CD40B5" w:rsidP="00CD40B5">
      <w:pPr>
        <w:spacing w:after="0" w:line="240" w:lineRule="auto"/>
        <w:jc w:val="both"/>
        <w:rPr>
          <w:rFonts w:eastAsia="Times New Roman" w:cs="Times New Roman"/>
          <w:szCs w:val="24"/>
          <w:lang w:eastAsia="es-CO"/>
        </w:rPr>
      </w:pP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1.7. Partiendo de lo anterior, consideramos necesario analizar lo establecido por este despacho en pronunciamientos anteriores sobre la procedencia de beneficios tributarios de manera concurrente. El Concepto 030172 del 26 de marzo de 2008, al analizar el artículo 23 de la Ley 383 de 1997 sobre beneficios fiscales concurrentes, indicó:</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 Del tenor del artículo se establece que </w:t>
      </w:r>
      <w:r w:rsidRPr="00CD40B5">
        <w:rPr>
          <w:rFonts w:eastAsia="Times New Roman" w:cs="Times New Roman"/>
          <w:i/>
          <w:iCs/>
          <w:szCs w:val="24"/>
          <w:u w:val="single"/>
          <w:lang w:eastAsia="es-CO"/>
        </w:rPr>
        <w:t>no es permitida la utilización de múltiples beneficios basados en un mismo hecho económico</w:t>
      </w:r>
      <w:r w:rsidRPr="00CD40B5">
        <w:rPr>
          <w:rFonts w:eastAsia="Times New Roman" w:cs="Times New Roman"/>
          <w:i/>
          <w:iCs/>
          <w:szCs w:val="24"/>
          <w:lang w:eastAsia="es-CO"/>
        </w:rPr>
        <w:t>, para lo cual el legislador expresamente enunció, cuáles beneficios deben tenerse en cuenta a efectos de evitar la concurrencia como es, en suma, que un mismo hecho económico sea detraído doblemente. Pues es a eso que se concreta la disposición que consagra la limitación.</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 </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u w:val="single"/>
          <w:lang w:eastAsia="es-CO"/>
        </w:rPr>
        <w:t>Con tal finalidad la norma indica que para el efecto son beneficios concurrentes las deducciones autorizadas por la ley, que no tengan relación de causalidad con la renta y los descuentos tributarios, en el entendido que solicitado un beneficio a título de cualquiera de los dos factores que menciona la Ley, no puede bajo ningún otro concepto solicitarse nuevamente el hecho económico que lo origina</w:t>
      </w:r>
      <w:r w:rsidRPr="00CD40B5">
        <w:rPr>
          <w:rFonts w:eastAsia="Times New Roman" w:cs="Times New Roman"/>
          <w:i/>
          <w:iCs/>
          <w:szCs w:val="24"/>
          <w:lang w:eastAsia="es-CO"/>
        </w:rPr>
        <w:t>.</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 </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Al estar reconocido el carácter del artículo 23 de la Ley 383 de 1997 como una medida de naturaleza tributaria (Sentencia C-806 de 2001) y acatando el artículo 338 de la Constitución Política según el cual corresponde a la ley fijar directamente los sujetos activos y pasivos, los hechos y las bases gravables y las tarifas de los impuestos, la </w:t>
      </w:r>
      <w:r w:rsidRPr="00CD40B5">
        <w:rPr>
          <w:rFonts w:eastAsia="Times New Roman" w:cs="Times New Roman"/>
          <w:i/>
          <w:iCs/>
          <w:szCs w:val="24"/>
          <w:u w:val="single"/>
          <w:lang w:eastAsia="es-CO"/>
        </w:rPr>
        <w:t xml:space="preserve">limitación a la aplicación múltiple de beneficios tributarios contenida en la norma objeto de análisis debe entenderse circunscrita a sus objetivos que, como se anotó, son el </w:t>
      </w:r>
      <w:r w:rsidRPr="00CD40B5">
        <w:rPr>
          <w:rFonts w:eastAsia="Times New Roman" w:cs="Times New Roman"/>
          <w:i/>
          <w:iCs/>
          <w:szCs w:val="24"/>
          <w:u w:val="single"/>
          <w:lang w:eastAsia="es-CO"/>
        </w:rPr>
        <w:lastRenderedPageBreak/>
        <w:t>evitar que los mismos hechos económicos relativos a deducciones autorizadas por la ley sin relación de causalidad con la renta así como los descuentos tributarios, se soliciten concurrentemente (a la vez, o nuevamente) a título de otro factor de depuración de la renta o del impuesto a cargo, según se trate</w:t>
      </w:r>
      <w:r w:rsidRPr="00CD40B5">
        <w:rPr>
          <w:rFonts w:eastAsia="Times New Roman" w:cs="Times New Roman"/>
          <w:i/>
          <w:iCs/>
          <w:szCs w:val="24"/>
          <w:lang w:eastAsia="es-CO"/>
        </w:rPr>
        <w:t>. Por tanto, basta que se haya tomado una vez un monto como factor de detracción en la determinación, para que haya imposibilidad de detraerlo nuevamente.” (negrilla fuera de texto).</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i/>
          <w:iCs/>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highlight w:val="green"/>
          <w:lang w:eastAsia="es-CO"/>
        </w:rPr>
        <w:t>1.8. Por lo anterior, consideramos que es procedente aplicar el descuento establecido en el </w:t>
      </w:r>
      <w:hyperlink r:id="rId18" w:tooltip="Estatuto Tributario CETA" w:history="1">
        <w:r w:rsidRPr="00CD40B5">
          <w:rPr>
            <w:rFonts w:eastAsia="Times New Roman" w:cs="Times New Roman"/>
            <w:szCs w:val="24"/>
            <w:highlight w:val="green"/>
            <w:u w:val="single"/>
            <w:lang w:eastAsia="es-CO"/>
          </w:rPr>
          <w:t>artículo 255</w:t>
        </w:r>
      </w:hyperlink>
      <w:r w:rsidRPr="00CD40B5">
        <w:rPr>
          <w:rFonts w:eastAsia="Times New Roman" w:cs="Times New Roman"/>
          <w:szCs w:val="24"/>
          <w:highlight w:val="green"/>
          <w:lang w:eastAsia="es-CO"/>
        </w:rPr>
        <w:t> del E.T. de manera concurrente con el descuento tributario establecido en el </w:t>
      </w:r>
      <w:hyperlink r:id="rId19" w:tooltip="Estatuto Tributario CETA" w:history="1">
        <w:r w:rsidRPr="00CD40B5">
          <w:rPr>
            <w:rFonts w:eastAsia="Times New Roman" w:cs="Times New Roman"/>
            <w:szCs w:val="24"/>
            <w:highlight w:val="green"/>
            <w:u w:val="single"/>
            <w:lang w:eastAsia="es-CO"/>
          </w:rPr>
          <w:t>artículo 258-1</w:t>
        </w:r>
      </w:hyperlink>
      <w:r w:rsidRPr="00CD40B5">
        <w:rPr>
          <w:rFonts w:eastAsia="Times New Roman" w:cs="Times New Roman"/>
          <w:szCs w:val="24"/>
          <w:highlight w:val="green"/>
          <w:lang w:eastAsia="es-CO"/>
        </w:rPr>
        <w:t> del E.T., ya que cada uno de estos se genera como consecuencia de hechos económicos diferentes.</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2. Consulta No. 2:</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2.1. El reconocimiento del descuento tributario establecido en el </w:t>
      </w:r>
      <w:hyperlink r:id="rId20" w:tooltip="Estatuto Tributario CETA" w:history="1">
        <w:r w:rsidRPr="00CD40B5">
          <w:rPr>
            <w:rFonts w:eastAsia="Times New Roman" w:cs="Times New Roman"/>
            <w:szCs w:val="24"/>
            <w:u w:val="single"/>
            <w:lang w:eastAsia="es-CO"/>
          </w:rPr>
          <w:t>artículo 255</w:t>
        </w:r>
      </w:hyperlink>
      <w:r w:rsidRPr="00CD40B5">
        <w:rPr>
          <w:rFonts w:eastAsia="Times New Roman" w:cs="Times New Roman"/>
          <w:szCs w:val="24"/>
          <w:lang w:eastAsia="es-CO"/>
        </w:rPr>
        <w:t> del E.T. en los casos de los activos adquiridos a través de un arrendamiento financiero deberá realizarse según lo establecido en el literal b del numeral 2 del </w:t>
      </w:r>
      <w:hyperlink r:id="rId21" w:tooltip="Estatuto Tributario CETA" w:history="1">
        <w:r w:rsidRPr="00CD40B5">
          <w:rPr>
            <w:rFonts w:eastAsia="Times New Roman" w:cs="Times New Roman"/>
            <w:szCs w:val="24"/>
            <w:u w:val="single"/>
            <w:lang w:eastAsia="es-CO"/>
          </w:rPr>
          <w:t>artículo 127-1</w:t>
        </w:r>
      </w:hyperlink>
      <w:r w:rsidRPr="00CD40B5">
        <w:rPr>
          <w:rFonts w:eastAsia="Times New Roman" w:cs="Times New Roman"/>
          <w:szCs w:val="24"/>
          <w:lang w:eastAsia="es-CO"/>
        </w:rPr>
        <w:t> del E.T.</w:t>
      </w:r>
    </w:p>
    <w:p w:rsidR="00CD40B5" w:rsidRDefault="00CD40B5" w:rsidP="00CD40B5">
      <w:pPr>
        <w:spacing w:after="0" w:line="240" w:lineRule="auto"/>
        <w:jc w:val="both"/>
        <w:rPr>
          <w:rFonts w:eastAsia="Times New Roman" w:cs="Times New Roman"/>
          <w:szCs w:val="24"/>
          <w:lang w:eastAsia="es-CO"/>
        </w:rPr>
      </w:pP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2.2. El literal b del numeral 2 del </w:t>
      </w:r>
      <w:hyperlink r:id="rId22" w:tooltip="Estatuto Tributario CETA" w:history="1">
        <w:r w:rsidRPr="00CD40B5">
          <w:rPr>
            <w:rFonts w:eastAsia="Times New Roman" w:cs="Times New Roman"/>
            <w:szCs w:val="24"/>
            <w:u w:val="single"/>
            <w:lang w:eastAsia="es-CO"/>
          </w:rPr>
          <w:t>artículo 127-1</w:t>
        </w:r>
      </w:hyperlink>
      <w:r w:rsidRPr="00CD40B5">
        <w:rPr>
          <w:rFonts w:eastAsia="Times New Roman" w:cs="Times New Roman"/>
          <w:szCs w:val="24"/>
          <w:lang w:eastAsia="es-CO"/>
        </w:rPr>
        <w:t> del E.T. establece que el arrendatario deberá reconocer para efectos del impuesto sobre la renta el activo de la siguiente manera:</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“i. Al inicio del contrato, el arrendatario deberá reconocer un activo y un pasivo por arrendamiento, que corresponde al valor presente de los cánones de arrendamientos, la opción de compra y el valor residual de garantía en caso de ser aplicable, calculado a la fecha de iniciación del contrato, y a la tasa pactada en el contrato. La suma registrada como pasivo por el arrendatario, debe coincidir con la registrada por el arrendador como activo por arrendamiento.</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 </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Adicionalmente y de manera discriminada, se podrán adicionar los costos en los que se incurra para poner en marcha o utilización el activo siempre que los mismos no hayan sido financiados.</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 </w:t>
      </w: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ii. </w:t>
      </w:r>
      <w:r w:rsidRPr="00CD40B5">
        <w:rPr>
          <w:rFonts w:eastAsia="Times New Roman" w:cs="Times New Roman"/>
          <w:i/>
          <w:iCs/>
          <w:szCs w:val="24"/>
          <w:u w:val="single"/>
          <w:lang w:eastAsia="es-CO"/>
        </w:rPr>
        <w:t>El valor registrado en el activo por el arrendatario, salvo la parte que corresponda al impuesto a las ventas que vaya a ser descontado o deducido, tendrá la naturaleza de activo el cual podrá ser amortizado o depreciado en los términos previstos en este estatuto como si el bien arrendado fuera de su propiedad</w:t>
      </w:r>
      <w:r w:rsidRPr="00CD40B5">
        <w:rPr>
          <w:rFonts w:eastAsia="Times New Roman" w:cs="Times New Roman"/>
          <w:i/>
          <w:iCs/>
          <w:szCs w:val="24"/>
          <w:lang w:eastAsia="es-CO"/>
        </w:rPr>
        <w:t>.</w:t>
      </w:r>
    </w:p>
    <w:p w:rsidR="00CD40B5" w:rsidRDefault="00CD40B5" w:rsidP="00CD40B5">
      <w:pPr>
        <w:spacing w:after="0" w:line="240" w:lineRule="auto"/>
        <w:ind w:left="180"/>
        <w:jc w:val="both"/>
        <w:rPr>
          <w:rFonts w:eastAsia="Times New Roman" w:cs="Times New Roman"/>
          <w:i/>
          <w:iCs/>
          <w:szCs w:val="24"/>
          <w:lang w:eastAsia="es-CO"/>
        </w:rPr>
      </w:pP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iii. El IVA pagado en la operación solo será descontable o deducible según el tipo de bien objeto del contrato por parte del arrendatario, según las reglas previstas en este estatuto.</w:t>
      </w:r>
    </w:p>
    <w:p w:rsidR="00CD40B5" w:rsidRDefault="00CD40B5" w:rsidP="00CD40B5">
      <w:pPr>
        <w:spacing w:after="0" w:line="240" w:lineRule="auto"/>
        <w:ind w:left="180"/>
        <w:jc w:val="both"/>
        <w:rPr>
          <w:rFonts w:eastAsia="Times New Roman" w:cs="Times New Roman"/>
          <w:i/>
          <w:iCs/>
          <w:szCs w:val="24"/>
          <w:lang w:eastAsia="es-CO"/>
        </w:rPr>
      </w:pP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iv. Cuando el arrendamiento financiero comprenda bienes inmuebles, la parte correspondiente a terrenos no será depreciable ni amortizable.</w:t>
      </w:r>
    </w:p>
    <w:p w:rsidR="00CD40B5" w:rsidRDefault="00CD40B5" w:rsidP="00CD40B5">
      <w:pPr>
        <w:spacing w:after="0" w:line="240" w:lineRule="auto"/>
        <w:ind w:left="180"/>
        <w:jc w:val="both"/>
        <w:rPr>
          <w:rFonts w:eastAsia="Times New Roman" w:cs="Times New Roman"/>
          <w:i/>
          <w:iCs/>
          <w:szCs w:val="24"/>
          <w:lang w:eastAsia="es-CO"/>
        </w:rPr>
      </w:pPr>
    </w:p>
    <w:p w:rsidR="00CD40B5" w:rsidRPr="00CD40B5" w:rsidRDefault="00CD40B5" w:rsidP="00CD40B5">
      <w:pPr>
        <w:spacing w:after="0" w:line="240" w:lineRule="auto"/>
        <w:ind w:left="180"/>
        <w:jc w:val="both"/>
        <w:rPr>
          <w:rFonts w:eastAsia="Times New Roman" w:cs="Times New Roman"/>
          <w:szCs w:val="24"/>
          <w:lang w:eastAsia="es-CO"/>
        </w:rPr>
      </w:pPr>
      <w:r w:rsidRPr="00CD40B5">
        <w:rPr>
          <w:rFonts w:eastAsia="Times New Roman" w:cs="Times New Roman"/>
          <w:i/>
          <w:iCs/>
          <w:szCs w:val="24"/>
          <w:lang w:eastAsia="es-CO"/>
        </w:rPr>
        <w:t>v. 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 como un menor valor de este. </w:t>
      </w:r>
      <w:r w:rsidRPr="00CD40B5">
        <w:rPr>
          <w:rFonts w:eastAsia="Times New Roman" w:cs="Times New Roman"/>
          <w:i/>
          <w:iCs/>
          <w:szCs w:val="24"/>
          <w:u w:val="single"/>
          <w:lang w:eastAsia="es-CO"/>
        </w:rPr>
        <w:t>La parte de cada canon correspondiente a intereses o costo financiero, será un gasto deducible para el arrendatario sometido a las limitaciones para la deducción de intereses</w:t>
      </w:r>
      <w:r w:rsidRPr="00CD40B5">
        <w:rPr>
          <w:rFonts w:eastAsia="Times New Roman" w:cs="Times New Roman"/>
          <w:i/>
          <w:iCs/>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2.3. Según lo establecido en el numeral ii del literal b) del numeral 2 del </w:t>
      </w:r>
      <w:hyperlink r:id="rId23" w:tooltip="Estatuto Tributario CETA" w:history="1">
        <w:r w:rsidRPr="00CD40B5">
          <w:rPr>
            <w:rFonts w:eastAsia="Times New Roman" w:cs="Times New Roman"/>
            <w:szCs w:val="24"/>
            <w:u w:val="single"/>
            <w:lang w:eastAsia="es-CO"/>
          </w:rPr>
          <w:t>artículo 127-1</w:t>
        </w:r>
      </w:hyperlink>
      <w:r w:rsidRPr="00CD40B5">
        <w:rPr>
          <w:rFonts w:eastAsia="Times New Roman" w:cs="Times New Roman"/>
          <w:szCs w:val="24"/>
          <w:lang w:eastAsia="es-CO"/>
        </w:rPr>
        <w:t> del E.T., consideramos que el arrendatario registrará el activo desde el inicio del contrato.</w:t>
      </w:r>
    </w:p>
    <w:p w:rsidR="00CD40B5" w:rsidRDefault="00CD40B5" w:rsidP="00CD40B5">
      <w:pPr>
        <w:spacing w:after="0" w:line="240" w:lineRule="auto"/>
        <w:jc w:val="both"/>
        <w:rPr>
          <w:rFonts w:eastAsia="Times New Roman" w:cs="Times New Roman"/>
          <w:szCs w:val="24"/>
          <w:lang w:eastAsia="es-CO"/>
        </w:rPr>
      </w:pP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2.4. Por lo tanto, somos de la opinión que el inversionista que adquiera un bien, a través de un leasing o arrendamiento financiero, para efectos de la aplicación del descuento establecido en el </w:t>
      </w:r>
      <w:hyperlink r:id="rId24" w:tooltip="Estatuto Tributario CETA" w:history="1">
        <w:r w:rsidRPr="00CD40B5">
          <w:rPr>
            <w:rFonts w:eastAsia="Times New Roman" w:cs="Times New Roman"/>
            <w:szCs w:val="24"/>
            <w:u w:val="single"/>
            <w:lang w:eastAsia="es-CO"/>
          </w:rPr>
          <w:t>artículo 255</w:t>
        </w:r>
      </w:hyperlink>
      <w:r w:rsidRPr="00CD40B5">
        <w:rPr>
          <w:rFonts w:eastAsia="Times New Roman" w:cs="Times New Roman"/>
          <w:szCs w:val="24"/>
          <w:lang w:eastAsia="es-CO"/>
        </w:rPr>
        <w:t xml:space="preserve"> del E.T. podrá reconocer el valor de la inversión </w:t>
      </w:r>
      <w:r w:rsidRPr="00CD40B5">
        <w:rPr>
          <w:rFonts w:eastAsia="Times New Roman" w:cs="Times New Roman"/>
          <w:szCs w:val="24"/>
          <w:lang w:eastAsia="es-CO"/>
        </w:rPr>
        <w:lastRenderedPageBreak/>
        <w:t>correspondiente al activo adquirido desde el inicio del contrato. En este sentido, el inversionista que adquiera un bien a través de leasing, cumpliendo con la totalidad de los requisitos aplicables al </w:t>
      </w:r>
      <w:hyperlink r:id="rId25" w:tooltip="Estatuto Tributario CETA" w:history="1">
        <w:r w:rsidRPr="00CD40B5">
          <w:rPr>
            <w:rFonts w:eastAsia="Times New Roman" w:cs="Times New Roman"/>
            <w:szCs w:val="24"/>
            <w:u w:val="single"/>
            <w:lang w:eastAsia="es-CO"/>
          </w:rPr>
          <w:t>artículo 255</w:t>
        </w:r>
      </w:hyperlink>
      <w:r w:rsidRPr="00CD40B5">
        <w:rPr>
          <w:rFonts w:eastAsia="Times New Roman" w:cs="Times New Roman"/>
          <w:szCs w:val="24"/>
          <w:lang w:eastAsia="es-CO"/>
        </w:rPr>
        <w:t>, podrá tomarse el descuento correspondiente desde el inicio del contrato de leasing.</w:t>
      </w:r>
    </w:p>
    <w:p w:rsidR="00CD40B5" w:rsidRDefault="00CD40B5" w:rsidP="00CD40B5">
      <w:pPr>
        <w:spacing w:after="0" w:line="240" w:lineRule="auto"/>
        <w:jc w:val="both"/>
        <w:rPr>
          <w:rFonts w:eastAsia="Times New Roman" w:cs="Times New Roman"/>
          <w:szCs w:val="24"/>
          <w:lang w:eastAsia="es-CO"/>
        </w:rPr>
      </w:pPr>
    </w:p>
    <w:p w:rsid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2.5. Sin embargo, consideramos necesario precisar que los gastos asociados a intereses o costo financiero en el contrato de leasing no podrán ser reconocidos como una inversión realizada en control, conservación y mejoramiento del medio ambiente, ya que estos corresponden a un gasto de financiamiento. En este sentido, el valor de los intereses o costo financiero en el contrato de leasing no podrán ser tenidos en cuenta para la determinación del descuento establecido en el </w:t>
      </w:r>
      <w:hyperlink r:id="rId26" w:tooltip="Estatuto Tributario CETA" w:history="1">
        <w:r w:rsidRPr="00CD40B5">
          <w:rPr>
            <w:rFonts w:eastAsia="Times New Roman" w:cs="Times New Roman"/>
            <w:szCs w:val="24"/>
            <w:u w:val="single"/>
            <w:lang w:eastAsia="es-CO"/>
          </w:rPr>
          <w:t>artículo 255</w:t>
        </w:r>
      </w:hyperlink>
      <w:r w:rsidRPr="00CD40B5">
        <w:rPr>
          <w:rFonts w:eastAsia="Times New Roman" w:cs="Times New Roman"/>
          <w:szCs w:val="24"/>
          <w:lang w:eastAsia="es-CO"/>
        </w:rPr>
        <w:t> del E.T.</w:t>
      </w:r>
    </w:p>
    <w:p w:rsidR="00CD40B5" w:rsidRDefault="00CD40B5" w:rsidP="00CD40B5">
      <w:pPr>
        <w:spacing w:after="0" w:line="240" w:lineRule="auto"/>
        <w:jc w:val="both"/>
        <w:rPr>
          <w:rFonts w:eastAsia="Times New Roman" w:cs="Times New Roman"/>
          <w:szCs w:val="24"/>
          <w:lang w:eastAsia="es-CO"/>
        </w:rPr>
      </w:pP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Atentamente,</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b/>
          <w:bCs/>
          <w:szCs w:val="24"/>
          <w:lang w:eastAsia="es-CO"/>
        </w:rPr>
        <w:t>LORENZO CASTILLO BARVO</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Subdirector de Gestión Normativa y Doctrina (E)</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Dirección de Gestión Jurídica</w:t>
      </w:r>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UAE – Dirección de Impuestos y Aduanas Nacionales</w:t>
      </w:r>
      <w:bookmarkStart w:id="0" w:name="_GoBack"/>
      <w:bookmarkEnd w:id="0"/>
    </w:p>
    <w:p w:rsidR="00CD40B5" w:rsidRPr="00CD40B5" w:rsidRDefault="00CD40B5" w:rsidP="00CD40B5">
      <w:pPr>
        <w:spacing w:after="0" w:line="240" w:lineRule="auto"/>
        <w:jc w:val="both"/>
        <w:rPr>
          <w:rFonts w:eastAsia="Times New Roman" w:cs="Times New Roman"/>
          <w:szCs w:val="24"/>
          <w:lang w:eastAsia="es-CO"/>
        </w:rPr>
      </w:pPr>
      <w:r w:rsidRPr="00CD40B5">
        <w:rPr>
          <w:rFonts w:eastAsia="Times New Roman" w:cs="Times New Roman"/>
          <w:szCs w:val="24"/>
          <w:lang w:eastAsia="es-CO"/>
        </w:rPr>
        <w:t> </w:t>
      </w:r>
    </w:p>
    <w:p w:rsidR="00CD40B5" w:rsidRPr="00CD40B5" w:rsidRDefault="00CD40B5" w:rsidP="00CD40B5">
      <w:pPr>
        <w:jc w:val="both"/>
        <w:rPr>
          <w:rFonts w:cs="Times New Roman"/>
          <w:szCs w:val="24"/>
        </w:rPr>
      </w:pPr>
    </w:p>
    <w:tbl>
      <w:tblPr>
        <w:tblW w:w="0" w:type="auto"/>
        <w:tblCellSpacing w:w="0" w:type="dxa"/>
        <w:tblCellMar>
          <w:left w:w="0" w:type="dxa"/>
          <w:right w:w="0" w:type="dxa"/>
        </w:tblCellMar>
        <w:tblLook w:val="04A0" w:firstRow="1" w:lastRow="0" w:firstColumn="1" w:lastColumn="0" w:noHBand="0" w:noVBand="1"/>
      </w:tblPr>
      <w:tblGrid>
        <w:gridCol w:w="8789"/>
      </w:tblGrid>
      <w:tr w:rsidR="00CD40B5" w:rsidRPr="00CD40B5" w:rsidTr="00CD40B5">
        <w:trPr>
          <w:tblCellSpacing w:w="0" w:type="dxa"/>
        </w:trPr>
        <w:tc>
          <w:tcPr>
            <w:tcW w:w="8789" w:type="dxa"/>
            <w:hideMark/>
          </w:tcPr>
          <w:p w:rsidR="00CD40B5" w:rsidRPr="00CD40B5" w:rsidRDefault="00CD40B5">
            <w:pPr>
              <w:rPr>
                <w:rFonts w:cs="Times New Roman"/>
                <w:szCs w:val="24"/>
              </w:rPr>
            </w:pPr>
          </w:p>
          <w:tbl>
            <w:tblPr>
              <w:tblW w:w="11484" w:type="dxa"/>
              <w:tblCellSpacing w:w="0" w:type="dxa"/>
              <w:tblCellMar>
                <w:left w:w="0" w:type="dxa"/>
                <w:right w:w="0" w:type="dxa"/>
              </w:tblCellMar>
              <w:tblLook w:val="04A0" w:firstRow="1" w:lastRow="0" w:firstColumn="1" w:lastColumn="0" w:noHBand="0" w:noVBand="1"/>
            </w:tblPr>
            <w:tblGrid>
              <w:gridCol w:w="11484"/>
            </w:tblGrid>
            <w:tr w:rsidR="00CD40B5" w:rsidRPr="00CD40B5">
              <w:trPr>
                <w:tblCellSpacing w:w="0" w:type="dxa"/>
              </w:trPr>
              <w:tc>
                <w:tcPr>
                  <w:tcW w:w="0" w:type="auto"/>
                  <w:shd w:val="clear" w:color="auto" w:fill="FFFFFF"/>
                  <w:tcMar>
                    <w:top w:w="30" w:type="dxa"/>
                    <w:left w:w="30" w:type="dxa"/>
                    <w:bottom w:w="30" w:type="dxa"/>
                    <w:right w:w="30" w:type="dxa"/>
                  </w:tcMar>
                  <w:vAlign w:val="center"/>
                  <w:hideMark/>
                </w:tcPr>
                <w:p w:rsidR="00CD40B5" w:rsidRPr="00CD40B5" w:rsidRDefault="00CD40B5" w:rsidP="00CD40B5">
                  <w:pPr>
                    <w:spacing w:after="0" w:line="240" w:lineRule="auto"/>
                    <w:jc w:val="both"/>
                    <w:rPr>
                      <w:rFonts w:eastAsia="Times New Roman" w:cs="Times New Roman"/>
                      <w:szCs w:val="24"/>
                      <w:lang w:eastAsia="es-CO"/>
                    </w:rPr>
                  </w:pPr>
                </w:p>
              </w:tc>
            </w:tr>
          </w:tbl>
          <w:p w:rsidR="00CD40B5" w:rsidRPr="00CD40B5" w:rsidRDefault="00CD40B5" w:rsidP="00CD40B5">
            <w:pPr>
              <w:spacing w:after="0" w:line="240" w:lineRule="auto"/>
              <w:rPr>
                <w:rFonts w:eastAsia="Times New Roman" w:cs="Times New Roman"/>
                <w:szCs w:val="24"/>
                <w:lang w:eastAsia="es-CO"/>
              </w:rPr>
            </w:pPr>
          </w:p>
        </w:tc>
      </w:tr>
    </w:tbl>
    <w:p w:rsidR="00CD40B5" w:rsidRPr="00CD40B5" w:rsidRDefault="00CD40B5" w:rsidP="00CD40B5">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CD40B5" w:rsidRPr="00CD40B5" w:rsidTr="00CD40B5">
        <w:trPr>
          <w:trHeight w:val="444"/>
          <w:tblCellSpacing w:w="0" w:type="dxa"/>
        </w:trPr>
        <w:tc>
          <w:tcPr>
            <w:tcW w:w="96" w:type="dxa"/>
            <w:shd w:val="clear" w:color="auto" w:fill="FFFFFF"/>
            <w:hideMark/>
          </w:tcPr>
          <w:p w:rsidR="00CD40B5" w:rsidRPr="00CD40B5" w:rsidRDefault="00CD40B5" w:rsidP="00CD40B5">
            <w:pPr>
              <w:spacing w:after="0" w:line="240" w:lineRule="auto"/>
              <w:rPr>
                <w:rFonts w:eastAsia="Times New Roman" w:cs="Times New Roman"/>
                <w:szCs w:val="24"/>
                <w:lang w:eastAsia="es-CO"/>
              </w:rPr>
            </w:pPr>
            <w:r w:rsidRPr="00CD40B5">
              <w:rPr>
                <w:rFonts w:eastAsia="Times New Roman" w:cs="Times New Roman"/>
                <w:noProof/>
                <w:szCs w:val="24"/>
                <w:lang w:eastAsia="es-CO"/>
              </w:rPr>
              <mc:AlternateContent>
                <mc:Choice Requires="wps">
                  <w:drawing>
                    <wp:inline distT="0" distB="0" distL="0" distR="0" wp14:anchorId="66A75EC0" wp14:editId="3DEADBC5">
                      <wp:extent cx="76200" cy="7620"/>
                      <wp:effectExtent l="0" t="0" r="0" b="0"/>
                      <wp:docPr id="3" name="AutoShape 5" descr="https://www.ceta.org.co/assets/images/autogen/clearpix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9B86B" id="AutoShape 5" o:spid="_x0000_s1026" alt="https://www.ceta.org.co/assets/images/autogen/clearpixel.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" filled="f" stroked="f">
                      <o:lock v:ext="edit" aspectratio="t"/>
                      <w10:anchorlock/>
                    </v:rect>
                  </w:pict>
                </mc:Fallback>
              </mc:AlternateContent>
            </w:r>
          </w:p>
          <w:p w:rsidR="00CD40B5" w:rsidRPr="00CD40B5" w:rsidRDefault="00CD40B5" w:rsidP="00CD40B5">
            <w:pPr>
              <w:spacing w:after="0" w:line="240" w:lineRule="auto"/>
              <w:rPr>
                <w:rFonts w:eastAsia="Times New Roman" w:cs="Times New Roman"/>
                <w:szCs w:val="24"/>
                <w:lang w:eastAsia="es-CO"/>
              </w:rPr>
            </w:pPr>
            <w:r w:rsidRPr="00CD40B5">
              <w:rPr>
                <w:rFonts w:eastAsia="Times New Roman" w:cs="Times New Roman"/>
                <w:szCs w:val="24"/>
                <w:lang w:eastAsia="es-CO"/>
              </w:rPr>
              <w:br/>
            </w:r>
          </w:p>
        </w:tc>
      </w:tr>
    </w:tbl>
    <w:p w:rsidR="00730617" w:rsidRPr="00CD40B5" w:rsidRDefault="00730617">
      <w:pPr>
        <w:rPr>
          <w:rFonts w:cs="Times New Roman"/>
          <w:szCs w:val="24"/>
        </w:rPr>
      </w:pPr>
    </w:p>
    <w:sectPr w:rsidR="00730617" w:rsidRPr="00CD40B5"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B5"/>
    <w:rsid w:val="00730617"/>
    <w:rsid w:val="00A45230"/>
    <w:rsid w:val="00CD40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A97"/>
  <w15:chartTrackingRefBased/>
  <w15:docId w15:val="{752A6D74-5AA2-43A0-A9EF-839F622D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D4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2082">
      <w:bodyDiv w:val="1"/>
      <w:marLeft w:val="0"/>
      <w:marRight w:val="0"/>
      <w:marTop w:val="0"/>
      <w:marBottom w:val="0"/>
      <w:divBdr>
        <w:top w:val="none" w:sz="0" w:space="0" w:color="auto"/>
        <w:left w:val="none" w:sz="0" w:space="0" w:color="auto"/>
        <w:bottom w:val="none" w:sz="0" w:space="0" w:color="auto"/>
        <w:right w:val="none" w:sz="0" w:space="0" w:color="auto"/>
      </w:divBdr>
    </w:div>
    <w:div w:id="714432919">
      <w:bodyDiv w:val="1"/>
      <w:marLeft w:val="0"/>
      <w:marRight w:val="0"/>
      <w:marTop w:val="0"/>
      <w:marBottom w:val="0"/>
      <w:divBdr>
        <w:top w:val="none" w:sz="0" w:space="0" w:color="auto"/>
        <w:left w:val="none" w:sz="0" w:space="0" w:color="auto"/>
        <w:bottom w:val="none" w:sz="0" w:space="0" w:color="auto"/>
        <w:right w:val="none" w:sz="0" w:space="0" w:color="auto"/>
      </w:divBdr>
    </w:div>
    <w:div w:id="1122067688">
      <w:bodyDiv w:val="1"/>
      <w:marLeft w:val="0"/>
      <w:marRight w:val="0"/>
      <w:marTop w:val="0"/>
      <w:marBottom w:val="0"/>
      <w:divBdr>
        <w:top w:val="none" w:sz="0" w:space="0" w:color="auto"/>
        <w:left w:val="none" w:sz="0" w:space="0" w:color="auto"/>
        <w:bottom w:val="none" w:sz="0" w:space="0" w:color="auto"/>
        <w:right w:val="none" w:sz="0" w:space="0" w:color="auto"/>
      </w:divBdr>
    </w:div>
    <w:div w:id="17425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32" TargetMode="External"/><Relationship Id="rId13" Type="http://schemas.openxmlformats.org/officeDocument/2006/relationships/hyperlink" Target="https://www.ceta.org.co/html/vista_de_un_articulo.asp?Norma=328" TargetMode="External"/><Relationship Id="rId18" Type="http://schemas.openxmlformats.org/officeDocument/2006/relationships/hyperlink" Target="https://www.ceta.org.co/html/vista_de_un_articulo.asp?Norma=328" TargetMode="External"/><Relationship Id="rId26" Type="http://schemas.openxmlformats.org/officeDocument/2006/relationships/hyperlink" Target="https://www.ceta.org.co/html/vista_de_un_articulo.asp?Norma=32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88" TargetMode="External"/><Relationship Id="rId7" Type="http://schemas.openxmlformats.org/officeDocument/2006/relationships/hyperlink" Target="https://www.ceta.org.co/html/vista_de_un_articulo.asp?Norma=328" TargetMode="External"/><Relationship Id="rId12" Type="http://schemas.openxmlformats.org/officeDocument/2006/relationships/hyperlink" Target="https://www.ceta.org.co/html/vista_de_un_articulo.asp?Norma=328" TargetMode="External"/><Relationship Id="rId17" Type="http://schemas.openxmlformats.org/officeDocument/2006/relationships/hyperlink" Target="https://www.ceta.org.co/html/vista_de_un_articulo.asp?Norma=332" TargetMode="External"/><Relationship Id="rId25" Type="http://schemas.openxmlformats.org/officeDocument/2006/relationships/hyperlink" Target="https://www.ceta.org.co/html/vista_de_un_articulo.asp?Norma=328" TargetMode="External"/><Relationship Id="rId2" Type="http://schemas.openxmlformats.org/officeDocument/2006/relationships/settings" Target="settings.xml"/><Relationship Id="rId16" Type="http://schemas.openxmlformats.org/officeDocument/2006/relationships/hyperlink" Target="https://www.ceta.org.co/html/vista_de_un_articulo.asp?Norma=332" TargetMode="External"/><Relationship Id="rId20" Type="http://schemas.openxmlformats.org/officeDocument/2006/relationships/hyperlink" Target="https://www.ceta.org.co/html/vista_de_un_articulo.asp?Norma=328" TargetMode="External"/><Relationship Id="rId1" Type="http://schemas.openxmlformats.org/officeDocument/2006/relationships/styles" Target="styles.xml"/><Relationship Id="rId6" Type="http://schemas.openxmlformats.org/officeDocument/2006/relationships/hyperlink" Target="https://www.ceta.org.co/html/vista_de_un_articulo.asp?Norma=188" TargetMode="External"/><Relationship Id="rId11" Type="http://schemas.openxmlformats.org/officeDocument/2006/relationships/hyperlink" Target="https://www.ceta.org.co/html/vista_de_un_articulo.asp?Norma=332" TargetMode="External"/><Relationship Id="rId24" Type="http://schemas.openxmlformats.org/officeDocument/2006/relationships/hyperlink" Target="https://www.ceta.org.co/html/vista_de_un_articulo.asp?Norma=328" TargetMode="External"/><Relationship Id="rId5" Type="http://schemas.openxmlformats.org/officeDocument/2006/relationships/hyperlink" Target="https://www.ceta.org.co/html/vista_de_un_articulo.asp?Norma=332" TargetMode="External"/><Relationship Id="rId15" Type="http://schemas.openxmlformats.org/officeDocument/2006/relationships/hyperlink" Target="https://www.ceta.org.co/html/vista_de_un_articulo.asp?Norma=332" TargetMode="External"/><Relationship Id="rId23" Type="http://schemas.openxmlformats.org/officeDocument/2006/relationships/hyperlink" Target="https://www.ceta.org.co/html/vista_de_un_articulo.asp?Norma=188" TargetMode="External"/><Relationship Id="rId28" Type="http://schemas.openxmlformats.org/officeDocument/2006/relationships/theme" Target="theme/theme1.xml"/><Relationship Id="rId10" Type="http://schemas.openxmlformats.org/officeDocument/2006/relationships/hyperlink" Target="https://www.ceta.org.co/html/vista_de_un_articulo.asp?Norma=328" TargetMode="External"/><Relationship Id="rId19" Type="http://schemas.openxmlformats.org/officeDocument/2006/relationships/hyperlink" Target="https://www.ceta.org.co/html/vista_de_un_articulo.asp?Norma=332" TargetMode="External"/><Relationship Id="rId4" Type="http://schemas.openxmlformats.org/officeDocument/2006/relationships/hyperlink" Target="https://www.ceta.org.co/html/vista_de_un_articulo.asp?Norma=328" TargetMode="External"/><Relationship Id="rId9" Type="http://schemas.openxmlformats.org/officeDocument/2006/relationships/hyperlink" Target="https://www.ceta.org.co/html/vista_de_un_articulo.asp?Norma=328" TargetMode="External"/><Relationship Id="rId14" Type="http://schemas.openxmlformats.org/officeDocument/2006/relationships/hyperlink" Target="https://www.ceta.org.co/html/vista_de_un_articulo.asp?Norma=328" TargetMode="External"/><Relationship Id="rId22" Type="http://schemas.openxmlformats.org/officeDocument/2006/relationships/hyperlink" Target="https://www.ceta.org.co/html/vista_de_un_articulo.asp?Norma=188"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2044</Words>
  <Characters>11244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2019-06-20T01:46:00Z</dcterms:created>
  <dcterms:modified xsi:type="dcterms:W3CDTF">2019-06-20T01:53:00Z</dcterms:modified>
</cp:coreProperties>
</file>