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DE9" w:rsidRDefault="00162DE9" w:rsidP="00A06ED1">
      <w:pPr>
        <w:shd w:val="clear" w:color="auto" w:fill="FFFFFF"/>
        <w:spacing w:after="0" w:line="240" w:lineRule="auto"/>
        <w:jc w:val="center"/>
        <w:rPr>
          <w:rFonts w:eastAsia="Times New Roman" w:cs="Times New Roman"/>
          <w:b/>
          <w:bCs/>
          <w:szCs w:val="24"/>
          <w:lang w:eastAsia="es-CO"/>
        </w:rPr>
      </w:pPr>
    </w:p>
    <w:p w:rsidR="00162DE9" w:rsidRDefault="00162DE9" w:rsidP="00A06ED1">
      <w:pPr>
        <w:shd w:val="clear" w:color="auto" w:fill="FFFFFF"/>
        <w:spacing w:after="0" w:line="240" w:lineRule="auto"/>
        <w:jc w:val="center"/>
        <w:rPr>
          <w:rFonts w:eastAsia="Times New Roman" w:cs="Times New Roman"/>
          <w:b/>
          <w:bCs/>
          <w:szCs w:val="24"/>
          <w:lang w:eastAsia="es-CO"/>
        </w:rPr>
      </w:pPr>
    </w:p>
    <w:p w:rsidR="008977B4" w:rsidRDefault="008977B4" w:rsidP="00A06ED1">
      <w:pPr>
        <w:shd w:val="clear" w:color="auto" w:fill="FFFFFF"/>
        <w:spacing w:after="0" w:line="240" w:lineRule="auto"/>
        <w:jc w:val="center"/>
        <w:rPr>
          <w:rFonts w:eastAsia="Times New Roman" w:cs="Times New Roman"/>
          <w:b/>
          <w:bCs/>
          <w:szCs w:val="24"/>
          <w:lang w:eastAsia="es-CO"/>
        </w:rPr>
      </w:pPr>
    </w:p>
    <w:p w:rsidR="008977B4" w:rsidRDefault="008977B4" w:rsidP="00A06ED1">
      <w:pPr>
        <w:shd w:val="clear" w:color="auto" w:fill="FFFFFF"/>
        <w:spacing w:after="0" w:line="240" w:lineRule="auto"/>
        <w:jc w:val="center"/>
        <w:rPr>
          <w:rFonts w:eastAsia="Times New Roman" w:cs="Times New Roman"/>
          <w:b/>
          <w:bCs/>
          <w:szCs w:val="24"/>
          <w:lang w:eastAsia="es-CO"/>
        </w:rPr>
      </w:pPr>
    </w:p>
    <w:p w:rsidR="008977B4" w:rsidRDefault="008977B4" w:rsidP="00A06ED1">
      <w:pPr>
        <w:shd w:val="clear" w:color="auto" w:fill="FFFFFF"/>
        <w:spacing w:after="0" w:line="240" w:lineRule="auto"/>
        <w:jc w:val="center"/>
        <w:rPr>
          <w:rFonts w:eastAsia="Times New Roman" w:cs="Times New Roman"/>
          <w:b/>
          <w:bCs/>
          <w:szCs w:val="24"/>
          <w:lang w:eastAsia="es-CO"/>
        </w:rPr>
      </w:pPr>
    </w:p>
    <w:p w:rsidR="00CF5DD9" w:rsidRPr="00CF5DD9" w:rsidRDefault="00CF5DD9" w:rsidP="00CF5DD9">
      <w:pPr>
        <w:shd w:val="clear" w:color="auto" w:fill="FFFFFF"/>
        <w:spacing w:after="0" w:line="360" w:lineRule="auto"/>
        <w:jc w:val="both"/>
        <w:rPr>
          <w:rFonts w:eastAsia="Times New Roman" w:cs="Times New Roman"/>
          <w:b/>
          <w:bCs/>
          <w:szCs w:val="24"/>
          <w:lang w:eastAsia="es-CO"/>
        </w:rPr>
      </w:pPr>
      <w:r>
        <w:rPr>
          <w:rFonts w:eastAsia="Times New Roman" w:cs="Times New Roman"/>
          <w:b/>
          <w:bCs/>
          <w:szCs w:val="24"/>
          <w:lang w:eastAsia="es-CO"/>
        </w:rPr>
        <w:t xml:space="preserve">CONCEPTOS DIAN SOBRE TRATAMIENTO DEL IVA PAGADO EN LA ADQUISICIÒN O CONSTRUCCIÒN DE ACTIVOS FIJOS: </w:t>
      </w:r>
      <w:bookmarkStart w:id="0" w:name="_GoBack"/>
      <w:bookmarkEnd w:id="0"/>
    </w:p>
    <w:p w:rsidR="00CF5DD9" w:rsidRPr="001946DF" w:rsidRDefault="00CF5DD9" w:rsidP="00CF5DD9">
      <w:pPr>
        <w:rPr>
          <w:rFonts w:cs="Times New Roman"/>
          <w:szCs w:val="24"/>
        </w:rPr>
      </w:pPr>
    </w:p>
    <w:p w:rsidR="00CF5DD9" w:rsidRPr="001946DF" w:rsidRDefault="00CF5DD9" w:rsidP="00CF5DD9">
      <w:pPr>
        <w:spacing w:after="0" w:line="240" w:lineRule="auto"/>
        <w:jc w:val="center"/>
        <w:rPr>
          <w:rFonts w:eastAsia="Times New Roman" w:cs="Times New Roman"/>
          <w:szCs w:val="24"/>
          <w:lang w:eastAsia="es-CO"/>
        </w:rPr>
      </w:pPr>
      <w:r w:rsidRPr="001946DF">
        <w:rPr>
          <w:rFonts w:eastAsia="Times New Roman" w:cs="Times New Roman"/>
          <w:b/>
          <w:bCs/>
          <w:szCs w:val="24"/>
          <w:lang w:eastAsia="es-CO"/>
        </w:rPr>
        <w:t>OFICIO Nº 420 [004429]</w:t>
      </w:r>
    </w:p>
    <w:p w:rsidR="00CF5DD9" w:rsidRPr="001946DF" w:rsidRDefault="00CF5DD9" w:rsidP="00CF5DD9">
      <w:pPr>
        <w:spacing w:after="0" w:line="240" w:lineRule="auto"/>
        <w:jc w:val="center"/>
        <w:rPr>
          <w:rFonts w:eastAsia="Times New Roman" w:cs="Times New Roman"/>
          <w:szCs w:val="24"/>
          <w:lang w:eastAsia="es-CO"/>
        </w:rPr>
      </w:pPr>
      <w:r w:rsidRPr="001946DF">
        <w:rPr>
          <w:rFonts w:eastAsia="Times New Roman" w:cs="Times New Roman"/>
          <w:b/>
          <w:bCs/>
          <w:szCs w:val="24"/>
          <w:lang w:eastAsia="es-CO"/>
        </w:rPr>
        <w:t>22-02-2019</w:t>
      </w:r>
    </w:p>
    <w:p w:rsidR="00CF5DD9" w:rsidRPr="001946DF" w:rsidRDefault="00CF5DD9" w:rsidP="00CF5DD9">
      <w:pPr>
        <w:spacing w:after="0" w:line="240" w:lineRule="auto"/>
        <w:jc w:val="center"/>
        <w:rPr>
          <w:rFonts w:eastAsia="Times New Roman" w:cs="Times New Roman"/>
          <w:szCs w:val="24"/>
          <w:lang w:eastAsia="es-CO"/>
        </w:rPr>
      </w:pPr>
      <w:r w:rsidRPr="001946DF">
        <w:rPr>
          <w:rFonts w:eastAsia="Times New Roman" w:cs="Times New Roman"/>
          <w:b/>
          <w:bCs/>
          <w:szCs w:val="24"/>
          <w:lang w:eastAsia="es-CO"/>
        </w:rPr>
        <w:t>DIAN</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b/>
          <w:bCs/>
          <w:szCs w:val="24"/>
          <w:lang w:eastAsia="es-CO"/>
        </w:rPr>
        <w:t> </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b/>
          <w:bCs/>
          <w:szCs w:val="24"/>
          <w:lang w:eastAsia="es-CO"/>
        </w:rPr>
        <w:t> </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Subdirección de Gestión Normativa y Doctrina</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100208221 – 000420</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Bogotá, D.C.</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CF5DD9" w:rsidRPr="001946DF" w:rsidRDefault="00CF5DD9" w:rsidP="00CF5DD9">
      <w:pPr>
        <w:spacing w:after="0" w:line="240" w:lineRule="auto"/>
        <w:jc w:val="both"/>
        <w:rPr>
          <w:rFonts w:eastAsia="Times New Roman" w:cs="Times New Roman"/>
          <w:szCs w:val="24"/>
          <w:lang w:eastAsia="es-CO"/>
        </w:rPr>
      </w:pPr>
      <w:proofErr w:type="spellStart"/>
      <w:r w:rsidRPr="001946DF">
        <w:rPr>
          <w:rFonts w:eastAsia="Times New Roman" w:cs="Times New Roman"/>
          <w:b/>
          <w:bCs/>
          <w:szCs w:val="24"/>
          <w:lang w:eastAsia="es-CO"/>
        </w:rPr>
        <w:t>Ref</w:t>
      </w:r>
      <w:proofErr w:type="spellEnd"/>
      <w:r w:rsidRPr="001946DF">
        <w:rPr>
          <w:rFonts w:eastAsia="Times New Roman" w:cs="Times New Roman"/>
          <w:b/>
          <w:bCs/>
          <w:szCs w:val="24"/>
          <w:lang w:eastAsia="es-CO"/>
        </w:rPr>
        <w:t>: </w:t>
      </w:r>
      <w:r w:rsidRPr="001946DF">
        <w:rPr>
          <w:rFonts w:eastAsia="Times New Roman" w:cs="Times New Roman"/>
          <w:szCs w:val="24"/>
          <w:lang w:eastAsia="es-CO"/>
        </w:rPr>
        <w:t>Radicado 100002143 del 14/01/2019</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969"/>
        <w:gridCol w:w="276"/>
        <w:gridCol w:w="276"/>
        <w:gridCol w:w="4409"/>
      </w:tblGrid>
      <w:tr w:rsidR="00CF5DD9" w:rsidRPr="001946DF" w:rsidTr="00DC1C91">
        <w:tc>
          <w:tcPr>
            <w:tcW w:w="0" w:type="auto"/>
            <w:tcBorders>
              <w:top w:val="nil"/>
              <w:left w:val="nil"/>
              <w:bottom w:val="nil"/>
              <w:right w:val="nil"/>
            </w:tcBorders>
            <w:shd w:val="clear" w:color="auto" w:fill="auto"/>
            <w:tcMar>
              <w:top w:w="0" w:type="dxa"/>
              <w:left w:w="108" w:type="dxa"/>
              <w:bottom w:w="0" w:type="dxa"/>
              <w:right w:w="108" w:type="dxa"/>
            </w:tcMar>
            <w:hideMark/>
          </w:tcPr>
          <w:p w:rsidR="00CF5DD9" w:rsidRPr="001946DF" w:rsidRDefault="00CF5DD9" w:rsidP="00DC1C91">
            <w:pPr>
              <w:spacing w:after="0" w:line="240" w:lineRule="auto"/>
              <w:jc w:val="both"/>
              <w:rPr>
                <w:rFonts w:eastAsia="Times New Roman" w:cs="Times New Roman"/>
                <w:szCs w:val="24"/>
                <w:lang w:eastAsia="es-CO"/>
              </w:rPr>
            </w:pPr>
            <w:r w:rsidRPr="001946DF">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F5DD9" w:rsidRPr="001946DF" w:rsidRDefault="00CF5DD9" w:rsidP="00DC1C91">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F5DD9" w:rsidRPr="001946DF" w:rsidRDefault="00CF5DD9" w:rsidP="00DC1C91">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F5DD9" w:rsidRPr="001946DF" w:rsidRDefault="00CF5DD9" w:rsidP="00DC1C91">
            <w:pPr>
              <w:spacing w:after="0" w:line="240" w:lineRule="auto"/>
              <w:jc w:val="both"/>
              <w:rPr>
                <w:rFonts w:eastAsia="Times New Roman" w:cs="Times New Roman"/>
                <w:szCs w:val="24"/>
                <w:lang w:eastAsia="es-CO"/>
              </w:rPr>
            </w:pPr>
            <w:r w:rsidRPr="001946DF">
              <w:rPr>
                <w:rFonts w:eastAsia="Times New Roman" w:cs="Times New Roman"/>
                <w:szCs w:val="24"/>
                <w:lang w:eastAsia="es-CO"/>
              </w:rPr>
              <w:t>Impuesto a las ventas</w:t>
            </w:r>
          </w:p>
        </w:tc>
      </w:tr>
      <w:tr w:rsidR="00CF5DD9" w:rsidRPr="001946DF" w:rsidTr="00DC1C91">
        <w:tc>
          <w:tcPr>
            <w:tcW w:w="0" w:type="auto"/>
            <w:tcBorders>
              <w:top w:val="nil"/>
              <w:left w:val="nil"/>
              <w:bottom w:val="nil"/>
              <w:right w:val="nil"/>
            </w:tcBorders>
            <w:shd w:val="clear" w:color="auto" w:fill="auto"/>
            <w:tcMar>
              <w:top w:w="0" w:type="dxa"/>
              <w:left w:w="108" w:type="dxa"/>
              <w:bottom w:w="0" w:type="dxa"/>
              <w:right w:w="108" w:type="dxa"/>
            </w:tcMar>
            <w:hideMark/>
          </w:tcPr>
          <w:p w:rsidR="00CF5DD9" w:rsidRPr="001946DF" w:rsidRDefault="00CF5DD9" w:rsidP="00DC1C91">
            <w:pPr>
              <w:spacing w:after="0" w:line="240" w:lineRule="auto"/>
              <w:jc w:val="both"/>
              <w:rPr>
                <w:rFonts w:eastAsia="Times New Roman" w:cs="Times New Roman"/>
                <w:szCs w:val="24"/>
                <w:lang w:eastAsia="es-CO"/>
              </w:rPr>
            </w:pPr>
            <w:r w:rsidRPr="001946DF">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F5DD9" w:rsidRPr="001946DF" w:rsidRDefault="00CF5DD9" w:rsidP="00DC1C91">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F5DD9" w:rsidRPr="001946DF" w:rsidRDefault="00CF5DD9" w:rsidP="00DC1C91">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F5DD9" w:rsidRPr="001946DF" w:rsidRDefault="00CF5DD9" w:rsidP="00DC1C91">
            <w:pPr>
              <w:spacing w:after="0" w:line="240" w:lineRule="auto"/>
              <w:jc w:val="both"/>
              <w:rPr>
                <w:rFonts w:eastAsia="Times New Roman" w:cs="Times New Roman"/>
                <w:szCs w:val="24"/>
                <w:lang w:eastAsia="es-CO"/>
              </w:rPr>
            </w:pPr>
            <w:r w:rsidRPr="001946DF">
              <w:rPr>
                <w:rFonts w:eastAsia="Times New Roman" w:cs="Times New Roman"/>
                <w:szCs w:val="24"/>
                <w:lang w:eastAsia="es-CO"/>
              </w:rPr>
              <w:t>Impuesto Sobre las Ventas no Descontable</w:t>
            </w:r>
          </w:p>
        </w:tc>
      </w:tr>
      <w:tr w:rsidR="00CF5DD9" w:rsidRPr="001946DF" w:rsidTr="00DC1C91">
        <w:tc>
          <w:tcPr>
            <w:tcW w:w="0" w:type="auto"/>
            <w:tcBorders>
              <w:top w:val="nil"/>
              <w:left w:val="nil"/>
              <w:bottom w:val="nil"/>
              <w:right w:val="nil"/>
            </w:tcBorders>
            <w:shd w:val="clear" w:color="auto" w:fill="auto"/>
            <w:tcMar>
              <w:top w:w="0" w:type="dxa"/>
              <w:left w:w="108" w:type="dxa"/>
              <w:bottom w:w="0" w:type="dxa"/>
              <w:right w:w="108" w:type="dxa"/>
            </w:tcMar>
            <w:hideMark/>
          </w:tcPr>
          <w:p w:rsidR="00CF5DD9" w:rsidRPr="001946DF" w:rsidRDefault="00CF5DD9" w:rsidP="00DC1C91">
            <w:pPr>
              <w:spacing w:after="0" w:line="240" w:lineRule="auto"/>
              <w:jc w:val="both"/>
              <w:rPr>
                <w:rFonts w:eastAsia="Times New Roman" w:cs="Times New Roman"/>
                <w:szCs w:val="24"/>
                <w:lang w:eastAsia="es-CO"/>
              </w:rPr>
            </w:pPr>
            <w:r w:rsidRPr="001946DF">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F5DD9" w:rsidRPr="001946DF" w:rsidRDefault="00CF5DD9" w:rsidP="00DC1C91">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F5DD9" w:rsidRPr="001946DF" w:rsidRDefault="00CF5DD9" w:rsidP="00DC1C91">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F5DD9" w:rsidRPr="001946DF" w:rsidRDefault="00CF5DD9" w:rsidP="00DC1C91">
            <w:pPr>
              <w:spacing w:after="0" w:line="240" w:lineRule="auto"/>
              <w:jc w:val="both"/>
              <w:rPr>
                <w:rFonts w:eastAsia="Times New Roman" w:cs="Times New Roman"/>
                <w:szCs w:val="24"/>
                <w:lang w:eastAsia="es-CO"/>
              </w:rPr>
            </w:pPr>
            <w:r w:rsidRPr="001946DF">
              <w:rPr>
                <w:rFonts w:eastAsia="Times New Roman" w:cs="Times New Roman"/>
                <w:szCs w:val="24"/>
                <w:lang w:eastAsia="es-CO"/>
              </w:rPr>
              <w:t>Artículos 122 y 83 de la Ley 1943 de 2018.</w:t>
            </w:r>
          </w:p>
          <w:p w:rsidR="00CF5DD9" w:rsidRPr="001946DF" w:rsidRDefault="00CF5DD9" w:rsidP="00DC1C91">
            <w:pPr>
              <w:spacing w:after="0" w:line="240" w:lineRule="auto"/>
              <w:jc w:val="both"/>
              <w:rPr>
                <w:rFonts w:eastAsia="Times New Roman" w:cs="Times New Roman"/>
                <w:szCs w:val="24"/>
                <w:lang w:eastAsia="es-CO"/>
              </w:rPr>
            </w:pPr>
            <w:r w:rsidRPr="001946DF">
              <w:rPr>
                <w:rFonts w:eastAsia="Times New Roman" w:cs="Times New Roman"/>
                <w:szCs w:val="24"/>
                <w:lang w:eastAsia="es-CO"/>
              </w:rPr>
              <w:t>Artículo </w:t>
            </w:r>
            <w:hyperlink r:id="rId5" w:tooltip="Estatuto Tributario CETA" w:history="1">
              <w:r w:rsidRPr="001946DF">
                <w:rPr>
                  <w:rFonts w:eastAsia="Times New Roman" w:cs="Times New Roman"/>
                  <w:szCs w:val="24"/>
                  <w:u w:val="single"/>
                  <w:lang w:eastAsia="es-CO"/>
                </w:rPr>
                <w:t>60</w:t>
              </w:r>
            </w:hyperlink>
            <w:r w:rsidRPr="001946DF">
              <w:rPr>
                <w:rFonts w:eastAsia="Times New Roman" w:cs="Times New Roman"/>
                <w:szCs w:val="24"/>
                <w:lang w:eastAsia="es-CO"/>
              </w:rPr>
              <w:t> y </w:t>
            </w:r>
            <w:hyperlink r:id="rId6" w:tooltip="Estatuto Tributario CETA" w:history="1">
              <w:r w:rsidRPr="001946DF">
                <w:rPr>
                  <w:rFonts w:eastAsia="Times New Roman" w:cs="Times New Roman"/>
                  <w:szCs w:val="24"/>
                  <w:u w:val="single"/>
                  <w:lang w:eastAsia="es-CO"/>
                </w:rPr>
                <w:t>258-1</w:t>
              </w:r>
            </w:hyperlink>
            <w:r w:rsidRPr="001946DF">
              <w:rPr>
                <w:rFonts w:eastAsia="Times New Roman" w:cs="Times New Roman"/>
                <w:szCs w:val="24"/>
                <w:lang w:eastAsia="es-CO"/>
              </w:rPr>
              <w:t> del Estatuto Tributario.</w:t>
            </w:r>
          </w:p>
        </w:tc>
      </w:tr>
    </w:tbl>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Cordial saludo, Señor Díaz:</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Corresponde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En atención a la consulta, en la que solicita:</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i/>
          <w:iCs/>
          <w:szCs w:val="24"/>
          <w:u w:val="single"/>
          <w:lang w:eastAsia="es-CO"/>
        </w:rPr>
        <w:t xml:space="preserve">1. ¿El valor del </w:t>
      </w:r>
      <w:proofErr w:type="spellStart"/>
      <w:r w:rsidRPr="001946DF">
        <w:rPr>
          <w:rFonts w:eastAsia="Times New Roman" w:cs="Times New Roman"/>
          <w:i/>
          <w:iCs/>
          <w:szCs w:val="24"/>
          <w:u w:val="single"/>
          <w:lang w:eastAsia="es-CO"/>
        </w:rPr>
        <w:t>iva</w:t>
      </w:r>
      <w:proofErr w:type="spellEnd"/>
      <w:r w:rsidRPr="001946DF">
        <w:rPr>
          <w:rFonts w:eastAsia="Times New Roman" w:cs="Times New Roman"/>
          <w:i/>
          <w:iCs/>
          <w:szCs w:val="24"/>
          <w:u w:val="single"/>
          <w:lang w:eastAsia="es-CO"/>
        </w:rPr>
        <w:t xml:space="preserve"> pagado en la compra o importación de activos fijos desde el 01/01/2019, se debe tratar como </w:t>
      </w:r>
      <w:proofErr w:type="spellStart"/>
      <w:r w:rsidRPr="001946DF">
        <w:rPr>
          <w:rFonts w:eastAsia="Times New Roman" w:cs="Times New Roman"/>
          <w:i/>
          <w:iCs/>
          <w:szCs w:val="24"/>
          <w:u w:val="single"/>
          <w:lang w:eastAsia="es-CO"/>
        </w:rPr>
        <w:t>iva</w:t>
      </w:r>
      <w:proofErr w:type="spellEnd"/>
      <w:r w:rsidRPr="001946DF">
        <w:rPr>
          <w:rFonts w:eastAsia="Times New Roman" w:cs="Times New Roman"/>
          <w:i/>
          <w:iCs/>
          <w:szCs w:val="24"/>
          <w:u w:val="single"/>
          <w:lang w:eastAsia="es-CO"/>
        </w:rPr>
        <w:t xml:space="preserve"> descontable o mayor valor del bien?</w:t>
      </w:r>
    </w:p>
    <w:p w:rsidR="00CF5DD9" w:rsidRPr="001946DF" w:rsidRDefault="00CF5DD9" w:rsidP="00CF5DD9">
      <w:pPr>
        <w:spacing w:after="0" w:line="240" w:lineRule="auto"/>
        <w:jc w:val="both"/>
        <w:rPr>
          <w:rFonts w:eastAsia="Times New Roman" w:cs="Times New Roman"/>
          <w:i/>
          <w:iCs/>
          <w:szCs w:val="24"/>
          <w:u w:val="single"/>
          <w:lang w:eastAsia="es-CO"/>
        </w:rPr>
      </w:pP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i/>
          <w:iCs/>
          <w:szCs w:val="24"/>
          <w:u w:val="single"/>
          <w:lang w:eastAsia="es-CO"/>
        </w:rPr>
        <w:t xml:space="preserve">2. Si el </w:t>
      </w:r>
      <w:proofErr w:type="spellStart"/>
      <w:r w:rsidRPr="001946DF">
        <w:rPr>
          <w:rFonts w:eastAsia="Times New Roman" w:cs="Times New Roman"/>
          <w:i/>
          <w:iCs/>
          <w:szCs w:val="24"/>
          <w:u w:val="single"/>
          <w:lang w:eastAsia="es-CO"/>
        </w:rPr>
        <w:t>iva</w:t>
      </w:r>
      <w:proofErr w:type="spellEnd"/>
      <w:r w:rsidRPr="001946DF">
        <w:rPr>
          <w:rFonts w:eastAsia="Times New Roman" w:cs="Times New Roman"/>
          <w:i/>
          <w:iCs/>
          <w:szCs w:val="24"/>
          <w:u w:val="single"/>
          <w:lang w:eastAsia="es-CO"/>
        </w:rPr>
        <w:t xml:space="preserve"> en la compra de activos fijos debe tomarse en virtud de la derogatoria del </w:t>
      </w:r>
      <w:hyperlink r:id="rId7" w:tooltip="Estatuto Tributario CETA" w:history="1">
        <w:r w:rsidRPr="001946DF">
          <w:rPr>
            <w:rFonts w:eastAsia="Times New Roman" w:cs="Times New Roman"/>
            <w:i/>
            <w:iCs/>
            <w:szCs w:val="24"/>
            <w:u w:val="single"/>
            <w:lang w:eastAsia="es-CO"/>
          </w:rPr>
          <w:t>artículo 491</w:t>
        </w:r>
      </w:hyperlink>
      <w:r w:rsidRPr="001946DF">
        <w:rPr>
          <w:rFonts w:eastAsia="Times New Roman" w:cs="Times New Roman"/>
          <w:i/>
          <w:iCs/>
          <w:szCs w:val="24"/>
          <w:u w:val="single"/>
          <w:lang w:eastAsia="es-CO"/>
        </w:rPr>
        <w:t> ET como descontable ¿La venta de activos fijos continúa no gravada para efectos del IVA?</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Sobre el particular, le manifestamos que con la derogatoria del </w:t>
      </w:r>
      <w:hyperlink r:id="rId8" w:tooltip="Estatuto Tributario CETA" w:history="1">
        <w:r w:rsidRPr="001946DF">
          <w:rPr>
            <w:rFonts w:eastAsia="Times New Roman" w:cs="Times New Roman"/>
            <w:szCs w:val="24"/>
            <w:u w:val="single"/>
            <w:lang w:eastAsia="es-CO"/>
          </w:rPr>
          <w:t>artículo 491</w:t>
        </w:r>
      </w:hyperlink>
      <w:r w:rsidRPr="001946DF">
        <w:rPr>
          <w:rFonts w:eastAsia="Times New Roman" w:cs="Times New Roman"/>
          <w:szCs w:val="24"/>
          <w:lang w:eastAsia="es-CO"/>
        </w:rPr>
        <w:t> del Estatuto Tributario, consagrada en el artículo 122 de la Ley 1943 de 2018, el IVA pagado en la adquisición o importación de activos fijos mantendrá el mismo tratamiento anterior a la derogatoria en mención. Por lo cual, el IVA pagado en la adquisición o importación de activos fijos deberá ser tratado como un mayor valor del costo y no como un IVA descontable.</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lastRenderedPageBreak/>
        <w:t>Lo anterior, en virtud del </w:t>
      </w:r>
      <w:hyperlink r:id="rId9" w:tooltip="Estatuto Tributario CETA" w:history="1">
        <w:r w:rsidRPr="001946DF">
          <w:rPr>
            <w:rFonts w:eastAsia="Times New Roman" w:cs="Times New Roman"/>
            <w:szCs w:val="24"/>
            <w:u w:val="single"/>
            <w:lang w:eastAsia="es-CO"/>
          </w:rPr>
          <w:t>artículo 488</w:t>
        </w:r>
      </w:hyperlink>
      <w:r w:rsidRPr="001946DF">
        <w:rPr>
          <w:rFonts w:eastAsia="Times New Roman" w:cs="Times New Roman"/>
          <w:szCs w:val="24"/>
          <w:lang w:eastAsia="es-CO"/>
        </w:rPr>
        <w:t> del Estatuto Tributario el cual establece tal limitación de la siguiente manera:</w:t>
      </w:r>
    </w:p>
    <w:p w:rsidR="00CF5DD9" w:rsidRPr="001946DF" w:rsidRDefault="00CF5DD9" w:rsidP="00CF5DD9">
      <w:pPr>
        <w:spacing w:after="0" w:line="240" w:lineRule="auto"/>
        <w:ind w:left="180"/>
        <w:jc w:val="both"/>
        <w:rPr>
          <w:rFonts w:eastAsia="Times New Roman" w:cs="Times New Roman"/>
          <w:szCs w:val="24"/>
          <w:lang w:eastAsia="es-CO"/>
        </w:rPr>
      </w:pPr>
      <w:r w:rsidRPr="001946DF">
        <w:rPr>
          <w:rFonts w:eastAsia="Times New Roman" w:cs="Times New Roman"/>
          <w:i/>
          <w:iCs/>
          <w:szCs w:val="24"/>
          <w:lang w:eastAsia="es-CO"/>
        </w:rPr>
        <w:t> </w:t>
      </w:r>
    </w:p>
    <w:p w:rsidR="00CF5DD9" w:rsidRPr="001946DF" w:rsidRDefault="00CF5DD9" w:rsidP="00CF5DD9">
      <w:pPr>
        <w:spacing w:after="0" w:line="240" w:lineRule="auto"/>
        <w:ind w:left="180"/>
        <w:jc w:val="both"/>
        <w:rPr>
          <w:rFonts w:eastAsia="Times New Roman" w:cs="Times New Roman"/>
          <w:szCs w:val="24"/>
          <w:lang w:eastAsia="es-CO"/>
        </w:rPr>
      </w:pPr>
      <w:r w:rsidRPr="001946DF">
        <w:rPr>
          <w:rFonts w:eastAsia="Times New Roman" w:cs="Times New Roman"/>
          <w:i/>
          <w:iCs/>
          <w:szCs w:val="24"/>
          <w:lang w:eastAsia="es-CO"/>
        </w:rPr>
        <w:t>“Solo otorga derecho a descuento, el impuesto sobre las ventas por las </w:t>
      </w:r>
      <w:r w:rsidRPr="001946DF">
        <w:rPr>
          <w:rFonts w:eastAsia="Times New Roman" w:cs="Times New Roman"/>
          <w:i/>
          <w:iCs/>
          <w:szCs w:val="24"/>
          <w:u w:val="single"/>
          <w:lang w:eastAsia="es-CO"/>
        </w:rPr>
        <w:t>adquisiciones de bienes corporales muebles</w:t>
      </w:r>
      <w:r w:rsidRPr="001946DF">
        <w:rPr>
          <w:rFonts w:eastAsia="Times New Roman" w:cs="Times New Roman"/>
          <w:i/>
          <w:iCs/>
          <w:szCs w:val="24"/>
          <w:lang w:eastAsia="es-CO"/>
        </w:rPr>
        <w:t> y servicios, y por las importaciones que, </w:t>
      </w:r>
      <w:r w:rsidRPr="001946DF">
        <w:rPr>
          <w:rFonts w:eastAsia="Times New Roman" w:cs="Times New Roman"/>
          <w:i/>
          <w:iCs/>
          <w:szCs w:val="24"/>
          <w:u w:val="single"/>
          <w:lang w:eastAsia="es-CO"/>
        </w:rPr>
        <w:t>de acuerdo con las disposiciones del impuesto a la renta, resulten computables como costo o gasto de la empresa</w:t>
      </w:r>
      <w:r w:rsidRPr="001946DF">
        <w:rPr>
          <w:rFonts w:eastAsia="Times New Roman" w:cs="Times New Roman"/>
          <w:i/>
          <w:iCs/>
          <w:szCs w:val="24"/>
          <w:lang w:eastAsia="es-CO"/>
        </w:rPr>
        <w:t> y que se destinen a las operaciones gravadas con el impuesto sobre las ventas.”</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 xml:space="preserve">Este artículo indica que solo será descontable el impuesto a las ventas que se origine en operaciones que constituyan costo o gasto. En este sentido, cuando un contribuyente adquiere un activo, este no es susceptible de generar un costo o </w:t>
      </w:r>
      <w:proofErr w:type="gramStart"/>
      <w:r w:rsidRPr="001946DF">
        <w:rPr>
          <w:rFonts w:eastAsia="Times New Roman" w:cs="Times New Roman"/>
          <w:szCs w:val="24"/>
          <w:lang w:eastAsia="es-CO"/>
        </w:rPr>
        <w:t>gasto</w:t>
      </w:r>
      <w:proofErr w:type="gramEnd"/>
      <w:r w:rsidRPr="001946DF">
        <w:rPr>
          <w:rFonts w:eastAsia="Times New Roman" w:cs="Times New Roman"/>
          <w:szCs w:val="24"/>
          <w:lang w:eastAsia="es-CO"/>
        </w:rPr>
        <w:t xml:space="preserve"> sino que debe ser registrado directamente como un activo. Es decir, la compra de dicho activo no afecta el estado de resultados, sino el patrimonio.</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Es importante recalcar que el </w:t>
      </w:r>
      <w:hyperlink r:id="rId10" w:tooltip="Estatuto Tributario CETA" w:history="1">
        <w:r w:rsidRPr="001946DF">
          <w:rPr>
            <w:rFonts w:eastAsia="Times New Roman" w:cs="Times New Roman"/>
            <w:szCs w:val="24"/>
            <w:u w:val="single"/>
            <w:lang w:eastAsia="es-CO"/>
          </w:rPr>
          <w:t>artículo 60</w:t>
        </w:r>
      </w:hyperlink>
      <w:r w:rsidRPr="001946DF">
        <w:rPr>
          <w:rFonts w:eastAsia="Times New Roman" w:cs="Times New Roman"/>
          <w:szCs w:val="24"/>
          <w:lang w:eastAsia="es-CO"/>
        </w:rPr>
        <w:t> del Estatuto Tributario clasifica los activos como movibles, fijos o inmovilizados. La norma señala que son activos fijos o inmovilizados, los bienes corporales muebles o inmuebles y los incorporales que no se enajenan dentro del giro ordinario de los negocios del contribuyente. Adicionalmente, el artículo citado anteriormente indica que, para los contribuyentes obligados a llevar contabilidad, los activos fijos corresponden a todos aquellos activos diferentes a los inventarios y se clasificarán de acuerdo con los nuevos marcos técnicos normativos; tales como propiedad planta y equipo, propiedades de inversión, activos no corrientes mantenidos para la venta.</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b/>
          <w:szCs w:val="24"/>
          <w:lang w:eastAsia="es-CO"/>
        </w:rPr>
        <w:t>Ahora bien, de conformidad con las normas transcritas, se puede observar que la compra de activos fijos, sea realizada con el fin de ser utilizado para la obtención de ingresos, no constituye un costo</w:t>
      </w:r>
      <w:r w:rsidRPr="001946DF">
        <w:rPr>
          <w:rFonts w:eastAsia="Times New Roman" w:cs="Times New Roman"/>
          <w:szCs w:val="24"/>
          <w:lang w:eastAsia="es-CO"/>
        </w:rPr>
        <w:t>. Por otra parte, no podrá ser imputable como gasto teniendo en cuenta que lo que será susceptible de ser tomado como deducción será su depreciación/amortización, por el uso en desarrollo de su actividad productora de renta.</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i/>
          <w:iCs/>
          <w:szCs w:val="24"/>
          <w:u w:val="single"/>
          <w:lang w:eastAsia="es-CO"/>
        </w:rPr>
        <w:t>3. ¿Qué se considera activos fijos reales productivos para efectos de la Ley 1943 de 2018 artículo 83? Adiciónese el </w:t>
      </w:r>
      <w:hyperlink r:id="rId11" w:tooltip="Estatuto Tributario CETA" w:history="1">
        <w:r w:rsidRPr="001946DF">
          <w:rPr>
            <w:rFonts w:eastAsia="Times New Roman" w:cs="Times New Roman"/>
            <w:i/>
            <w:iCs/>
            <w:szCs w:val="24"/>
            <w:u w:val="single"/>
            <w:lang w:eastAsia="es-CO"/>
          </w:rPr>
          <w:t>artículo 258-1</w:t>
        </w:r>
      </w:hyperlink>
      <w:r w:rsidRPr="001946DF">
        <w:rPr>
          <w:rFonts w:eastAsia="Times New Roman" w:cs="Times New Roman"/>
          <w:i/>
          <w:iCs/>
          <w:szCs w:val="24"/>
          <w:u w:val="single"/>
          <w:lang w:eastAsia="es-CO"/>
        </w:rPr>
        <w:t> al Estatuto Tributario</w:t>
      </w:r>
      <w:r w:rsidRPr="001946DF">
        <w:rPr>
          <w:rFonts w:eastAsia="Times New Roman" w:cs="Times New Roman"/>
          <w:i/>
          <w:iCs/>
          <w:szCs w:val="24"/>
          <w:lang w:eastAsia="es-CO"/>
        </w:rPr>
        <w:t>.</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Teniendo en cuenta que la Ley 1943 de 2018 no consagró una definición taxativa de lo que se debe entender como activos fijos reales productivos, para efectos del descuento incorporado en el </w:t>
      </w:r>
      <w:hyperlink r:id="rId12" w:tooltip="Estatuto Tributario CETA" w:history="1">
        <w:r w:rsidRPr="001946DF">
          <w:rPr>
            <w:rFonts w:eastAsia="Times New Roman" w:cs="Times New Roman"/>
            <w:szCs w:val="24"/>
            <w:u w:val="single"/>
            <w:lang w:eastAsia="es-CO"/>
          </w:rPr>
          <w:t>artículo 258-1</w:t>
        </w:r>
      </w:hyperlink>
      <w:r w:rsidRPr="001946DF">
        <w:rPr>
          <w:rFonts w:eastAsia="Times New Roman" w:cs="Times New Roman"/>
          <w:szCs w:val="24"/>
          <w:lang w:eastAsia="es-CO"/>
        </w:rPr>
        <w:t> del Estatuto Tributario, vale la pena mencionar que el Gobierno Nacional tiene pendiente de reglamentar esta materia para efectos de poder tener una seguridad jurídica con respecto a dicha definición. Si bien sería posible traer a colación la definición que reglamentaba la deducción especial del derogado </w:t>
      </w:r>
      <w:hyperlink r:id="rId13" w:tooltip="Estatuto Tributario CETA" w:history="1">
        <w:r w:rsidRPr="001946DF">
          <w:rPr>
            <w:rFonts w:eastAsia="Times New Roman" w:cs="Times New Roman"/>
            <w:szCs w:val="24"/>
            <w:u w:val="single"/>
            <w:lang w:eastAsia="es-CO"/>
          </w:rPr>
          <w:t>158-3</w:t>
        </w:r>
      </w:hyperlink>
      <w:r w:rsidRPr="001946DF">
        <w:rPr>
          <w:rFonts w:eastAsia="Times New Roman" w:cs="Times New Roman"/>
          <w:szCs w:val="24"/>
          <w:lang w:eastAsia="es-CO"/>
        </w:rPr>
        <w:t> del Estatuto Tributario, es claro que dicho Decreto se encuentra decaído y, adicionalmente, el articulado mencionaba expresamente que solo podía ser utilizado para efectos de tomar dicha deducción.</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Atentamente,</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 </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b/>
          <w:bCs/>
          <w:szCs w:val="24"/>
          <w:lang w:eastAsia="es-CO"/>
        </w:rPr>
        <w:t>LORENZO CASTILLO BARVO</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Subdirector de Gestión Normativa y Doctrina (E)</w:t>
      </w:r>
    </w:p>
    <w:p w:rsidR="00CF5DD9" w:rsidRPr="001946DF"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Dirección de Gestión Jurídica</w:t>
      </w:r>
    </w:p>
    <w:p w:rsidR="00CF5DD9" w:rsidRDefault="00CF5DD9" w:rsidP="00CF5DD9">
      <w:pPr>
        <w:spacing w:after="0" w:line="240" w:lineRule="auto"/>
        <w:jc w:val="both"/>
        <w:rPr>
          <w:rFonts w:eastAsia="Times New Roman" w:cs="Times New Roman"/>
          <w:szCs w:val="24"/>
          <w:lang w:eastAsia="es-CO"/>
        </w:rPr>
      </w:pPr>
      <w:r w:rsidRPr="001946DF">
        <w:rPr>
          <w:rFonts w:eastAsia="Times New Roman" w:cs="Times New Roman"/>
          <w:szCs w:val="24"/>
          <w:lang w:eastAsia="es-CO"/>
        </w:rPr>
        <w:t>UAE-Dirección de Impuestos y Aduanas Nacionales</w:t>
      </w:r>
    </w:p>
    <w:p w:rsidR="00CF5DD9" w:rsidRPr="001946DF" w:rsidRDefault="00CF5DD9" w:rsidP="00CF5DD9">
      <w:pPr>
        <w:spacing w:after="0" w:line="240" w:lineRule="auto"/>
        <w:jc w:val="both"/>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p>
    <w:p w:rsidR="00CF5DD9" w:rsidRPr="001946DF" w:rsidRDefault="00CF5DD9" w:rsidP="00CF5DD9">
      <w:pPr>
        <w:rPr>
          <w:rFonts w:cs="Times New Roman"/>
          <w:szCs w:val="24"/>
        </w:rPr>
      </w:pPr>
    </w:p>
    <w:p w:rsidR="00CF5DD9" w:rsidRDefault="00CF5DD9" w:rsidP="008977B4">
      <w:pPr>
        <w:shd w:val="clear" w:color="auto" w:fill="FFFFFF"/>
        <w:spacing w:after="0" w:line="360" w:lineRule="auto"/>
        <w:jc w:val="both"/>
        <w:rPr>
          <w:rFonts w:eastAsia="Times New Roman" w:cs="Times New Roman"/>
          <w:b/>
          <w:bCs/>
          <w:szCs w:val="24"/>
          <w:lang w:eastAsia="es-CO"/>
        </w:rPr>
      </w:pPr>
    </w:p>
    <w:p w:rsidR="00CF5DD9" w:rsidRDefault="00CF5DD9" w:rsidP="008977B4">
      <w:pPr>
        <w:shd w:val="clear" w:color="auto" w:fill="FFFFFF"/>
        <w:spacing w:after="0" w:line="360" w:lineRule="auto"/>
        <w:jc w:val="both"/>
        <w:rPr>
          <w:rFonts w:eastAsia="Times New Roman" w:cs="Times New Roman"/>
          <w:b/>
          <w:bCs/>
          <w:szCs w:val="24"/>
          <w:lang w:eastAsia="es-CO"/>
        </w:rPr>
      </w:pPr>
    </w:p>
    <w:p w:rsidR="00CF5DD9" w:rsidRDefault="00CF5DD9" w:rsidP="008977B4">
      <w:pPr>
        <w:shd w:val="clear" w:color="auto" w:fill="FFFFFF"/>
        <w:spacing w:after="0" w:line="360" w:lineRule="auto"/>
        <w:jc w:val="both"/>
        <w:rPr>
          <w:rFonts w:eastAsia="Times New Roman" w:cs="Times New Roman"/>
          <w:b/>
          <w:bCs/>
          <w:szCs w:val="24"/>
          <w:lang w:eastAsia="es-CO"/>
        </w:rPr>
      </w:pPr>
    </w:p>
    <w:p w:rsidR="00CF5DD9" w:rsidRDefault="00CF5DD9" w:rsidP="008977B4">
      <w:pPr>
        <w:shd w:val="clear" w:color="auto" w:fill="FFFFFF"/>
        <w:spacing w:after="0" w:line="360" w:lineRule="auto"/>
        <w:jc w:val="both"/>
        <w:rPr>
          <w:rFonts w:eastAsia="Times New Roman" w:cs="Times New Roman"/>
          <w:b/>
          <w:bCs/>
          <w:szCs w:val="24"/>
          <w:lang w:eastAsia="es-CO"/>
        </w:rPr>
      </w:pPr>
    </w:p>
    <w:p w:rsidR="00CF5DD9" w:rsidRDefault="00CF5DD9" w:rsidP="008977B4">
      <w:pPr>
        <w:shd w:val="clear" w:color="auto" w:fill="FFFFFF"/>
        <w:spacing w:after="0" w:line="360" w:lineRule="auto"/>
        <w:jc w:val="both"/>
        <w:rPr>
          <w:rFonts w:eastAsia="Times New Roman" w:cs="Times New Roman"/>
          <w:b/>
          <w:bCs/>
          <w:szCs w:val="24"/>
          <w:lang w:eastAsia="es-CO"/>
        </w:rPr>
      </w:pPr>
    </w:p>
    <w:p w:rsidR="00CF5DD9" w:rsidRDefault="00CF5DD9" w:rsidP="008977B4">
      <w:pPr>
        <w:shd w:val="clear" w:color="auto" w:fill="FFFFFF"/>
        <w:spacing w:after="0" w:line="360" w:lineRule="auto"/>
        <w:jc w:val="both"/>
        <w:rPr>
          <w:rFonts w:eastAsia="Times New Roman" w:cs="Times New Roman"/>
          <w:b/>
          <w:bCs/>
          <w:szCs w:val="24"/>
          <w:lang w:eastAsia="es-CO"/>
        </w:rPr>
      </w:pPr>
    </w:p>
    <w:p w:rsidR="008977B4" w:rsidRDefault="008977B4" w:rsidP="008977B4">
      <w:pPr>
        <w:shd w:val="clear" w:color="auto" w:fill="FFFFFF"/>
        <w:spacing w:after="0" w:line="360" w:lineRule="auto"/>
        <w:jc w:val="both"/>
        <w:rPr>
          <w:rFonts w:eastAsia="Times New Roman" w:cs="Times New Roman"/>
          <w:b/>
          <w:bCs/>
          <w:szCs w:val="24"/>
          <w:lang w:eastAsia="es-CO"/>
        </w:rPr>
      </w:pPr>
      <w:r>
        <w:rPr>
          <w:rFonts w:eastAsia="Times New Roman" w:cs="Times New Roman"/>
          <w:b/>
          <w:bCs/>
          <w:szCs w:val="24"/>
          <w:lang w:eastAsia="es-CO"/>
        </w:rPr>
        <w:t>NOTA RELATORIA CENTRO NACIONAL DE ESTUDIOS TRIBUTARIOS.</w:t>
      </w:r>
    </w:p>
    <w:p w:rsidR="008977B4" w:rsidRDefault="008977B4" w:rsidP="008977B4">
      <w:pPr>
        <w:shd w:val="clear" w:color="auto" w:fill="FFFFFF"/>
        <w:spacing w:after="0" w:line="360" w:lineRule="auto"/>
        <w:jc w:val="both"/>
        <w:rPr>
          <w:rFonts w:eastAsia="Times New Roman" w:cs="Times New Roman"/>
          <w:b/>
          <w:bCs/>
          <w:szCs w:val="24"/>
          <w:lang w:eastAsia="es-CO"/>
        </w:rPr>
      </w:pPr>
    </w:p>
    <w:p w:rsidR="008977B4" w:rsidRPr="008977B4" w:rsidRDefault="008977B4" w:rsidP="008977B4">
      <w:pPr>
        <w:shd w:val="clear" w:color="auto" w:fill="FFFFFF"/>
        <w:spacing w:after="0" w:line="360" w:lineRule="auto"/>
        <w:jc w:val="both"/>
        <w:rPr>
          <w:rFonts w:eastAsia="Times New Roman" w:cs="Times New Roman"/>
          <w:bCs/>
          <w:szCs w:val="24"/>
          <w:lang w:eastAsia="es-CO"/>
        </w:rPr>
      </w:pPr>
      <w:r w:rsidRPr="008977B4">
        <w:rPr>
          <w:rFonts w:eastAsia="Times New Roman" w:cs="Times New Roman"/>
          <w:bCs/>
          <w:szCs w:val="24"/>
          <w:lang w:eastAsia="es-CO"/>
        </w:rPr>
        <w:t xml:space="preserve">La conclusión del punto 1 del presente oficio, permitía llevar el IVA en la compra de activos fijos como descontable o como descuento en renta. </w:t>
      </w:r>
    </w:p>
    <w:p w:rsidR="008977B4" w:rsidRPr="008977B4" w:rsidRDefault="008977B4" w:rsidP="008977B4">
      <w:pPr>
        <w:spacing w:after="0" w:line="240" w:lineRule="auto"/>
        <w:rPr>
          <w:rFonts w:eastAsia="Times New Roman" w:cs="Times New Roman"/>
          <w:szCs w:val="24"/>
          <w:lang w:eastAsia="es-CO"/>
        </w:rPr>
      </w:pPr>
      <w:r w:rsidRPr="008977B4">
        <w:rPr>
          <w:rFonts w:eastAsia="Times New Roman" w:cs="Times New Roman"/>
          <w:bCs/>
          <w:szCs w:val="24"/>
          <w:lang w:eastAsia="es-CO"/>
        </w:rPr>
        <w:t>Dicha tesis fue modificada en</w:t>
      </w:r>
      <w:r w:rsidR="003C4D66">
        <w:rPr>
          <w:rFonts w:eastAsia="Times New Roman" w:cs="Times New Roman"/>
          <w:bCs/>
          <w:szCs w:val="24"/>
          <w:lang w:eastAsia="es-CO"/>
        </w:rPr>
        <w:t xml:space="preserve"> el oficio N</w:t>
      </w:r>
      <w:r w:rsidRPr="008977B4">
        <w:rPr>
          <w:rFonts w:eastAsia="Times New Roman" w:cs="Times New Roman"/>
          <w:bCs/>
          <w:szCs w:val="24"/>
          <w:lang w:eastAsia="es-CO"/>
        </w:rPr>
        <w:t xml:space="preserve">o. </w:t>
      </w:r>
      <w:r w:rsidR="003C4D66">
        <w:rPr>
          <w:rFonts w:eastAsia="Times New Roman" w:cs="Times New Roman"/>
          <w:bCs/>
          <w:szCs w:val="24"/>
          <w:lang w:eastAsia="es-CO"/>
        </w:rPr>
        <w:t xml:space="preserve">oficio </w:t>
      </w:r>
      <w:r>
        <w:rPr>
          <w:rFonts w:eastAsia="Times New Roman" w:cs="Times New Roman"/>
          <w:bCs/>
          <w:szCs w:val="24"/>
          <w:lang w:eastAsia="es-CO"/>
        </w:rPr>
        <w:t xml:space="preserve">No. </w:t>
      </w:r>
      <w:r w:rsidRPr="008977B4">
        <w:rPr>
          <w:rFonts w:eastAsia="Times New Roman" w:cs="Times New Roman"/>
          <w:bCs/>
          <w:szCs w:val="24"/>
          <w:lang w:eastAsia="es-CO"/>
        </w:rPr>
        <w:t xml:space="preserve"> 491 [011458]</w:t>
      </w:r>
      <w:r>
        <w:rPr>
          <w:rFonts w:eastAsia="Times New Roman" w:cs="Times New Roman"/>
          <w:bCs/>
          <w:szCs w:val="24"/>
          <w:lang w:eastAsia="es-CO"/>
        </w:rPr>
        <w:t xml:space="preserve"> del 14 de mayo de 2019, e</w:t>
      </w:r>
      <w:r w:rsidR="003C4D66">
        <w:rPr>
          <w:rFonts w:eastAsia="Times New Roman" w:cs="Times New Roman"/>
          <w:bCs/>
          <w:szCs w:val="24"/>
          <w:lang w:eastAsia="es-CO"/>
        </w:rPr>
        <w:t xml:space="preserve">l cual se transcribe después del 853.  </w:t>
      </w:r>
    </w:p>
    <w:p w:rsidR="008977B4" w:rsidRPr="008977B4" w:rsidRDefault="008977B4" w:rsidP="00CF5DD9">
      <w:pPr>
        <w:shd w:val="clear" w:color="auto" w:fill="FFFFFF"/>
        <w:spacing w:after="0" w:line="240" w:lineRule="auto"/>
        <w:rPr>
          <w:rFonts w:eastAsia="Times New Roman" w:cs="Times New Roman"/>
          <w:bCs/>
          <w:szCs w:val="24"/>
          <w:lang w:eastAsia="es-CO"/>
        </w:rPr>
      </w:pPr>
    </w:p>
    <w:p w:rsidR="008977B4" w:rsidRDefault="008977B4" w:rsidP="00A06ED1">
      <w:pPr>
        <w:shd w:val="clear" w:color="auto" w:fill="FFFFFF"/>
        <w:spacing w:after="0" w:line="240" w:lineRule="auto"/>
        <w:jc w:val="center"/>
        <w:rPr>
          <w:rFonts w:eastAsia="Times New Roman" w:cs="Times New Roman"/>
          <w:b/>
          <w:bCs/>
          <w:szCs w:val="24"/>
          <w:lang w:eastAsia="es-CO"/>
        </w:rPr>
      </w:pPr>
    </w:p>
    <w:p w:rsidR="00A06ED1" w:rsidRPr="00A06ED1" w:rsidRDefault="00A06ED1" w:rsidP="00A06ED1">
      <w:pPr>
        <w:shd w:val="clear" w:color="auto" w:fill="FFFFFF"/>
        <w:spacing w:after="0" w:line="240" w:lineRule="auto"/>
        <w:jc w:val="center"/>
        <w:rPr>
          <w:rFonts w:eastAsia="Times New Roman" w:cs="Times New Roman"/>
          <w:szCs w:val="24"/>
          <w:lang w:eastAsia="es-CO"/>
        </w:rPr>
      </w:pPr>
      <w:r w:rsidRPr="00A06ED1">
        <w:rPr>
          <w:rFonts w:eastAsia="Times New Roman" w:cs="Times New Roman"/>
          <w:b/>
          <w:bCs/>
          <w:szCs w:val="24"/>
          <w:lang w:eastAsia="es-CO"/>
        </w:rPr>
        <w:t>OFICIO Nº 853 [008180]</w:t>
      </w:r>
    </w:p>
    <w:p w:rsidR="00A06ED1" w:rsidRPr="00A06ED1" w:rsidRDefault="00A06ED1" w:rsidP="00A06ED1">
      <w:pPr>
        <w:shd w:val="clear" w:color="auto" w:fill="FFFFFF"/>
        <w:spacing w:after="0" w:line="240" w:lineRule="auto"/>
        <w:jc w:val="center"/>
        <w:rPr>
          <w:rFonts w:eastAsia="Times New Roman" w:cs="Times New Roman"/>
          <w:szCs w:val="24"/>
          <w:lang w:eastAsia="es-CO"/>
        </w:rPr>
      </w:pPr>
      <w:r w:rsidRPr="00A06ED1">
        <w:rPr>
          <w:rFonts w:eastAsia="Times New Roman" w:cs="Times New Roman"/>
          <w:b/>
          <w:bCs/>
          <w:szCs w:val="24"/>
          <w:lang w:eastAsia="es-CO"/>
        </w:rPr>
        <w:t>05-04-2019</w:t>
      </w:r>
    </w:p>
    <w:p w:rsidR="00A06ED1" w:rsidRPr="00A06ED1" w:rsidRDefault="00A06ED1" w:rsidP="00A06ED1">
      <w:pPr>
        <w:shd w:val="clear" w:color="auto" w:fill="FFFFFF"/>
        <w:spacing w:after="0" w:line="240" w:lineRule="auto"/>
        <w:jc w:val="center"/>
        <w:rPr>
          <w:rFonts w:eastAsia="Times New Roman" w:cs="Times New Roman"/>
          <w:szCs w:val="24"/>
          <w:lang w:eastAsia="es-CO"/>
        </w:rPr>
      </w:pPr>
      <w:r w:rsidRPr="00A06ED1">
        <w:rPr>
          <w:rFonts w:eastAsia="Times New Roman" w:cs="Times New Roman"/>
          <w:b/>
          <w:bCs/>
          <w:szCs w:val="24"/>
          <w:lang w:eastAsia="es-CO"/>
        </w:rPr>
        <w:t>DIAN</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 </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 </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Subdirección de Gestión Normativa y Doctrina</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100208221 000853</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Bogotá, D.C.</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 </w:t>
      </w:r>
    </w:p>
    <w:p w:rsidR="00A06ED1" w:rsidRPr="00A06ED1" w:rsidRDefault="00A06ED1" w:rsidP="00A06ED1">
      <w:pPr>
        <w:shd w:val="clear" w:color="auto" w:fill="FFFFFF"/>
        <w:spacing w:after="0" w:line="240" w:lineRule="auto"/>
        <w:jc w:val="both"/>
        <w:rPr>
          <w:rFonts w:eastAsia="Times New Roman" w:cs="Times New Roman"/>
          <w:szCs w:val="24"/>
          <w:lang w:eastAsia="es-CO"/>
        </w:rPr>
      </w:pPr>
      <w:proofErr w:type="spellStart"/>
      <w:r w:rsidRPr="00A06ED1">
        <w:rPr>
          <w:rFonts w:eastAsia="Times New Roman" w:cs="Times New Roman"/>
          <w:b/>
          <w:bCs/>
          <w:szCs w:val="24"/>
          <w:lang w:eastAsia="es-CO"/>
        </w:rPr>
        <w:t>Ref</w:t>
      </w:r>
      <w:proofErr w:type="spellEnd"/>
      <w:r w:rsidRPr="00A06ED1">
        <w:rPr>
          <w:rFonts w:eastAsia="Times New Roman" w:cs="Times New Roman"/>
          <w:b/>
          <w:bCs/>
          <w:szCs w:val="24"/>
          <w:lang w:eastAsia="es-CO"/>
        </w:rPr>
        <w:t>:</w:t>
      </w:r>
      <w:r w:rsidRPr="00A06ED1">
        <w:rPr>
          <w:rFonts w:eastAsia="Times New Roman" w:cs="Times New Roman"/>
          <w:szCs w:val="24"/>
          <w:lang w:eastAsia="es-CO"/>
        </w:rPr>
        <w:t> Radicado 100012232 del 22/02/2019</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 </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Estimado señor Zapata:</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 </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 </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 </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 </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Mediante escrito radicado 100012232 del 22 de febrero de 2019 esta Subdirección recibió una consulta por medio de la que se solicita resolver los siguientes problemas jurídicos:</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 </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i/>
          <w:iCs/>
          <w:szCs w:val="24"/>
          <w:lang w:eastAsia="es-CO"/>
        </w:rPr>
        <w:t>1. ¿Será descontable en el impuesto sobre las ventas el IVA pagado en la adquisición, formación, construcción o adquisición de activos fijos reales productivos que no hayan sido tratados como descuento en el impuesto sobre la renta?</w:t>
      </w:r>
    </w:p>
    <w:p w:rsidR="00A06ED1" w:rsidRPr="00A06ED1" w:rsidRDefault="00A06ED1" w:rsidP="00A06ED1">
      <w:pPr>
        <w:shd w:val="clear" w:color="auto" w:fill="FFFFFF"/>
        <w:spacing w:after="0" w:line="240" w:lineRule="auto"/>
        <w:jc w:val="both"/>
        <w:rPr>
          <w:rFonts w:eastAsia="Times New Roman" w:cs="Times New Roman"/>
          <w:i/>
          <w:iCs/>
          <w:szCs w:val="24"/>
          <w:lang w:eastAsia="es-CO"/>
        </w:rPr>
      </w:pP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i/>
          <w:iCs/>
          <w:szCs w:val="24"/>
          <w:lang w:eastAsia="es-CO"/>
        </w:rPr>
        <w:t>2. Con la derogatoria del artículo 491 del E.T., ¿el IVA pagado en activos fijos diferentes a activos fijos reales productivos será descontable en el impuesto sobre las ventas?</w:t>
      </w:r>
    </w:p>
    <w:p w:rsidR="00A06ED1" w:rsidRPr="00A06ED1" w:rsidRDefault="00A06ED1" w:rsidP="00A06ED1">
      <w:pPr>
        <w:shd w:val="clear" w:color="auto" w:fill="FFFFFF"/>
        <w:spacing w:after="0" w:line="240" w:lineRule="auto"/>
        <w:jc w:val="both"/>
        <w:rPr>
          <w:rFonts w:eastAsia="Times New Roman" w:cs="Times New Roman"/>
          <w:i/>
          <w:iCs/>
          <w:szCs w:val="24"/>
          <w:lang w:eastAsia="es-CO"/>
        </w:rPr>
      </w:pP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i/>
          <w:iCs/>
          <w:szCs w:val="24"/>
          <w:lang w:eastAsia="es-CO"/>
        </w:rPr>
        <w:t>3. Para los no responsables del IVA, ¿el IVA de los activos fijos es deducible en la depuración del impuesto sobre la renta con base en el vigente artículo 491 del E.T.?</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 </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En atención a la consulta, se procede a analizar las siguientes consideraciones tributarias:</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 </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b/>
          <w:bCs/>
          <w:szCs w:val="24"/>
          <w:lang w:eastAsia="es-CO"/>
        </w:rPr>
        <w:lastRenderedPageBreak/>
        <w:t>1. </w:t>
      </w:r>
      <w:r w:rsidRPr="00A06ED1">
        <w:rPr>
          <w:rFonts w:eastAsia="Times New Roman" w:cs="Times New Roman"/>
          <w:b/>
          <w:bCs/>
          <w:szCs w:val="24"/>
          <w:u w:val="single"/>
          <w:lang w:eastAsia="es-CO"/>
        </w:rPr>
        <w:t>Tratamiento del impuesto sobre las ventas (“IVA”) en la adquisición de activos fijos reales productivos, según los cambios incluidos por la Ley 1943 de 2018</w:t>
      </w:r>
      <w:r w:rsidRPr="00A06ED1">
        <w:rPr>
          <w:rFonts w:eastAsia="Times New Roman" w:cs="Times New Roman"/>
          <w:b/>
          <w:bCs/>
          <w:szCs w:val="24"/>
          <w:lang w:eastAsia="es-CO"/>
        </w:rPr>
        <w:t>:</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 </w:t>
      </w:r>
    </w:p>
    <w:p w:rsidR="00A06ED1" w:rsidRPr="00162DE9" w:rsidRDefault="00A06ED1" w:rsidP="00A06ED1">
      <w:pPr>
        <w:shd w:val="clear" w:color="auto" w:fill="FFFFFF"/>
        <w:spacing w:after="0" w:line="240" w:lineRule="auto"/>
        <w:jc w:val="both"/>
        <w:rPr>
          <w:rFonts w:eastAsia="Times New Roman" w:cs="Times New Roman"/>
          <w:b/>
          <w:szCs w:val="24"/>
          <w:lang w:eastAsia="es-CO"/>
        </w:rPr>
      </w:pPr>
      <w:r w:rsidRPr="00162DE9">
        <w:rPr>
          <w:rFonts w:eastAsia="Times New Roman" w:cs="Times New Roman"/>
          <w:b/>
          <w:szCs w:val="24"/>
          <w:lang w:eastAsia="es-CO"/>
        </w:rPr>
        <w:t>1.1.1 Sobre el particular, se concluye que el IVA pagado en la adquisición, formación, construcción o adquisición de activos fijos reales productivos podrá ser descontable del IVA, cuando no ha sido tratado como descuento en el impuesto sobre la renta y complementarios. Esto, atendiendo al siguiente análisis:</w:t>
      </w:r>
    </w:p>
    <w:p w:rsidR="00A06ED1" w:rsidRPr="00A06ED1" w:rsidRDefault="00A06ED1" w:rsidP="00A06ED1">
      <w:pPr>
        <w:shd w:val="clear" w:color="auto" w:fill="FFFFFF"/>
        <w:spacing w:after="0" w:line="240" w:lineRule="auto"/>
        <w:jc w:val="both"/>
        <w:rPr>
          <w:rFonts w:eastAsia="Times New Roman" w:cs="Times New Roman"/>
          <w:szCs w:val="24"/>
          <w:lang w:eastAsia="es-CO"/>
        </w:rPr>
      </w:pPr>
    </w:p>
    <w:p w:rsidR="00A06ED1" w:rsidRPr="00162DE9" w:rsidRDefault="00A06ED1" w:rsidP="00A06ED1">
      <w:pPr>
        <w:shd w:val="clear" w:color="auto" w:fill="FFFFFF"/>
        <w:spacing w:after="0" w:line="240" w:lineRule="auto"/>
        <w:jc w:val="both"/>
        <w:rPr>
          <w:rFonts w:eastAsia="Times New Roman" w:cs="Times New Roman"/>
          <w:b/>
          <w:szCs w:val="24"/>
          <w:lang w:eastAsia="es-CO"/>
        </w:rPr>
      </w:pPr>
      <w:r w:rsidRPr="00A06ED1">
        <w:rPr>
          <w:rFonts w:eastAsia="Times New Roman" w:cs="Times New Roman"/>
          <w:szCs w:val="24"/>
          <w:lang w:eastAsia="es-CO"/>
        </w:rPr>
        <w:t>1.1.2 De conformidad con los efectos incorporados en el artículo 258-1 del Estatuto Tributario (“E.T.”), </w:t>
      </w:r>
      <w:r w:rsidRPr="00A06ED1">
        <w:rPr>
          <w:rFonts w:eastAsia="Times New Roman" w:cs="Times New Roman"/>
          <w:i/>
          <w:iCs/>
          <w:szCs w:val="24"/>
          <w:lang w:eastAsia="es-CO"/>
        </w:rPr>
        <w:t>“El IVA de que trata esta disposición no podrá tomarse simultáneamente como costo o gasto en el impuesto sobre la renta ni será descontable del impuesto sobre las ventas – IVA”. </w:t>
      </w:r>
      <w:r w:rsidRPr="00162DE9">
        <w:rPr>
          <w:rFonts w:eastAsia="Times New Roman" w:cs="Times New Roman"/>
          <w:b/>
          <w:szCs w:val="24"/>
          <w:lang w:eastAsia="es-CO"/>
        </w:rPr>
        <w:t>Esto supone la posibilidad para los responsables del IVA, de tomar como descuento en el IVA o el impuesto sobre la renta, el IVA pagado en los escenarios que dispone la norma citada con relación a los activos reales productivos.</w:t>
      </w:r>
    </w:p>
    <w:p w:rsidR="00A06ED1" w:rsidRPr="00A06ED1" w:rsidRDefault="00A06ED1" w:rsidP="00A06ED1">
      <w:pPr>
        <w:shd w:val="clear" w:color="auto" w:fill="FFFFFF"/>
        <w:spacing w:after="0" w:line="240" w:lineRule="auto"/>
        <w:jc w:val="both"/>
        <w:rPr>
          <w:rFonts w:eastAsia="Times New Roman" w:cs="Times New Roman"/>
          <w:szCs w:val="24"/>
          <w:lang w:eastAsia="es-CO"/>
        </w:rPr>
      </w:pPr>
    </w:p>
    <w:p w:rsidR="00A06ED1" w:rsidRPr="00162DE9" w:rsidRDefault="00A06ED1" w:rsidP="00A06ED1">
      <w:pPr>
        <w:shd w:val="clear" w:color="auto" w:fill="FFFFFF"/>
        <w:spacing w:after="0" w:line="240" w:lineRule="auto"/>
        <w:jc w:val="both"/>
        <w:rPr>
          <w:rFonts w:eastAsia="Times New Roman" w:cs="Times New Roman"/>
          <w:b/>
          <w:szCs w:val="24"/>
          <w:lang w:eastAsia="es-CO"/>
        </w:rPr>
      </w:pPr>
      <w:r w:rsidRPr="00A06ED1">
        <w:rPr>
          <w:rFonts w:eastAsia="Times New Roman" w:cs="Times New Roman"/>
          <w:szCs w:val="24"/>
          <w:lang w:eastAsia="es-CO"/>
        </w:rPr>
        <w:t xml:space="preserve">1.1.3 No obstante, debe tenerse en cuenta la limitación que establece el mismo artículo, al señalar que no procede el descuento en mención, cuando simultáneamente se ha tomado en el IVA y en el impuesto sobre la renta y complementarios. </w:t>
      </w:r>
      <w:r w:rsidRPr="00162DE9">
        <w:rPr>
          <w:rFonts w:eastAsia="Times New Roman" w:cs="Times New Roman"/>
          <w:b/>
          <w:szCs w:val="24"/>
          <w:lang w:eastAsia="es-CO"/>
        </w:rPr>
        <w:t>Por lo tanto, será descontable exclusivamente en uno de estos dos impuestos.</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 </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b/>
          <w:bCs/>
          <w:szCs w:val="24"/>
          <w:lang w:eastAsia="es-CO"/>
        </w:rPr>
        <w:t>2. </w:t>
      </w:r>
      <w:r w:rsidRPr="00A06ED1">
        <w:rPr>
          <w:rFonts w:eastAsia="Times New Roman" w:cs="Times New Roman"/>
          <w:b/>
          <w:bCs/>
          <w:szCs w:val="24"/>
          <w:u w:val="single"/>
          <w:lang w:eastAsia="es-CO"/>
        </w:rPr>
        <w:t>Tratamiento del IVA en la adquisición de activos fijos, según los cambios incluidos por la Ley 1943 de 2018</w:t>
      </w:r>
      <w:r w:rsidRPr="00A06ED1">
        <w:rPr>
          <w:rFonts w:eastAsia="Times New Roman" w:cs="Times New Roman"/>
          <w:b/>
          <w:bCs/>
          <w:szCs w:val="24"/>
          <w:lang w:eastAsia="es-CO"/>
        </w:rPr>
        <w:t>:</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 </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2.1.1. De acuerdo a las consideraciones de este despacho, se reitera la posición expuesta en el Oficio 004429 del 22 de febrero de 2019, en el que se concluye que no procede el IVA pagado en activos fijos como descuento en el IVA. Esto se fundamenta en lo siguiente:</w:t>
      </w:r>
    </w:p>
    <w:p w:rsidR="00A06ED1" w:rsidRPr="00A06ED1" w:rsidRDefault="00A06ED1" w:rsidP="00A06ED1">
      <w:pPr>
        <w:shd w:val="clear" w:color="auto" w:fill="FFFFFF"/>
        <w:spacing w:after="0" w:line="240" w:lineRule="auto"/>
        <w:jc w:val="both"/>
        <w:rPr>
          <w:rFonts w:eastAsia="Times New Roman" w:cs="Times New Roman"/>
          <w:szCs w:val="24"/>
          <w:lang w:eastAsia="es-CO"/>
        </w:rPr>
      </w:pP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2.1.2. El artículo 60 del E.T. define a los activos fijos como aquellos </w:t>
      </w:r>
      <w:r w:rsidRPr="00A06ED1">
        <w:rPr>
          <w:rFonts w:eastAsia="Times New Roman" w:cs="Times New Roman"/>
          <w:i/>
          <w:iCs/>
          <w:szCs w:val="24"/>
          <w:lang w:eastAsia="es-CO"/>
        </w:rPr>
        <w:t>“(…) bienes corporales muebles o inmuebles y los incorporales que no se enajenan dentro del giro ordinario de los negocios del contribuyente.” </w:t>
      </w:r>
      <w:r w:rsidRPr="00A06ED1">
        <w:rPr>
          <w:rFonts w:eastAsia="Times New Roman" w:cs="Times New Roman"/>
          <w:szCs w:val="24"/>
          <w:lang w:eastAsia="es-CO"/>
        </w:rPr>
        <w:t>Adicionando que, para los obligados a llevar contabilidad, son activos fijos </w:t>
      </w:r>
      <w:r w:rsidRPr="00A06ED1">
        <w:rPr>
          <w:rFonts w:eastAsia="Times New Roman" w:cs="Times New Roman"/>
          <w:i/>
          <w:iCs/>
          <w:szCs w:val="24"/>
          <w:lang w:eastAsia="es-CO"/>
        </w:rPr>
        <w:t>“(…) todos aquellos activos diferentes a los inventarios y se clasificarán de acuerdo con los nuevos marcos técnicos normativos, tales como propiedad, planta y equipo, propiedades de inversión, activos no corrientes mantenidos para la venta.”</w:t>
      </w:r>
    </w:p>
    <w:p w:rsidR="00A06ED1" w:rsidRPr="00A06ED1" w:rsidRDefault="00A06ED1" w:rsidP="00A06ED1">
      <w:pPr>
        <w:shd w:val="clear" w:color="auto" w:fill="FFFFFF"/>
        <w:spacing w:after="0" w:line="240" w:lineRule="auto"/>
        <w:jc w:val="both"/>
        <w:rPr>
          <w:rFonts w:eastAsia="Times New Roman" w:cs="Times New Roman"/>
          <w:szCs w:val="24"/>
          <w:lang w:eastAsia="es-CO"/>
        </w:rPr>
      </w:pP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2.1.3. En este sentido, se evidencia que la definición anterior difiere del concepto de costo, que para efectos del impuesto de renta y complementarios corresponde a las erogaciones encaminadas a la producción de bienes y servicios. Así mismo, es distante del significado de gasto, entendido como los recursos que cubren las necesidades que surgen al llevar a cabo la actividad generadora de renta.</w:t>
      </w:r>
    </w:p>
    <w:p w:rsidR="00A06ED1" w:rsidRPr="00A06ED1" w:rsidRDefault="00A06ED1" w:rsidP="00A06ED1">
      <w:pPr>
        <w:shd w:val="clear" w:color="auto" w:fill="FFFFFF"/>
        <w:spacing w:after="0" w:line="240" w:lineRule="auto"/>
        <w:jc w:val="both"/>
        <w:rPr>
          <w:rFonts w:eastAsia="Times New Roman" w:cs="Times New Roman"/>
          <w:szCs w:val="24"/>
          <w:lang w:eastAsia="es-CO"/>
        </w:rPr>
      </w:pP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2.1.4. Por lo anterior, se infiere que el IVA pagado en activos fijos no resulta computable como costo o gasto de acuerdo con las disposiciones del impuesto sobre la renta. Como consecuencia, y en concordancia con la reglamentación que prevé el artículo 488 del E.T. sobre la procedencia de descontables en IVA, este no podrá tomarse como descuento en el impuesto sobre las ventas.</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 </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b/>
          <w:bCs/>
          <w:szCs w:val="24"/>
          <w:lang w:eastAsia="es-CO"/>
        </w:rPr>
        <w:t>3. </w:t>
      </w:r>
      <w:r w:rsidRPr="00A06ED1">
        <w:rPr>
          <w:rFonts w:eastAsia="Times New Roman" w:cs="Times New Roman"/>
          <w:b/>
          <w:bCs/>
          <w:szCs w:val="24"/>
          <w:u w:val="single"/>
          <w:lang w:eastAsia="es-CO"/>
        </w:rPr>
        <w:t>Vigencia del artículo 491 del E.T.</w:t>
      </w:r>
      <w:r w:rsidRPr="00A06ED1">
        <w:rPr>
          <w:rFonts w:eastAsia="Times New Roman" w:cs="Times New Roman"/>
          <w:b/>
          <w:bCs/>
          <w:szCs w:val="24"/>
          <w:lang w:eastAsia="es-CO"/>
        </w:rPr>
        <w:t>:</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 </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3.1.1. La entrada en vigencia de la Ley 1943 de 2018, derogó expresamente el artículo 491 del E.T., de forma que cesaron sus efectos.</w:t>
      </w:r>
    </w:p>
    <w:p w:rsidR="00A06ED1" w:rsidRPr="00A06ED1" w:rsidRDefault="00A06ED1" w:rsidP="00A06ED1">
      <w:pPr>
        <w:shd w:val="clear" w:color="auto" w:fill="FFFFFF"/>
        <w:spacing w:after="0" w:line="240" w:lineRule="auto"/>
        <w:jc w:val="both"/>
        <w:rPr>
          <w:rFonts w:eastAsia="Times New Roman" w:cs="Times New Roman"/>
          <w:szCs w:val="24"/>
          <w:lang w:eastAsia="es-CO"/>
        </w:rPr>
      </w:pP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Atentamente,</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 </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 </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b/>
          <w:bCs/>
          <w:szCs w:val="24"/>
          <w:lang w:eastAsia="es-CO"/>
        </w:rPr>
        <w:t>LORENZO CASTILLO BARVO</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Subdirector de Gestión Normativa y Doctrina</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lastRenderedPageBreak/>
        <w:t>Dirección de Gestión Jurídica</w:t>
      </w:r>
    </w:p>
    <w:p w:rsidR="00A06ED1" w:rsidRPr="00A06ED1" w:rsidRDefault="00A06ED1" w:rsidP="00A06ED1">
      <w:pPr>
        <w:shd w:val="clear" w:color="auto" w:fill="FFFFFF"/>
        <w:spacing w:after="0" w:line="240" w:lineRule="auto"/>
        <w:jc w:val="both"/>
        <w:rPr>
          <w:rFonts w:eastAsia="Times New Roman" w:cs="Times New Roman"/>
          <w:szCs w:val="24"/>
          <w:lang w:eastAsia="es-CO"/>
        </w:rPr>
      </w:pPr>
      <w:r w:rsidRPr="00A06ED1">
        <w:rPr>
          <w:rFonts w:eastAsia="Times New Roman" w:cs="Times New Roman"/>
          <w:szCs w:val="24"/>
          <w:lang w:eastAsia="es-CO"/>
        </w:rPr>
        <w:t>UAE – Dirección de Impuestos y Aduanas Nacionales</w:t>
      </w:r>
    </w:p>
    <w:p w:rsidR="00A06ED1" w:rsidRDefault="00A06ED1">
      <w:pPr>
        <w:pBdr>
          <w:bottom w:val="single" w:sz="12" w:space="1" w:color="auto"/>
        </w:pBdr>
        <w:shd w:val="clear" w:color="auto" w:fill="FFFFFF"/>
        <w:spacing w:after="0" w:line="240" w:lineRule="auto"/>
        <w:jc w:val="both"/>
        <w:rPr>
          <w:rFonts w:eastAsia="Times New Roman" w:cs="Times New Roman"/>
          <w:szCs w:val="24"/>
          <w:lang w:eastAsia="es-CO"/>
        </w:rPr>
      </w:pPr>
    </w:p>
    <w:p w:rsidR="008977B4" w:rsidRDefault="008977B4">
      <w:pPr>
        <w:shd w:val="clear" w:color="auto" w:fill="FFFFFF"/>
        <w:spacing w:after="0" w:line="240" w:lineRule="auto"/>
        <w:jc w:val="both"/>
        <w:rPr>
          <w:rFonts w:eastAsia="Times New Roman" w:cs="Times New Roman"/>
          <w:szCs w:val="24"/>
          <w:lang w:eastAsia="es-CO"/>
        </w:rPr>
      </w:pPr>
    </w:p>
    <w:p w:rsidR="008977B4" w:rsidRDefault="008977B4">
      <w:pPr>
        <w:shd w:val="clear" w:color="auto" w:fill="FFFFFF"/>
        <w:spacing w:after="0" w:line="240" w:lineRule="auto"/>
        <w:jc w:val="both"/>
        <w:rPr>
          <w:rFonts w:eastAsia="Times New Roman" w:cs="Times New Roman"/>
          <w:szCs w:val="24"/>
          <w:lang w:eastAsia="es-CO"/>
        </w:rPr>
      </w:pPr>
    </w:p>
    <w:p w:rsidR="008977B4" w:rsidRDefault="008977B4" w:rsidP="008977B4">
      <w:pPr>
        <w:spacing w:after="0" w:line="360" w:lineRule="auto"/>
        <w:jc w:val="both"/>
        <w:rPr>
          <w:rFonts w:eastAsia="Times New Roman" w:cs="Times New Roman"/>
          <w:b/>
          <w:bCs/>
          <w:szCs w:val="24"/>
          <w:lang w:eastAsia="es-CO"/>
        </w:rPr>
      </w:pPr>
      <w:r>
        <w:rPr>
          <w:rFonts w:eastAsia="Times New Roman" w:cs="Times New Roman"/>
          <w:b/>
          <w:bCs/>
          <w:szCs w:val="24"/>
          <w:lang w:eastAsia="es-CO"/>
        </w:rPr>
        <w:t>NOTA DE RELATORIA CNETCO. El siguiente oficio reconsidera la tesis 1 del oficio anterior, en cual había señalado que el IVA en la construcción o compra de activos fijos.</w:t>
      </w:r>
    </w:p>
    <w:p w:rsidR="008977B4" w:rsidRDefault="008977B4" w:rsidP="008977B4">
      <w:pPr>
        <w:spacing w:after="0" w:line="360" w:lineRule="auto"/>
        <w:jc w:val="center"/>
        <w:rPr>
          <w:rFonts w:eastAsia="Times New Roman" w:cs="Times New Roman"/>
          <w:b/>
          <w:bCs/>
          <w:szCs w:val="24"/>
          <w:lang w:eastAsia="es-CO"/>
        </w:rPr>
      </w:pPr>
    </w:p>
    <w:p w:rsidR="008977B4" w:rsidRDefault="008977B4" w:rsidP="008977B4">
      <w:pPr>
        <w:spacing w:after="0" w:line="360" w:lineRule="auto"/>
        <w:jc w:val="center"/>
        <w:rPr>
          <w:rFonts w:eastAsia="Times New Roman" w:cs="Times New Roman"/>
          <w:b/>
          <w:bCs/>
          <w:szCs w:val="24"/>
          <w:lang w:eastAsia="es-CO"/>
        </w:rPr>
      </w:pPr>
    </w:p>
    <w:p w:rsidR="008977B4" w:rsidRPr="00D3161F" w:rsidRDefault="008977B4" w:rsidP="008977B4">
      <w:pPr>
        <w:spacing w:after="0" w:line="240" w:lineRule="auto"/>
        <w:jc w:val="center"/>
        <w:rPr>
          <w:rFonts w:eastAsia="Times New Roman" w:cs="Times New Roman"/>
          <w:szCs w:val="24"/>
          <w:lang w:eastAsia="es-CO"/>
        </w:rPr>
      </w:pPr>
      <w:r w:rsidRPr="00D3161F">
        <w:rPr>
          <w:rFonts w:eastAsia="Times New Roman" w:cs="Times New Roman"/>
          <w:b/>
          <w:bCs/>
          <w:szCs w:val="24"/>
          <w:lang w:eastAsia="es-CO"/>
        </w:rPr>
        <w:t>OFICIO Nº 491 [011458]</w:t>
      </w:r>
    </w:p>
    <w:p w:rsidR="008977B4" w:rsidRPr="00D3161F" w:rsidRDefault="008977B4" w:rsidP="008977B4">
      <w:pPr>
        <w:spacing w:after="0" w:line="240" w:lineRule="auto"/>
        <w:jc w:val="center"/>
        <w:rPr>
          <w:rFonts w:eastAsia="Times New Roman" w:cs="Times New Roman"/>
          <w:szCs w:val="24"/>
          <w:lang w:eastAsia="es-CO"/>
        </w:rPr>
      </w:pPr>
      <w:r w:rsidRPr="00D3161F">
        <w:rPr>
          <w:rFonts w:eastAsia="Times New Roman" w:cs="Times New Roman"/>
          <w:b/>
          <w:bCs/>
          <w:szCs w:val="24"/>
          <w:lang w:eastAsia="es-CO"/>
        </w:rPr>
        <w:t>14-05-2019</w:t>
      </w:r>
    </w:p>
    <w:p w:rsidR="008977B4" w:rsidRPr="00D3161F" w:rsidRDefault="008977B4" w:rsidP="008977B4">
      <w:pPr>
        <w:spacing w:after="0" w:line="240" w:lineRule="auto"/>
        <w:jc w:val="center"/>
        <w:rPr>
          <w:rFonts w:eastAsia="Times New Roman" w:cs="Times New Roman"/>
          <w:szCs w:val="24"/>
          <w:lang w:eastAsia="es-CO"/>
        </w:rPr>
      </w:pPr>
      <w:r w:rsidRPr="00D3161F">
        <w:rPr>
          <w:rFonts w:eastAsia="Times New Roman" w:cs="Times New Roman"/>
          <w:b/>
          <w:bCs/>
          <w:szCs w:val="24"/>
          <w:lang w:eastAsia="es-CO"/>
        </w:rPr>
        <w:t>DIAN</w:t>
      </w:r>
    </w:p>
    <w:p w:rsidR="008977B4" w:rsidRPr="00D3161F" w:rsidRDefault="008977B4" w:rsidP="008977B4">
      <w:pPr>
        <w:spacing w:after="0" w:line="240" w:lineRule="auto"/>
        <w:jc w:val="both"/>
        <w:rPr>
          <w:rFonts w:eastAsia="Times New Roman" w:cs="Times New Roman"/>
          <w:szCs w:val="24"/>
          <w:lang w:eastAsia="es-CO"/>
        </w:rPr>
      </w:pPr>
      <w:r w:rsidRPr="00D3161F">
        <w:rPr>
          <w:rFonts w:eastAsia="Times New Roman" w:cs="Times New Roman"/>
          <w:b/>
          <w:bCs/>
          <w:szCs w:val="24"/>
          <w:lang w:eastAsia="es-CO"/>
        </w:rPr>
        <w:t> </w:t>
      </w:r>
    </w:p>
    <w:p w:rsidR="008977B4" w:rsidRPr="00D3161F" w:rsidRDefault="008977B4" w:rsidP="008977B4">
      <w:pPr>
        <w:spacing w:after="0" w:line="240" w:lineRule="auto"/>
        <w:jc w:val="both"/>
        <w:rPr>
          <w:rFonts w:eastAsia="Times New Roman" w:cs="Times New Roman"/>
          <w:szCs w:val="24"/>
          <w:lang w:eastAsia="es-CO"/>
        </w:rPr>
      </w:pPr>
      <w:r w:rsidRPr="00D3161F">
        <w:rPr>
          <w:rFonts w:eastAsia="Times New Roman" w:cs="Times New Roman"/>
          <w:b/>
          <w:bCs/>
          <w:szCs w:val="24"/>
          <w:lang w:eastAsia="es-CO"/>
        </w:rPr>
        <w:t> </w:t>
      </w:r>
    </w:p>
    <w:p w:rsidR="008977B4" w:rsidRPr="00D3161F" w:rsidRDefault="008977B4" w:rsidP="008977B4">
      <w:pPr>
        <w:spacing w:after="0" w:line="240" w:lineRule="auto"/>
        <w:jc w:val="both"/>
        <w:rPr>
          <w:rFonts w:eastAsia="Times New Roman" w:cs="Times New Roman"/>
          <w:szCs w:val="24"/>
          <w:lang w:eastAsia="es-CO"/>
        </w:rPr>
      </w:pPr>
      <w:r w:rsidRPr="00D3161F">
        <w:rPr>
          <w:rFonts w:eastAsia="Times New Roman" w:cs="Times New Roman"/>
          <w:szCs w:val="24"/>
          <w:lang w:eastAsia="es-CO"/>
        </w:rPr>
        <w:t>Dirección de Gestión Jurídica</w:t>
      </w:r>
    </w:p>
    <w:p w:rsidR="008977B4" w:rsidRPr="00D3161F" w:rsidRDefault="008977B4" w:rsidP="008977B4">
      <w:pPr>
        <w:spacing w:after="0" w:line="240" w:lineRule="auto"/>
        <w:jc w:val="both"/>
        <w:rPr>
          <w:rFonts w:eastAsia="Times New Roman" w:cs="Times New Roman"/>
          <w:szCs w:val="24"/>
          <w:lang w:eastAsia="es-CO"/>
        </w:rPr>
      </w:pPr>
      <w:r w:rsidRPr="00D3161F">
        <w:rPr>
          <w:rFonts w:eastAsia="Times New Roman" w:cs="Times New Roman"/>
          <w:szCs w:val="24"/>
          <w:lang w:eastAsia="es-CO"/>
        </w:rPr>
        <w:t>100202208 – 0491</w:t>
      </w:r>
    </w:p>
    <w:p w:rsidR="008977B4" w:rsidRPr="00D3161F" w:rsidRDefault="008977B4" w:rsidP="008977B4">
      <w:pPr>
        <w:spacing w:after="0" w:line="240" w:lineRule="auto"/>
        <w:jc w:val="both"/>
        <w:rPr>
          <w:rFonts w:eastAsia="Times New Roman" w:cs="Times New Roman"/>
          <w:szCs w:val="24"/>
          <w:lang w:eastAsia="es-CO"/>
        </w:rPr>
      </w:pPr>
      <w:r w:rsidRPr="00D3161F">
        <w:rPr>
          <w:rFonts w:eastAsia="Times New Roman" w:cs="Times New Roman"/>
          <w:szCs w:val="24"/>
          <w:lang w:eastAsia="es-CO"/>
        </w:rPr>
        <w:t>Bogotá, D.C.</w:t>
      </w:r>
    </w:p>
    <w:p w:rsidR="008977B4" w:rsidRPr="00D3161F" w:rsidRDefault="008977B4" w:rsidP="008977B4">
      <w:pPr>
        <w:spacing w:after="0" w:line="240" w:lineRule="auto"/>
        <w:jc w:val="both"/>
        <w:rPr>
          <w:rFonts w:eastAsia="Times New Roman" w:cs="Times New Roman"/>
          <w:szCs w:val="24"/>
          <w:lang w:eastAsia="es-CO"/>
        </w:rPr>
      </w:pPr>
      <w:r w:rsidRPr="00D3161F">
        <w:rPr>
          <w:rFonts w:eastAsia="Times New Roman" w:cs="Times New Roman"/>
          <w:szCs w:val="24"/>
          <w:lang w:eastAsia="es-CO"/>
        </w:rPr>
        <w:t> </w:t>
      </w:r>
    </w:p>
    <w:p w:rsidR="008977B4" w:rsidRPr="00D3161F" w:rsidRDefault="008977B4" w:rsidP="008977B4">
      <w:pPr>
        <w:spacing w:after="0" w:line="240" w:lineRule="auto"/>
        <w:jc w:val="both"/>
        <w:rPr>
          <w:rFonts w:eastAsia="Times New Roman" w:cs="Times New Roman"/>
          <w:szCs w:val="24"/>
          <w:lang w:eastAsia="es-CO"/>
        </w:rPr>
      </w:pPr>
      <w:r w:rsidRPr="00D3161F">
        <w:rPr>
          <w:rFonts w:eastAsia="Times New Roman" w:cs="Times New Roman"/>
          <w:szCs w:val="24"/>
          <w:lang w:eastAsia="es-CO"/>
        </w:rPr>
        <w:t>Reconsideración Oficio 100208221-853 del 5 de abril de 2019</w:t>
      </w:r>
    </w:p>
    <w:p w:rsidR="008977B4" w:rsidRPr="00D3161F" w:rsidRDefault="008977B4" w:rsidP="008977B4">
      <w:pPr>
        <w:spacing w:after="0" w:line="240" w:lineRule="auto"/>
        <w:jc w:val="both"/>
        <w:rPr>
          <w:rFonts w:eastAsia="Times New Roman" w:cs="Times New Roman"/>
          <w:szCs w:val="24"/>
          <w:lang w:eastAsia="es-CO"/>
        </w:rPr>
      </w:pPr>
      <w:r w:rsidRPr="00D3161F">
        <w:rPr>
          <w:rFonts w:eastAsia="Times New Roman" w:cs="Times New Roman"/>
          <w:szCs w:val="24"/>
          <w:lang w:eastAsia="es-CO"/>
        </w:rPr>
        <w:t> </w:t>
      </w:r>
    </w:p>
    <w:p w:rsidR="008977B4" w:rsidRPr="00D3161F" w:rsidRDefault="008977B4" w:rsidP="008977B4">
      <w:pPr>
        <w:spacing w:after="0" w:line="240" w:lineRule="auto"/>
        <w:jc w:val="both"/>
        <w:rPr>
          <w:rFonts w:eastAsia="Times New Roman" w:cs="Times New Roman"/>
          <w:szCs w:val="24"/>
          <w:lang w:eastAsia="es-CO"/>
        </w:rPr>
      </w:pPr>
      <w:r w:rsidRPr="00D3161F">
        <w:rPr>
          <w:rFonts w:eastAsia="Times New Roman" w:cs="Times New Roman"/>
          <w:szCs w:val="24"/>
          <w:lang w:eastAsia="es-CO"/>
        </w:rPr>
        <w:t>Estimado señor Zapata:</w:t>
      </w:r>
    </w:p>
    <w:p w:rsidR="008977B4" w:rsidRPr="00D3161F" w:rsidRDefault="008977B4" w:rsidP="008977B4">
      <w:pPr>
        <w:spacing w:after="0" w:line="240" w:lineRule="auto"/>
        <w:jc w:val="both"/>
        <w:rPr>
          <w:rFonts w:eastAsia="Times New Roman" w:cs="Times New Roman"/>
          <w:szCs w:val="24"/>
          <w:lang w:eastAsia="es-CO"/>
        </w:rPr>
      </w:pPr>
      <w:r w:rsidRPr="00D3161F">
        <w:rPr>
          <w:rFonts w:eastAsia="Times New Roman" w:cs="Times New Roman"/>
          <w:szCs w:val="24"/>
          <w:lang w:eastAsia="es-CO"/>
        </w:rPr>
        <w:t> </w:t>
      </w:r>
    </w:p>
    <w:p w:rsidR="008977B4" w:rsidRPr="00D3161F" w:rsidRDefault="008977B4" w:rsidP="008977B4">
      <w:pPr>
        <w:spacing w:after="0" w:line="240" w:lineRule="auto"/>
        <w:jc w:val="both"/>
        <w:rPr>
          <w:rFonts w:eastAsia="Times New Roman" w:cs="Times New Roman"/>
          <w:szCs w:val="24"/>
          <w:lang w:eastAsia="es-CO"/>
        </w:rPr>
      </w:pPr>
      <w:r w:rsidRPr="00D3161F">
        <w:rPr>
          <w:rFonts w:eastAsia="Times New Roman" w:cs="Times New Roman"/>
          <w:szCs w:val="24"/>
          <w:lang w:eastAsia="es-CO"/>
        </w:rPr>
        <w:t>De conformidad con el artículo 19 del Decreto 4048 de 2008 es función de este Despacho absolver las consultas escritas que se formulen sobre interpretación y aplicación de las normas tributarias de carácter nacional, aduaneras y cambiarias en lo de competencia de esta entidad.</w:t>
      </w:r>
    </w:p>
    <w:p w:rsidR="008977B4" w:rsidRPr="00D3161F" w:rsidRDefault="008977B4" w:rsidP="008977B4">
      <w:pPr>
        <w:spacing w:after="0" w:line="240" w:lineRule="auto"/>
        <w:jc w:val="both"/>
        <w:rPr>
          <w:rFonts w:eastAsia="Times New Roman" w:cs="Times New Roman"/>
          <w:szCs w:val="24"/>
          <w:lang w:eastAsia="es-CO"/>
        </w:rPr>
      </w:pPr>
      <w:r w:rsidRPr="00D3161F">
        <w:rPr>
          <w:rFonts w:eastAsia="Times New Roman" w:cs="Times New Roman"/>
          <w:szCs w:val="24"/>
          <w:lang w:eastAsia="es-CO"/>
        </w:rPr>
        <w:t> </w:t>
      </w:r>
    </w:p>
    <w:p w:rsidR="008977B4" w:rsidRPr="00D3161F" w:rsidRDefault="008977B4" w:rsidP="008977B4">
      <w:pPr>
        <w:spacing w:after="0" w:line="240" w:lineRule="auto"/>
        <w:jc w:val="both"/>
        <w:rPr>
          <w:rFonts w:eastAsia="Times New Roman" w:cs="Times New Roman"/>
          <w:szCs w:val="24"/>
          <w:lang w:eastAsia="es-CO"/>
        </w:rPr>
      </w:pPr>
      <w:r w:rsidRPr="00D3161F">
        <w:rPr>
          <w:rFonts w:eastAsia="Times New Roman" w:cs="Times New Roman"/>
          <w:szCs w:val="24"/>
          <w:lang w:eastAsia="es-CO"/>
        </w:rPr>
        <w:t>Mediante escrito radicado 100208221-853 del 5 de abril de 2019, la Subdirección de Gestión de Normativa y Doctrina de esta Entidad resolvió las siguientes consultas:</w:t>
      </w:r>
    </w:p>
    <w:p w:rsidR="008977B4" w:rsidRPr="00D3161F" w:rsidRDefault="008977B4" w:rsidP="008977B4">
      <w:pPr>
        <w:spacing w:after="0" w:line="240" w:lineRule="auto"/>
        <w:jc w:val="both"/>
        <w:rPr>
          <w:rFonts w:eastAsia="Times New Roman" w:cs="Times New Roman"/>
          <w:szCs w:val="24"/>
          <w:lang w:eastAsia="es-CO"/>
        </w:rPr>
      </w:pPr>
      <w:r w:rsidRPr="00D3161F">
        <w:rPr>
          <w:rFonts w:eastAsia="Times New Roman" w:cs="Times New Roman"/>
          <w:szCs w:val="24"/>
          <w:lang w:eastAsia="es-CO"/>
        </w:rPr>
        <w:t> </w:t>
      </w:r>
    </w:p>
    <w:p w:rsidR="008977B4" w:rsidRPr="00D3161F" w:rsidRDefault="008977B4" w:rsidP="008977B4">
      <w:pPr>
        <w:spacing w:after="0" w:line="240" w:lineRule="auto"/>
        <w:jc w:val="both"/>
        <w:rPr>
          <w:rFonts w:eastAsia="Times New Roman" w:cs="Times New Roman"/>
          <w:szCs w:val="24"/>
          <w:lang w:eastAsia="es-CO"/>
        </w:rPr>
      </w:pPr>
      <w:r w:rsidRPr="00D3161F">
        <w:rPr>
          <w:rFonts w:eastAsia="Times New Roman" w:cs="Times New Roman"/>
          <w:i/>
          <w:iCs/>
          <w:szCs w:val="24"/>
          <w:lang w:eastAsia="es-CO"/>
        </w:rPr>
        <w:t>1. ¿Será descontable en el impuesto sobre las ventas el IVA pagado en la adquisición, formación, construcción o adquisición de activos fijos reales productivos que no hayan sido tratados como descuento en el impuesto sobre la renta?</w:t>
      </w:r>
    </w:p>
    <w:p w:rsidR="008977B4" w:rsidRDefault="008977B4" w:rsidP="008977B4">
      <w:pPr>
        <w:spacing w:after="0" w:line="240" w:lineRule="auto"/>
        <w:jc w:val="both"/>
        <w:rPr>
          <w:rFonts w:eastAsia="Times New Roman" w:cs="Times New Roman"/>
          <w:i/>
          <w:iCs/>
          <w:szCs w:val="24"/>
          <w:lang w:eastAsia="es-CO"/>
        </w:rPr>
      </w:pPr>
    </w:p>
    <w:p w:rsidR="008977B4" w:rsidRPr="00D3161F" w:rsidRDefault="008977B4" w:rsidP="008977B4">
      <w:pPr>
        <w:spacing w:after="0" w:line="240" w:lineRule="auto"/>
        <w:jc w:val="both"/>
        <w:rPr>
          <w:rFonts w:eastAsia="Times New Roman" w:cs="Times New Roman"/>
          <w:szCs w:val="24"/>
          <w:lang w:eastAsia="es-CO"/>
        </w:rPr>
      </w:pPr>
      <w:r w:rsidRPr="00D3161F">
        <w:rPr>
          <w:rFonts w:eastAsia="Times New Roman" w:cs="Times New Roman"/>
          <w:i/>
          <w:iCs/>
          <w:szCs w:val="24"/>
          <w:lang w:eastAsia="es-CO"/>
        </w:rPr>
        <w:t>2. Con la derogatoria del </w:t>
      </w:r>
      <w:hyperlink r:id="rId14" w:tooltip="Estatuto Tributario CETA" w:history="1">
        <w:r w:rsidRPr="00D3161F">
          <w:rPr>
            <w:rFonts w:eastAsia="Times New Roman" w:cs="Times New Roman"/>
            <w:i/>
            <w:iCs/>
            <w:szCs w:val="24"/>
            <w:u w:val="single"/>
            <w:lang w:eastAsia="es-CO"/>
          </w:rPr>
          <w:t>artículo 491</w:t>
        </w:r>
      </w:hyperlink>
      <w:r w:rsidRPr="00D3161F">
        <w:rPr>
          <w:rFonts w:eastAsia="Times New Roman" w:cs="Times New Roman"/>
          <w:i/>
          <w:iCs/>
          <w:szCs w:val="24"/>
          <w:lang w:eastAsia="es-CO"/>
        </w:rPr>
        <w:t> del E.T., ¿el IVA pagado en activos fijos diferentes a activos fijos reales productivos será descontable en el impuesto sobre las ventas?</w:t>
      </w:r>
    </w:p>
    <w:p w:rsidR="008977B4" w:rsidRDefault="008977B4" w:rsidP="008977B4">
      <w:pPr>
        <w:spacing w:after="0" w:line="240" w:lineRule="auto"/>
        <w:jc w:val="both"/>
        <w:rPr>
          <w:rFonts w:eastAsia="Times New Roman" w:cs="Times New Roman"/>
          <w:i/>
          <w:iCs/>
          <w:szCs w:val="24"/>
          <w:lang w:eastAsia="es-CO"/>
        </w:rPr>
      </w:pPr>
    </w:p>
    <w:p w:rsidR="008977B4" w:rsidRPr="00D3161F" w:rsidRDefault="008977B4" w:rsidP="008977B4">
      <w:pPr>
        <w:spacing w:after="0" w:line="240" w:lineRule="auto"/>
        <w:jc w:val="both"/>
        <w:rPr>
          <w:rFonts w:eastAsia="Times New Roman" w:cs="Times New Roman"/>
          <w:szCs w:val="24"/>
          <w:lang w:eastAsia="es-CO"/>
        </w:rPr>
      </w:pPr>
      <w:r w:rsidRPr="00D3161F">
        <w:rPr>
          <w:rFonts w:eastAsia="Times New Roman" w:cs="Times New Roman"/>
          <w:i/>
          <w:iCs/>
          <w:szCs w:val="24"/>
          <w:lang w:eastAsia="es-CO"/>
        </w:rPr>
        <w:t>3. Para los no responsables del IVA, ¿el IVA de los activos fijos es deducible en la depuración del impuesto sobre la renta con base en el vigente </w:t>
      </w:r>
      <w:hyperlink r:id="rId15" w:tooltip="Estatuto Tributario CETA" w:history="1">
        <w:r w:rsidRPr="00D3161F">
          <w:rPr>
            <w:rFonts w:eastAsia="Times New Roman" w:cs="Times New Roman"/>
            <w:i/>
            <w:iCs/>
            <w:szCs w:val="24"/>
            <w:u w:val="single"/>
            <w:lang w:eastAsia="es-CO"/>
          </w:rPr>
          <w:t>artículo 491</w:t>
        </w:r>
      </w:hyperlink>
      <w:r w:rsidRPr="00D3161F">
        <w:rPr>
          <w:rFonts w:eastAsia="Times New Roman" w:cs="Times New Roman"/>
          <w:i/>
          <w:iCs/>
          <w:szCs w:val="24"/>
          <w:lang w:eastAsia="es-CO"/>
        </w:rPr>
        <w:t> del E.T?</w:t>
      </w:r>
    </w:p>
    <w:p w:rsidR="008977B4" w:rsidRPr="00D3161F" w:rsidRDefault="008977B4" w:rsidP="008977B4">
      <w:pPr>
        <w:spacing w:after="0" w:line="240" w:lineRule="auto"/>
        <w:jc w:val="both"/>
        <w:rPr>
          <w:rFonts w:eastAsia="Times New Roman" w:cs="Times New Roman"/>
          <w:szCs w:val="24"/>
          <w:lang w:eastAsia="es-CO"/>
        </w:rPr>
      </w:pPr>
      <w:r w:rsidRPr="00D3161F">
        <w:rPr>
          <w:rFonts w:eastAsia="Times New Roman" w:cs="Times New Roman"/>
          <w:i/>
          <w:iCs/>
          <w:szCs w:val="24"/>
          <w:lang w:eastAsia="es-CO"/>
        </w:rPr>
        <w:t> </w:t>
      </w:r>
    </w:p>
    <w:p w:rsidR="008977B4" w:rsidRPr="00D3161F" w:rsidRDefault="008977B4" w:rsidP="008977B4">
      <w:pPr>
        <w:spacing w:after="0" w:line="240" w:lineRule="auto"/>
        <w:jc w:val="both"/>
        <w:rPr>
          <w:rFonts w:eastAsia="Times New Roman" w:cs="Times New Roman"/>
          <w:szCs w:val="24"/>
          <w:lang w:eastAsia="es-CO"/>
        </w:rPr>
      </w:pPr>
      <w:r w:rsidRPr="00D3161F">
        <w:rPr>
          <w:rFonts w:eastAsia="Times New Roman" w:cs="Times New Roman"/>
          <w:szCs w:val="24"/>
          <w:lang w:eastAsia="es-CO"/>
        </w:rPr>
        <w:t>Al respecto se indica:</w:t>
      </w:r>
    </w:p>
    <w:p w:rsidR="008977B4" w:rsidRPr="00D3161F" w:rsidRDefault="008977B4" w:rsidP="008977B4">
      <w:pPr>
        <w:spacing w:after="0" w:line="240" w:lineRule="auto"/>
        <w:jc w:val="both"/>
        <w:rPr>
          <w:rFonts w:eastAsia="Times New Roman" w:cs="Times New Roman"/>
          <w:szCs w:val="24"/>
          <w:lang w:eastAsia="es-CO"/>
        </w:rPr>
      </w:pPr>
      <w:r w:rsidRPr="00D3161F">
        <w:rPr>
          <w:rFonts w:eastAsia="Times New Roman" w:cs="Times New Roman"/>
          <w:szCs w:val="24"/>
          <w:lang w:eastAsia="es-CO"/>
        </w:rPr>
        <w:t> </w:t>
      </w:r>
    </w:p>
    <w:p w:rsidR="008977B4" w:rsidRPr="00D3161F" w:rsidRDefault="008977B4" w:rsidP="008977B4">
      <w:pPr>
        <w:spacing w:after="0" w:line="240" w:lineRule="auto"/>
        <w:jc w:val="both"/>
        <w:rPr>
          <w:rFonts w:eastAsia="Times New Roman" w:cs="Times New Roman"/>
          <w:szCs w:val="24"/>
          <w:lang w:eastAsia="es-CO"/>
        </w:rPr>
      </w:pPr>
      <w:r w:rsidRPr="00D3161F">
        <w:rPr>
          <w:rFonts w:eastAsia="Times New Roman" w:cs="Times New Roman"/>
          <w:b/>
          <w:bCs/>
          <w:szCs w:val="24"/>
          <w:lang w:eastAsia="es-CO"/>
        </w:rPr>
        <w:t>1. </w:t>
      </w:r>
      <w:r w:rsidRPr="00D3161F">
        <w:rPr>
          <w:rFonts w:eastAsia="Times New Roman" w:cs="Times New Roman"/>
          <w:b/>
          <w:bCs/>
          <w:szCs w:val="24"/>
          <w:u w:val="single"/>
          <w:lang w:eastAsia="es-CO"/>
        </w:rPr>
        <w:t>Tratamiento del impuesto sobre las ventas (“IVA”) en la adquisición de activos fijos reales productivos, según los cambios incluidos por la Ley 1943 de 2018</w:t>
      </w:r>
      <w:r w:rsidRPr="00D3161F">
        <w:rPr>
          <w:rFonts w:eastAsia="Times New Roman" w:cs="Times New Roman"/>
          <w:b/>
          <w:bCs/>
          <w:szCs w:val="24"/>
          <w:lang w:eastAsia="es-CO"/>
        </w:rPr>
        <w:t>:</w:t>
      </w:r>
    </w:p>
    <w:p w:rsidR="008977B4" w:rsidRPr="00D3161F" w:rsidRDefault="008977B4" w:rsidP="008977B4">
      <w:pPr>
        <w:spacing w:after="0" w:line="240" w:lineRule="auto"/>
        <w:jc w:val="both"/>
        <w:rPr>
          <w:rFonts w:eastAsia="Times New Roman" w:cs="Times New Roman"/>
          <w:szCs w:val="24"/>
          <w:lang w:eastAsia="es-CO"/>
        </w:rPr>
      </w:pPr>
      <w:r w:rsidRPr="00D3161F">
        <w:rPr>
          <w:rFonts w:eastAsia="Times New Roman" w:cs="Times New Roman"/>
          <w:b/>
          <w:bCs/>
          <w:szCs w:val="24"/>
          <w:lang w:eastAsia="es-CO"/>
        </w:rPr>
        <w:t> </w:t>
      </w:r>
    </w:p>
    <w:p w:rsidR="008977B4" w:rsidRPr="00D3161F" w:rsidRDefault="008977B4" w:rsidP="008977B4">
      <w:pPr>
        <w:spacing w:after="0" w:line="240" w:lineRule="auto"/>
        <w:jc w:val="both"/>
        <w:rPr>
          <w:rFonts w:eastAsia="Times New Roman" w:cs="Times New Roman"/>
          <w:szCs w:val="24"/>
          <w:lang w:eastAsia="es-CO"/>
        </w:rPr>
      </w:pPr>
      <w:r w:rsidRPr="00D3161F">
        <w:rPr>
          <w:rFonts w:eastAsia="Times New Roman" w:cs="Times New Roman"/>
          <w:szCs w:val="24"/>
          <w:lang w:eastAsia="es-CO"/>
        </w:rPr>
        <w:t>1.1. Sobre el particular, se concluye que el IVA pagado en la adquisición, formación, o construcción de activos fijos reales productivos no podrá ser descontable del IVA. Esto, atendiendo al siguiente análisis:</w:t>
      </w:r>
    </w:p>
    <w:p w:rsidR="008977B4" w:rsidRDefault="008977B4" w:rsidP="008977B4">
      <w:pPr>
        <w:spacing w:after="0" w:line="240" w:lineRule="auto"/>
        <w:jc w:val="both"/>
        <w:rPr>
          <w:rFonts w:eastAsia="Times New Roman" w:cs="Times New Roman"/>
          <w:szCs w:val="24"/>
          <w:lang w:eastAsia="es-CO"/>
        </w:rPr>
      </w:pPr>
    </w:p>
    <w:p w:rsidR="008977B4" w:rsidRDefault="008977B4" w:rsidP="008977B4">
      <w:pPr>
        <w:spacing w:after="0" w:line="240" w:lineRule="auto"/>
        <w:jc w:val="both"/>
        <w:rPr>
          <w:rFonts w:eastAsia="Times New Roman" w:cs="Times New Roman"/>
          <w:i/>
          <w:iCs/>
          <w:szCs w:val="24"/>
          <w:lang w:eastAsia="es-CO"/>
        </w:rPr>
      </w:pPr>
      <w:r w:rsidRPr="00D3161F">
        <w:rPr>
          <w:rFonts w:eastAsia="Times New Roman" w:cs="Times New Roman"/>
          <w:szCs w:val="24"/>
          <w:lang w:eastAsia="es-CO"/>
        </w:rPr>
        <w:t>1.2. De conformidad con los efectos incorporados en el </w:t>
      </w:r>
      <w:hyperlink r:id="rId16" w:tooltip="Estatuto Tributario CETA" w:history="1">
        <w:r w:rsidRPr="00D3161F">
          <w:rPr>
            <w:rFonts w:eastAsia="Times New Roman" w:cs="Times New Roman"/>
            <w:szCs w:val="24"/>
            <w:u w:val="single"/>
            <w:lang w:eastAsia="es-CO"/>
          </w:rPr>
          <w:t>artículo 258-1</w:t>
        </w:r>
      </w:hyperlink>
      <w:r w:rsidRPr="00D3161F">
        <w:rPr>
          <w:rFonts w:eastAsia="Times New Roman" w:cs="Times New Roman"/>
          <w:szCs w:val="24"/>
          <w:lang w:eastAsia="es-CO"/>
        </w:rPr>
        <w:t> del Estatuto Tributario (“E.T”), </w:t>
      </w:r>
      <w:r w:rsidRPr="00D3161F">
        <w:rPr>
          <w:rFonts w:eastAsia="Times New Roman" w:cs="Times New Roman"/>
          <w:i/>
          <w:iCs/>
          <w:szCs w:val="24"/>
          <w:lang w:eastAsia="es-CO"/>
        </w:rPr>
        <w:t xml:space="preserve">“El IVA de que trata esta disposición no podrá tomarse simultáneamente como costo o gasto en el impuesto sobre la renta ni será descontable del impuesto sobre las ventas </w:t>
      </w:r>
    </w:p>
    <w:p w:rsidR="008977B4" w:rsidRDefault="008977B4" w:rsidP="008977B4">
      <w:pPr>
        <w:spacing w:after="0" w:line="240" w:lineRule="auto"/>
        <w:jc w:val="both"/>
        <w:rPr>
          <w:rFonts w:eastAsia="Times New Roman" w:cs="Times New Roman"/>
          <w:i/>
          <w:iCs/>
          <w:szCs w:val="24"/>
          <w:lang w:eastAsia="es-CO"/>
        </w:rPr>
      </w:pPr>
    </w:p>
    <w:p w:rsidR="008977B4" w:rsidRPr="00FD6991" w:rsidRDefault="008977B4" w:rsidP="008977B4">
      <w:pPr>
        <w:spacing w:after="0" w:line="240" w:lineRule="auto"/>
        <w:jc w:val="both"/>
        <w:rPr>
          <w:rFonts w:eastAsia="Times New Roman" w:cs="Times New Roman"/>
          <w:b/>
          <w:szCs w:val="24"/>
          <w:u w:val="single"/>
          <w:lang w:eastAsia="es-CO"/>
        </w:rPr>
      </w:pPr>
      <w:r w:rsidRPr="00FD6991">
        <w:rPr>
          <w:rFonts w:eastAsia="Times New Roman" w:cs="Times New Roman"/>
          <w:b/>
          <w:i/>
          <w:iCs/>
          <w:szCs w:val="24"/>
          <w:lang w:eastAsia="es-CO"/>
        </w:rPr>
        <w:lastRenderedPageBreak/>
        <w:t>– IVA”. </w:t>
      </w:r>
      <w:r w:rsidRPr="00FD6991">
        <w:rPr>
          <w:rFonts w:eastAsia="Times New Roman" w:cs="Times New Roman"/>
          <w:b/>
          <w:szCs w:val="24"/>
          <w:lang w:eastAsia="es-CO"/>
        </w:rPr>
        <w:t xml:space="preserve">Esto indica que el IVA pagado en los escenarios que dispone la norma citada, </w:t>
      </w:r>
      <w:r w:rsidRPr="009638E7">
        <w:rPr>
          <w:rFonts w:eastAsia="Times New Roman" w:cs="Times New Roman"/>
          <w:b/>
          <w:sz w:val="32"/>
          <w:szCs w:val="32"/>
          <w:lang w:eastAsia="es-CO"/>
        </w:rPr>
        <w:t>no podrá ser tomado como descuento en IVA</w:t>
      </w:r>
      <w:r w:rsidRPr="00FD6991">
        <w:rPr>
          <w:rFonts w:eastAsia="Times New Roman" w:cs="Times New Roman"/>
          <w:b/>
          <w:szCs w:val="24"/>
          <w:lang w:eastAsia="es-CO"/>
        </w:rPr>
        <w:t xml:space="preserve">, </w:t>
      </w:r>
      <w:r w:rsidRPr="00FD6991">
        <w:rPr>
          <w:rFonts w:eastAsia="Times New Roman" w:cs="Times New Roman"/>
          <w:b/>
          <w:szCs w:val="24"/>
          <w:u w:val="single"/>
          <w:lang w:eastAsia="es-CO"/>
        </w:rPr>
        <w:t>pero sí en el Impuesto sobre la renta y complementarios.</w:t>
      </w:r>
    </w:p>
    <w:p w:rsidR="008977B4" w:rsidRPr="00FD6991" w:rsidRDefault="008977B4" w:rsidP="008977B4">
      <w:pPr>
        <w:spacing w:after="0" w:line="240" w:lineRule="auto"/>
        <w:jc w:val="both"/>
        <w:rPr>
          <w:rFonts w:eastAsia="Times New Roman" w:cs="Times New Roman"/>
          <w:szCs w:val="24"/>
          <w:u w:val="single"/>
          <w:lang w:eastAsia="es-CO"/>
        </w:rPr>
      </w:pPr>
      <w:r w:rsidRPr="00FD6991">
        <w:rPr>
          <w:rFonts w:eastAsia="Times New Roman" w:cs="Times New Roman"/>
          <w:szCs w:val="24"/>
          <w:u w:val="single"/>
          <w:lang w:eastAsia="es-CO"/>
        </w:rPr>
        <w:t> </w:t>
      </w:r>
    </w:p>
    <w:p w:rsidR="008977B4" w:rsidRPr="00D3161F" w:rsidRDefault="008977B4" w:rsidP="008977B4">
      <w:pPr>
        <w:spacing w:after="0" w:line="240" w:lineRule="auto"/>
        <w:jc w:val="both"/>
        <w:rPr>
          <w:rFonts w:eastAsia="Times New Roman" w:cs="Times New Roman"/>
          <w:szCs w:val="24"/>
          <w:lang w:eastAsia="es-CO"/>
        </w:rPr>
      </w:pPr>
      <w:r w:rsidRPr="00D3161F">
        <w:rPr>
          <w:rFonts w:eastAsia="Times New Roman" w:cs="Times New Roman"/>
          <w:b/>
          <w:bCs/>
          <w:szCs w:val="24"/>
          <w:lang w:eastAsia="es-CO"/>
        </w:rPr>
        <w:t>2. </w:t>
      </w:r>
      <w:r w:rsidRPr="00D3161F">
        <w:rPr>
          <w:rFonts w:eastAsia="Times New Roman" w:cs="Times New Roman"/>
          <w:b/>
          <w:bCs/>
          <w:szCs w:val="24"/>
          <w:u w:val="single"/>
          <w:lang w:eastAsia="es-CO"/>
        </w:rPr>
        <w:t>Tratamiento del IVA en la adquisición de activos fijos, según los cambios incluidos por la Ley 1943 de 2018</w:t>
      </w:r>
      <w:r w:rsidRPr="00D3161F">
        <w:rPr>
          <w:rFonts w:eastAsia="Times New Roman" w:cs="Times New Roman"/>
          <w:b/>
          <w:bCs/>
          <w:szCs w:val="24"/>
          <w:lang w:eastAsia="es-CO"/>
        </w:rPr>
        <w:t>:</w:t>
      </w:r>
    </w:p>
    <w:p w:rsidR="008977B4" w:rsidRPr="00D3161F" w:rsidRDefault="008977B4" w:rsidP="008977B4">
      <w:pPr>
        <w:spacing w:after="0" w:line="240" w:lineRule="auto"/>
        <w:jc w:val="both"/>
        <w:rPr>
          <w:rFonts w:eastAsia="Times New Roman" w:cs="Times New Roman"/>
          <w:szCs w:val="24"/>
          <w:lang w:eastAsia="es-CO"/>
        </w:rPr>
      </w:pPr>
      <w:r w:rsidRPr="00D3161F">
        <w:rPr>
          <w:rFonts w:eastAsia="Times New Roman" w:cs="Times New Roman"/>
          <w:szCs w:val="24"/>
          <w:lang w:eastAsia="es-CO"/>
        </w:rPr>
        <w:t> </w:t>
      </w:r>
    </w:p>
    <w:p w:rsidR="008977B4" w:rsidRPr="00D3161F" w:rsidRDefault="008977B4" w:rsidP="008977B4">
      <w:pPr>
        <w:spacing w:after="0" w:line="240" w:lineRule="auto"/>
        <w:jc w:val="both"/>
        <w:rPr>
          <w:rFonts w:eastAsia="Times New Roman" w:cs="Times New Roman"/>
          <w:szCs w:val="24"/>
          <w:lang w:eastAsia="es-CO"/>
        </w:rPr>
      </w:pPr>
      <w:r w:rsidRPr="00D3161F">
        <w:rPr>
          <w:rFonts w:eastAsia="Times New Roman" w:cs="Times New Roman"/>
          <w:szCs w:val="24"/>
          <w:lang w:eastAsia="es-CO"/>
        </w:rPr>
        <w:t>2.1. De acuerdo a las consideraciones de este despacho, se reitera la posición expuesta en el Oficio 004429 del 22 de febrero de 2019, en el que se concluye que no procede el IVA pagado en activos fijos como descuento en IVA. Esto se fundamenta en lo siguiente:</w:t>
      </w:r>
    </w:p>
    <w:p w:rsidR="008977B4" w:rsidRDefault="008977B4" w:rsidP="008977B4">
      <w:pPr>
        <w:spacing w:after="0" w:line="240" w:lineRule="auto"/>
        <w:jc w:val="both"/>
        <w:rPr>
          <w:rFonts w:eastAsia="Times New Roman" w:cs="Times New Roman"/>
          <w:szCs w:val="24"/>
          <w:lang w:eastAsia="es-CO"/>
        </w:rPr>
      </w:pPr>
    </w:p>
    <w:p w:rsidR="008977B4" w:rsidRPr="00D3161F" w:rsidRDefault="008977B4" w:rsidP="008977B4">
      <w:pPr>
        <w:spacing w:after="0" w:line="240" w:lineRule="auto"/>
        <w:jc w:val="both"/>
        <w:rPr>
          <w:rFonts w:eastAsia="Times New Roman" w:cs="Times New Roman"/>
          <w:szCs w:val="24"/>
          <w:lang w:eastAsia="es-CO"/>
        </w:rPr>
      </w:pPr>
      <w:r w:rsidRPr="00D3161F">
        <w:rPr>
          <w:rFonts w:eastAsia="Times New Roman" w:cs="Times New Roman"/>
          <w:szCs w:val="24"/>
          <w:lang w:eastAsia="es-CO"/>
        </w:rPr>
        <w:t>2.2. El </w:t>
      </w:r>
      <w:hyperlink r:id="rId17" w:tooltip="Estatuto Tributario CETA" w:history="1">
        <w:r w:rsidRPr="00D3161F">
          <w:rPr>
            <w:rFonts w:eastAsia="Times New Roman" w:cs="Times New Roman"/>
            <w:szCs w:val="24"/>
            <w:u w:val="single"/>
            <w:lang w:eastAsia="es-CO"/>
          </w:rPr>
          <w:t>artículo 60</w:t>
        </w:r>
      </w:hyperlink>
      <w:r w:rsidRPr="00D3161F">
        <w:rPr>
          <w:rFonts w:eastAsia="Times New Roman" w:cs="Times New Roman"/>
          <w:szCs w:val="24"/>
          <w:lang w:eastAsia="es-CO"/>
        </w:rPr>
        <w:t> del E.T. define a los activos fijos como aquellos “(…) bienes corporales muebles o inmuebles y los incorporales que no se enajenan dentro del giro ordinario de los negocios del contribuyente.” Adicionando que, para los obligados a llevar contabilidad, son activos fijos </w:t>
      </w:r>
      <w:r w:rsidRPr="00D3161F">
        <w:rPr>
          <w:rFonts w:eastAsia="Times New Roman" w:cs="Times New Roman"/>
          <w:i/>
          <w:iCs/>
          <w:szCs w:val="24"/>
          <w:lang w:eastAsia="es-CO"/>
        </w:rPr>
        <w:t>“(…) todos aquellos activos diferentes a los inventarios y se clasificarán de acuerdo con los nuevos marcos técnicos normativos, tales como propiedad, planta y equipo, propiedades de inversión, activos no corrientes mantenidos para la venta.”</w:t>
      </w:r>
    </w:p>
    <w:p w:rsidR="008977B4" w:rsidRDefault="008977B4" w:rsidP="008977B4">
      <w:pPr>
        <w:spacing w:after="0" w:line="240" w:lineRule="auto"/>
        <w:jc w:val="both"/>
        <w:rPr>
          <w:rFonts w:eastAsia="Times New Roman" w:cs="Times New Roman"/>
          <w:szCs w:val="24"/>
          <w:lang w:eastAsia="es-CO"/>
        </w:rPr>
      </w:pPr>
    </w:p>
    <w:p w:rsidR="008977B4" w:rsidRPr="00D3161F" w:rsidRDefault="008977B4" w:rsidP="008977B4">
      <w:pPr>
        <w:spacing w:after="0" w:line="240" w:lineRule="auto"/>
        <w:jc w:val="both"/>
        <w:rPr>
          <w:rFonts w:eastAsia="Times New Roman" w:cs="Times New Roman"/>
          <w:szCs w:val="24"/>
          <w:lang w:eastAsia="es-CO"/>
        </w:rPr>
      </w:pPr>
      <w:r w:rsidRPr="00D3161F">
        <w:rPr>
          <w:rFonts w:eastAsia="Times New Roman" w:cs="Times New Roman"/>
          <w:szCs w:val="24"/>
          <w:lang w:eastAsia="es-CO"/>
        </w:rPr>
        <w:t>2.3. En este sentido, se evidencia que la definición anterior difiere del concepto de costo, que para efectos del impuesto de renta y complementarios corresponde a las erogaciones encaminadas a la producción de bienes y servicios. Así mismo, es distante del significado de gasto, entendido como los recursos que cubre las necesidades que surgen al llevar a cabo la actividad generadora de renta.</w:t>
      </w:r>
    </w:p>
    <w:p w:rsidR="008977B4" w:rsidRDefault="008977B4" w:rsidP="008977B4">
      <w:pPr>
        <w:spacing w:after="0" w:line="240" w:lineRule="auto"/>
        <w:jc w:val="both"/>
        <w:rPr>
          <w:rFonts w:eastAsia="Times New Roman" w:cs="Times New Roman"/>
          <w:szCs w:val="24"/>
          <w:lang w:eastAsia="es-CO"/>
        </w:rPr>
      </w:pPr>
    </w:p>
    <w:p w:rsidR="008977B4" w:rsidRPr="009638E7" w:rsidRDefault="008977B4" w:rsidP="008977B4">
      <w:pPr>
        <w:spacing w:after="0" w:line="240" w:lineRule="auto"/>
        <w:jc w:val="both"/>
        <w:rPr>
          <w:rFonts w:eastAsia="Times New Roman" w:cs="Times New Roman"/>
          <w:b/>
          <w:sz w:val="32"/>
          <w:szCs w:val="32"/>
          <w:lang w:eastAsia="es-CO"/>
        </w:rPr>
      </w:pPr>
      <w:r w:rsidRPr="00D3161F">
        <w:rPr>
          <w:rFonts w:eastAsia="Times New Roman" w:cs="Times New Roman"/>
          <w:szCs w:val="24"/>
          <w:lang w:eastAsia="es-CO"/>
        </w:rPr>
        <w:t>2.4. Por lo anterior, se infiere que el IVA pagado en activos fijos no resulta computable como costo o gasto de acuerdo a las disposiciones del impuesto sobre la renta. Como consecuencia, y en concordancia con la reglamentación que prevé el </w:t>
      </w:r>
      <w:hyperlink r:id="rId18" w:tooltip="Estatuto Tributario CETA" w:history="1">
        <w:r w:rsidRPr="00D3161F">
          <w:rPr>
            <w:rFonts w:eastAsia="Times New Roman" w:cs="Times New Roman"/>
            <w:szCs w:val="24"/>
            <w:u w:val="single"/>
            <w:lang w:eastAsia="es-CO"/>
          </w:rPr>
          <w:t>artículo 488</w:t>
        </w:r>
      </w:hyperlink>
      <w:r w:rsidRPr="00D3161F">
        <w:rPr>
          <w:rFonts w:eastAsia="Times New Roman" w:cs="Times New Roman"/>
          <w:szCs w:val="24"/>
          <w:lang w:eastAsia="es-CO"/>
        </w:rPr>
        <w:t xml:space="preserve"> del E.T. </w:t>
      </w:r>
      <w:r w:rsidRPr="009638E7">
        <w:rPr>
          <w:rFonts w:eastAsia="Times New Roman" w:cs="Times New Roman"/>
          <w:b/>
          <w:sz w:val="32"/>
          <w:szCs w:val="32"/>
          <w:lang w:eastAsia="es-CO"/>
        </w:rPr>
        <w:t>sobre la procedencia de descontables en IVA, este no podrá tomarse como descuento en el impuesto sobre las ventas.</w:t>
      </w:r>
    </w:p>
    <w:p w:rsidR="008977B4" w:rsidRPr="009638E7" w:rsidRDefault="008977B4" w:rsidP="008977B4">
      <w:pPr>
        <w:spacing w:after="0" w:line="240" w:lineRule="auto"/>
        <w:jc w:val="both"/>
        <w:rPr>
          <w:rFonts w:eastAsia="Times New Roman" w:cs="Times New Roman"/>
          <w:sz w:val="32"/>
          <w:szCs w:val="32"/>
          <w:lang w:eastAsia="es-CO"/>
        </w:rPr>
      </w:pPr>
      <w:r w:rsidRPr="009638E7">
        <w:rPr>
          <w:rFonts w:eastAsia="Times New Roman" w:cs="Times New Roman"/>
          <w:sz w:val="32"/>
          <w:szCs w:val="32"/>
          <w:lang w:eastAsia="es-CO"/>
        </w:rPr>
        <w:t> </w:t>
      </w:r>
    </w:p>
    <w:p w:rsidR="008977B4" w:rsidRPr="00D3161F" w:rsidRDefault="008977B4" w:rsidP="008977B4">
      <w:pPr>
        <w:spacing w:after="0" w:line="240" w:lineRule="auto"/>
        <w:jc w:val="both"/>
        <w:rPr>
          <w:rFonts w:eastAsia="Times New Roman" w:cs="Times New Roman"/>
          <w:szCs w:val="24"/>
          <w:lang w:eastAsia="es-CO"/>
        </w:rPr>
      </w:pPr>
      <w:r w:rsidRPr="00D3161F">
        <w:rPr>
          <w:rFonts w:eastAsia="Times New Roman" w:cs="Times New Roman"/>
          <w:b/>
          <w:bCs/>
          <w:szCs w:val="24"/>
          <w:lang w:eastAsia="es-CO"/>
        </w:rPr>
        <w:t>3. </w:t>
      </w:r>
      <w:r w:rsidRPr="00D3161F">
        <w:rPr>
          <w:rFonts w:eastAsia="Times New Roman" w:cs="Times New Roman"/>
          <w:b/>
          <w:bCs/>
          <w:szCs w:val="24"/>
          <w:u w:val="single"/>
          <w:lang w:eastAsia="es-CO"/>
        </w:rPr>
        <w:t>Vigencia del </w:t>
      </w:r>
      <w:hyperlink r:id="rId19" w:tooltip="Estatuto Tributario CETA" w:history="1">
        <w:r w:rsidRPr="00D3161F">
          <w:rPr>
            <w:rFonts w:eastAsia="Times New Roman" w:cs="Times New Roman"/>
            <w:b/>
            <w:bCs/>
            <w:szCs w:val="24"/>
            <w:u w:val="single"/>
            <w:lang w:eastAsia="es-CO"/>
          </w:rPr>
          <w:t>artículo 491</w:t>
        </w:r>
      </w:hyperlink>
      <w:r w:rsidRPr="00D3161F">
        <w:rPr>
          <w:rFonts w:eastAsia="Times New Roman" w:cs="Times New Roman"/>
          <w:b/>
          <w:bCs/>
          <w:szCs w:val="24"/>
          <w:u w:val="single"/>
          <w:lang w:eastAsia="es-CO"/>
        </w:rPr>
        <w:t> del E.T.</w:t>
      </w:r>
      <w:r w:rsidRPr="00D3161F">
        <w:rPr>
          <w:rFonts w:eastAsia="Times New Roman" w:cs="Times New Roman"/>
          <w:b/>
          <w:bCs/>
          <w:szCs w:val="24"/>
          <w:lang w:eastAsia="es-CO"/>
        </w:rPr>
        <w:t>:</w:t>
      </w:r>
    </w:p>
    <w:p w:rsidR="008977B4" w:rsidRPr="00D3161F" w:rsidRDefault="008977B4" w:rsidP="008977B4">
      <w:pPr>
        <w:spacing w:after="0" w:line="240" w:lineRule="auto"/>
        <w:jc w:val="both"/>
        <w:rPr>
          <w:rFonts w:eastAsia="Times New Roman" w:cs="Times New Roman"/>
          <w:szCs w:val="24"/>
          <w:lang w:eastAsia="es-CO"/>
        </w:rPr>
      </w:pPr>
      <w:r w:rsidRPr="00D3161F">
        <w:rPr>
          <w:rFonts w:eastAsia="Times New Roman" w:cs="Times New Roman"/>
          <w:szCs w:val="24"/>
          <w:lang w:eastAsia="es-CO"/>
        </w:rPr>
        <w:t> </w:t>
      </w:r>
    </w:p>
    <w:p w:rsidR="008977B4" w:rsidRPr="00D3161F" w:rsidRDefault="008977B4" w:rsidP="008977B4">
      <w:pPr>
        <w:spacing w:after="0" w:line="240" w:lineRule="auto"/>
        <w:jc w:val="both"/>
        <w:rPr>
          <w:rFonts w:eastAsia="Times New Roman" w:cs="Times New Roman"/>
          <w:szCs w:val="24"/>
          <w:lang w:eastAsia="es-CO"/>
        </w:rPr>
      </w:pPr>
      <w:r w:rsidRPr="00D3161F">
        <w:rPr>
          <w:rFonts w:eastAsia="Times New Roman" w:cs="Times New Roman"/>
          <w:szCs w:val="24"/>
          <w:lang w:eastAsia="es-CO"/>
        </w:rPr>
        <w:t>3.1. La entrada en vigencia de la Ley 1943 de 2018 derogó expresamente el </w:t>
      </w:r>
      <w:hyperlink r:id="rId20" w:tooltip="Estatuto Tributario CETA" w:history="1">
        <w:r w:rsidRPr="00D3161F">
          <w:rPr>
            <w:rFonts w:eastAsia="Times New Roman" w:cs="Times New Roman"/>
            <w:szCs w:val="24"/>
            <w:u w:val="single"/>
            <w:lang w:eastAsia="es-CO"/>
          </w:rPr>
          <w:t>artículo 491</w:t>
        </w:r>
      </w:hyperlink>
      <w:r w:rsidRPr="00D3161F">
        <w:rPr>
          <w:rFonts w:eastAsia="Times New Roman" w:cs="Times New Roman"/>
          <w:szCs w:val="24"/>
          <w:lang w:eastAsia="es-CO"/>
        </w:rPr>
        <w:t> del E.T., de forma que desde ese momento cesaron sus efectos.</w:t>
      </w:r>
    </w:p>
    <w:p w:rsidR="008977B4" w:rsidRPr="00D3161F" w:rsidRDefault="008977B4" w:rsidP="008977B4">
      <w:pPr>
        <w:spacing w:after="0" w:line="240" w:lineRule="auto"/>
        <w:jc w:val="both"/>
        <w:rPr>
          <w:rFonts w:eastAsia="Times New Roman" w:cs="Times New Roman"/>
          <w:szCs w:val="24"/>
          <w:lang w:eastAsia="es-CO"/>
        </w:rPr>
      </w:pPr>
      <w:r w:rsidRPr="00D3161F">
        <w:rPr>
          <w:rFonts w:eastAsia="Times New Roman" w:cs="Times New Roman"/>
          <w:szCs w:val="24"/>
          <w:lang w:eastAsia="es-CO"/>
        </w:rPr>
        <w:t> </w:t>
      </w:r>
    </w:p>
    <w:p w:rsidR="008977B4" w:rsidRPr="00F16B67" w:rsidRDefault="008977B4" w:rsidP="008977B4">
      <w:pPr>
        <w:spacing w:after="0" w:line="240" w:lineRule="auto"/>
        <w:jc w:val="both"/>
        <w:rPr>
          <w:rFonts w:eastAsia="Times New Roman" w:cs="Times New Roman"/>
          <w:b/>
          <w:sz w:val="32"/>
          <w:szCs w:val="32"/>
          <w:u w:val="single"/>
          <w:lang w:eastAsia="es-CO"/>
        </w:rPr>
      </w:pPr>
      <w:r w:rsidRPr="00F16B67">
        <w:rPr>
          <w:rFonts w:eastAsia="Times New Roman" w:cs="Times New Roman"/>
          <w:sz w:val="32"/>
          <w:szCs w:val="32"/>
          <w:lang w:eastAsia="es-CO"/>
        </w:rPr>
        <w:t xml:space="preserve">En los anteriores términos se da respuesta a su consulta </w:t>
      </w:r>
      <w:r w:rsidRPr="00F16B67">
        <w:rPr>
          <w:rFonts w:eastAsia="Times New Roman" w:cs="Times New Roman"/>
          <w:b/>
          <w:sz w:val="32"/>
          <w:szCs w:val="32"/>
          <w:u w:val="single"/>
          <w:lang w:eastAsia="es-CO"/>
        </w:rPr>
        <w:t>y se reconsidera el primer punto del Concepto Nº 000853 del 05 de abril de 2019.</w:t>
      </w:r>
    </w:p>
    <w:p w:rsidR="008977B4" w:rsidRPr="00F16B67" w:rsidRDefault="008977B4" w:rsidP="008977B4">
      <w:pPr>
        <w:rPr>
          <w:rFonts w:cs="Times New Roman"/>
          <w:sz w:val="32"/>
          <w:szCs w:val="32"/>
        </w:rPr>
      </w:pPr>
    </w:p>
    <w:p w:rsidR="008977B4" w:rsidRPr="007A72F0" w:rsidRDefault="008977B4" w:rsidP="008977B4">
      <w:pPr>
        <w:rPr>
          <w:rFonts w:cs="Times New Roman"/>
          <w:szCs w:val="24"/>
        </w:rPr>
      </w:pPr>
      <w:r w:rsidRPr="007A72F0">
        <w:rPr>
          <w:rFonts w:cs="Times New Roman"/>
          <w:szCs w:val="24"/>
        </w:rPr>
        <w:t>Atentamente,</w:t>
      </w:r>
    </w:p>
    <w:p w:rsidR="008977B4" w:rsidRPr="007A72F0" w:rsidRDefault="008977B4" w:rsidP="008977B4">
      <w:pPr>
        <w:rPr>
          <w:rFonts w:cs="Times New Roman"/>
          <w:szCs w:val="24"/>
        </w:rPr>
      </w:pPr>
      <w:r w:rsidRPr="007A72F0">
        <w:rPr>
          <w:rFonts w:cs="Times New Roman"/>
          <w:szCs w:val="24"/>
        </w:rPr>
        <w:t>LILIANA ANDREA FORERO GÓMEZ</w:t>
      </w:r>
    </w:p>
    <w:p w:rsidR="008977B4" w:rsidRPr="007A72F0" w:rsidRDefault="008977B4" w:rsidP="008977B4">
      <w:pPr>
        <w:rPr>
          <w:rFonts w:cs="Times New Roman"/>
          <w:szCs w:val="24"/>
        </w:rPr>
      </w:pPr>
      <w:r w:rsidRPr="007A72F0">
        <w:rPr>
          <w:rFonts w:cs="Times New Roman"/>
          <w:szCs w:val="24"/>
        </w:rPr>
        <w:t>Directora de Gestión Jurídica</w:t>
      </w:r>
    </w:p>
    <w:p w:rsidR="008977B4" w:rsidRPr="007A72F0" w:rsidRDefault="008977B4" w:rsidP="008977B4">
      <w:pPr>
        <w:rPr>
          <w:rFonts w:cs="Times New Roman"/>
          <w:szCs w:val="24"/>
        </w:rPr>
      </w:pPr>
      <w:r w:rsidRPr="007A72F0">
        <w:rPr>
          <w:rFonts w:cs="Times New Roman"/>
          <w:szCs w:val="24"/>
        </w:rPr>
        <w:t>UAE-DIAN</w:t>
      </w:r>
    </w:p>
    <w:p w:rsidR="008977B4" w:rsidRPr="007A72F0" w:rsidRDefault="008977B4" w:rsidP="008977B4">
      <w:pPr>
        <w:rPr>
          <w:rFonts w:cs="Times New Roman"/>
          <w:szCs w:val="24"/>
        </w:rPr>
      </w:pPr>
    </w:p>
    <w:p w:rsidR="008977B4" w:rsidRPr="007A72F0" w:rsidRDefault="008977B4" w:rsidP="008977B4">
      <w:pPr>
        <w:rPr>
          <w:rFonts w:cs="Times New Roman"/>
          <w:szCs w:val="24"/>
        </w:rPr>
      </w:pPr>
      <w:r w:rsidRPr="007A72F0">
        <w:rPr>
          <w:rFonts w:cs="Times New Roman"/>
          <w:szCs w:val="24"/>
        </w:rPr>
        <w:t xml:space="preserve"> </w:t>
      </w:r>
    </w:p>
    <w:p w:rsidR="008977B4" w:rsidRPr="007A72F0" w:rsidRDefault="008977B4" w:rsidP="008977B4">
      <w:pPr>
        <w:rPr>
          <w:rFonts w:cs="Times New Roman"/>
          <w:szCs w:val="24"/>
        </w:rPr>
      </w:pPr>
    </w:p>
    <w:p w:rsidR="008977B4" w:rsidRPr="00D3161F" w:rsidRDefault="008977B4" w:rsidP="008977B4">
      <w:pPr>
        <w:rPr>
          <w:rFonts w:cs="Times New Roman"/>
          <w:szCs w:val="24"/>
        </w:rPr>
      </w:pPr>
    </w:p>
    <w:p w:rsidR="008977B4" w:rsidRPr="00D3161F" w:rsidRDefault="008977B4" w:rsidP="008977B4">
      <w:pPr>
        <w:rPr>
          <w:rFonts w:cs="Times New Roman"/>
          <w:szCs w:val="24"/>
        </w:rPr>
      </w:pPr>
    </w:p>
    <w:p w:rsidR="008977B4" w:rsidRPr="00A06ED1" w:rsidRDefault="008977B4">
      <w:pPr>
        <w:shd w:val="clear" w:color="auto" w:fill="FFFFFF"/>
        <w:spacing w:after="0" w:line="240" w:lineRule="auto"/>
        <w:jc w:val="both"/>
        <w:rPr>
          <w:rFonts w:eastAsia="Times New Roman" w:cs="Times New Roman"/>
          <w:szCs w:val="24"/>
          <w:lang w:eastAsia="es-CO"/>
        </w:rPr>
      </w:pPr>
    </w:p>
    <w:sectPr w:rsidR="008977B4" w:rsidRPr="00A06ED1"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1E8D"/>
    <w:multiLevelType w:val="multilevel"/>
    <w:tmpl w:val="A1BE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7B4BF2"/>
    <w:multiLevelType w:val="multilevel"/>
    <w:tmpl w:val="9FE8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ED1"/>
    <w:rsid w:val="00162DE9"/>
    <w:rsid w:val="003C4D66"/>
    <w:rsid w:val="00730617"/>
    <w:rsid w:val="008977B4"/>
    <w:rsid w:val="00A06ED1"/>
    <w:rsid w:val="00A45230"/>
    <w:rsid w:val="00CF5D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0798"/>
  <w15:chartTrackingRefBased/>
  <w15:docId w15:val="{7064A4FF-BB7E-4525-88ED-0D5AB9B4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275544">
      <w:bodyDiv w:val="1"/>
      <w:marLeft w:val="0"/>
      <w:marRight w:val="0"/>
      <w:marTop w:val="0"/>
      <w:marBottom w:val="0"/>
      <w:divBdr>
        <w:top w:val="none" w:sz="0" w:space="0" w:color="auto"/>
        <w:left w:val="none" w:sz="0" w:space="0" w:color="auto"/>
        <w:bottom w:val="none" w:sz="0" w:space="0" w:color="auto"/>
        <w:right w:val="none" w:sz="0" w:space="0" w:color="auto"/>
      </w:divBdr>
      <w:divsChild>
        <w:div w:id="367536123">
          <w:marLeft w:val="0"/>
          <w:marRight w:val="0"/>
          <w:marTop w:val="0"/>
          <w:marBottom w:val="0"/>
          <w:divBdr>
            <w:top w:val="none" w:sz="0" w:space="0" w:color="auto"/>
            <w:left w:val="none" w:sz="0" w:space="0" w:color="auto"/>
            <w:bottom w:val="none" w:sz="0" w:space="0" w:color="auto"/>
            <w:right w:val="none" w:sz="0" w:space="0" w:color="auto"/>
          </w:divBdr>
          <w:divsChild>
            <w:div w:id="475613136">
              <w:marLeft w:val="-225"/>
              <w:marRight w:val="-225"/>
              <w:marTop w:val="0"/>
              <w:marBottom w:val="0"/>
              <w:divBdr>
                <w:top w:val="none" w:sz="0" w:space="0" w:color="auto"/>
                <w:left w:val="none" w:sz="0" w:space="0" w:color="auto"/>
                <w:bottom w:val="none" w:sz="0" w:space="0" w:color="auto"/>
                <w:right w:val="none" w:sz="0" w:space="0" w:color="auto"/>
              </w:divBdr>
              <w:divsChild>
                <w:div w:id="891499058">
                  <w:marLeft w:val="0"/>
                  <w:marRight w:val="0"/>
                  <w:marTop w:val="0"/>
                  <w:marBottom w:val="0"/>
                  <w:divBdr>
                    <w:top w:val="none" w:sz="0" w:space="0" w:color="auto"/>
                    <w:left w:val="none" w:sz="0" w:space="0" w:color="auto"/>
                    <w:bottom w:val="none" w:sz="0" w:space="0" w:color="auto"/>
                    <w:right w:val="none" w:sz="0" w:space="0" w:color="auto"/>
                  </w:divBdr>
                  <w:divsChild>
                    <w:div w:id="1926260377">
                      <w:marLeft w:val="0"/>
                      <w:marRight w:val="0"/>
                      <w:marTop w:val="0"/>
                      <w:marBottom w:val="0"/>
                      <w:divBdr>
                        <w:top w:val="none" w:sz="0" w:space="0" w:color="auto"/>
                        <w:left w:val="none" w:sz="0" w:space="0" w:color="auto"/>
                        <w:bottom w:val="none" w:sz="0" w:space="0" w:color="auto"/>
                        <w:right w:val="none" w:sz="0" w:space="0" w:color="auto"/>
                      </w:divBdr>
                      <w:divsChild>
                        <w:div w:id="19411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78281">
                  <w:marLeft w:val="0"/>
                  <w:marRight w:val="0"/>
                  <w:marTop w:val="0"/>
                  <w:marBottom w:val="0"/>
                  <w:divBdr>
                    <w:top w:val="none" w:sz="0" w:space="0" w:color="auto"/>
                    <w:left w:val="none" w:sz="0" w:space="0" w:color="auto"/>
                    <w:bottom w:val="none" w:sz="0" w:space="0" w:color="auto"/>
                    <w:right w:val="none" w:sz="0" w:space="0" w:color="auto"/>
                  </w:divBdr>
                  <w:divsChild>
                    <w:div w:id="1670018419">
                      <w:marLeft w:val="0"/>
                      <w:marRight w:val="0"/>
                      <w:marTop w:val="0"/>
                      <w:marBottom w:val="0"/>
                      <w:divBdr>
                        <w:top w:val="none" w:sz="0" w:space="0" w:color="auto"/>
                        <w:left w:val="none" w:sz="0" w:space="0" w:color="auto"/>
                        <w:bottom w:val="none" w:sz="0" w:space="0" w:color="auto"/>
                        <w:right w:val="none" w:sz="0" w:space="0" w:color="auto"/>
                      </w:divBdr>
                      <w:divsChild>
                        <w:div w:id="165831883">
                          <w:marLeft w:val="0"/>
                          <w:marRight w:val="0"/>
                          <w:marTop w:val="0"/>
                          <w:marBottom w:val="0"/>
                          <w:divBdr>
                            <w:top w:val="single" w:sz="6" w:space="12" w:color="FFFFFF"/>
                            <w:left w:val="single" w:sz="6" w:space="12" w:color="FFFFFF"/>
                            <w:bottom w:val="single" w:sz="6" w:space="12" w:color="FFFFFF"/>
                            <w:right w:val="single" w:sz="6" w:space="12" w:color="FFFFFF"/>
                          </w:divBdr>
                          <w:divsChild>
                            <w:div w:id="1987969575">
                              <w:marLeft w:val="0"/>
                              <w:marRight w:val="0"/>
                              <w:marTop w:val="0"/>
                              <w:marBottom w:val="0"/>
                              <w:divBdr>
                                <w:top w:val="none" w:sz="0" w:space="0" w:color="auto"/>
                                <w:left w:val="none" w:sz="0" w:space="0" w:color="auto"/>
                                <w:bottom w:val="none" w:sz="0" w:space="0" w:color="auto"/>
                                <w:right w:val="none" w:sz="0" w:space="0" w:color="auto"/>
                              </w:divBdr>
                              <w:divsChild>
                                <w:div w:id="78214647">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276138526">
                  <w:marLeft w:val="0"/>
                  <w:marRight w:val="0"/>
                  <w:marTop w:val="0"/>
                  <w:marBottom w:val="0"/>
                  <w:divBdr>
                    <w:top w:val="none" w:sz="0" w:space="0" w:color="auto"/>
                    <w:left w:val="none" w:sz="0" w:space="0" w:color="auto"/>
                    <w:bottom w:val="none" w:sz="0" w:space="0" w:color="auto"/>
                    <w:right w:val="none" w:sz="0" w:space="0" w:color="auto"/>
                  </w:divBdr>
                  <w:divsChild>
                    <w:div w:id="2010058589">
                      <w:marLeft w:val="0"/>
                      <w:marRight w:val="0"/>
                      <w:marTop w:val="0"/>
                      <w:marBottom w:val="0"/>
                      <w:divBdr>
                        <w:top w:val="none" w:sz="0" w:space="0" w:color="auto"/>
                        <w:left w:val="none" w:sz="0" w:space="0" w:color="auto"/>
                        <w:bottom w:val="none" w:sz="0" w:space="0" w:color="auto"/>
                        <w:right w:val="none" w:sz="0" w:space="0" w:color="auto"/>
                      </w:divBdr>
                      <w:divsChild>
                        <w:div w:id="922225111">
                          <w:marLeft w:val="0"/>
                          <w:marRight w:val="0"/>
                          <w:marTop w:val="0"/>
                          <w:marBottom w:val="0"/>
                          <w:divBdr>
                            <w:top w:val="none" w:sz="0" w:space="0" w:color="auto"/>
                            <w:left w:val="none" w:sz="0" w:space="0" w:color="auto"/>
                            <w:bottom w:val="none" w:sz="0" w:space="0" w:color="auto"/>
                            <w:right w:val="none" w:sz="0" w:space="0" w:color="auto"/>
                          </w:divBdr>
                          <w:divsChild>
                            <w:div w:id="6391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07234">
          <w:marLeft w:val="0"/>
          <w:marRight w:val="0"/>
          <w:marTop w:val="0"/>
          <w:marBottom w:val="0"/>
          <w:divBdr>
            <w:top w:val="none" w:sz="0" w:space="0" w:color="auto"/>
            <w:left w:val="none" w:sz="0" w:space="0" w:color="auto"/>
            <w:bottom w:val="none" w:sz="0" w:space="0" w:color="auto"/>
            <w:right w:val="none" w:sz="0" w:space="0" w:color="auto"/>
          </w:divBdr>
          <w:divsChild>
            <w:div w:id="13174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17" TargetMode="External"/><Relationship Id="rId13" Type="http://schemas.openxmlformats.org/officeDocument/2006/relationships/hyperlink" Target="https://www.ceta.org.co/html/vista_de_un_articulo.asp?Norma=12025" TargetMode="External"/><Relationship Id="rId18" Type="http://schemas.openxmlformats.org/officeDocument/2006/relationships/hyperlink" Target="https://www.ceta.org.co/html/vista_de_un_articulo.asp?Norma=61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eta.org.co/html/vista_de_un_articulo.asp?Norma=617" TargetMode="External"/><Relationship Id="rId12" Type="http://schemas.openxmlformats.org/officeDocument/2006/relationships/hyperlink" Target="https://www.ceta.org.co/html/vista_de_un_articulo.asp?Norma=332" TargetMode="External"/><Relationship Id="rId17" Type="http://schemas.openxmlformats.org/officeDocument/2006/relationships/hyperlink" Target="https://www.ceta.org.co/html/vista_de_un_articulo.asp?Norma=101" TargetMode="External"/><Relationship Id="rId2" Type="http://schemas.openxmlformats.org/officeDocument/2006/relationships/styles" Target="styles.xml"/><Relationship Id="rId16" Type="http://schemas.openxmlformats.org/officeDocument/2006/relationships/hyperlink" Target="https://www.ceta.org.co/html/vista_de_un_articulo.asp?Norma=332" TargetMode="External"/><Relationship Id="rId20" Type="http://schemas.openxmlformats.org/officeDocument/2006/relationships/hyperlink" Target="https://www.ceta.org.co/html/vista_de_un_articulo.asp?Norma=617" TargetMode="External"/><Relationship Id="rId1" Type="http://schemas.openxmlformats.org/officeDocument/2006/relationships/numbering" Target="numbering.xml"/><Relationship Id="rId6" Type="http://schemas.openxmlformats.org/officeDocument/2006/relationships/hyperlink" Target="https://www.ceta.org.co/html/vista_de_un_articulo.asp?Norma=332" TargetMode="External"/><Relationship Id="rId11" Type="http://schemas.openxmlformats.org/officeDocument/2006/relationships/hyperlink" Target="https://www.ceta.org.co/html/vista_de_un_articulo.asp?Norma=332" TargetMode="External"/><Relationship Id="rId5" Type="http://schemas.openxmlformats.org/officeDocument/2006/relationships/hyperlink" Target="https://www.ceta.org.co/html/vista_de_un_articulo.asp?Norma=101" TargetMode="External"/><Relationship Id="rId15" Type="http://schemas.openxmlformats.org/officeDocument/2006/relationships/hyperlink" Target="https://www.ceta.org.co/html/vista_de_un_articulo.asp?Norma=617" TargetMode="External"/><Relationship Id="rId10" Type="http://schemas.openxmlformats.org/officeDocument/2006/relationships/hyperlink" Target="https://www.ceta.org.co/html/vista_de_un_articulo.asp?Norma=101" TargetMode="External"/><Relationship Id="rId19" Type="http://schemas.openxmlformats.org/officeDocument/2006/relationships/hyperlink" Target="https://www.ceta.org.co/html/vista_de_un_articulo.asp?Norma=617"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614" TargetMode="External"/><Relationship Id="rId14" Type="http://schemas.openxmlformats.org/officeDocument/2006/relationships/hyperlink" Target="https://www.ceta.org.co/html/vista_de_un_articulo.asp?Norma=617"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2621</Words>
  <Characters>14421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2019-05-26T18:44:00Z</dcterms:created>
  <dcterms:modified xsi:type="dcterms:W3CDTF">2019-05-26T19:31:00Z</dcterms:modified>
</cp:coreProperties>
</file>