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87" w:rsidRPr="008A1787" w:rsidRDefault="008A1787" w:rsidP="008A1787">
      <w:pPr>
        <w:shd w:val="clear" w:color="auto" w:fill="FFFFFF"/>
        <w:spacing w:line="240" w:lineRule="auto"/>
        <w:jc w:val="center"/>
        <w:rPr>
          <w:rFonts w:eastAsia="Times New Roman" w:cs="Times New Roman"/>
          <w:szCs w:val="24"/>
          <w:lang w:eastAsia="es-CO"/>
        </w:rPr>
      </w:pPr>
      <w:r w:rsidRPr="008A1787">
        <w:rPr>
          <w:rFonts w:eastAsia="Times New Roman" w:cs="Times New Roman"/>
          <w:b/>
          <w:bCs/>
          <w:szCs w:val="24"/>
          <w:lang w:eastAsia="es-CO"/>
        </w:rPr>
        <w:t>OFICIO Nº 840 [008169]</w:t>
      </w:r>
    </w:p>
    <w:p w:rsidR="008A1787" w:rsidRPr="008A1787" w:rsidRDefault="008A1787" w:rsidP="008A1787">
      <w:pPr>
        <w:shd w:val="clear" w:color="auto" w:fill="FFFFFF"/>
        <w:spacing w:line="240" w:lineRule="auto"/>
        <w:jc w:val="center"/>
        <w:rPr>
          <w:rFonts w:eastAsia="Times New Roman" w:cs="Times New Roman"/>
          <w:szCs w:val="24"/>
          <w:lang w:eastAsia="es-CO"/>
        </w:rPr>
      </w:pPr>
      <w:r w:rsidRPr="008A1787">
        <w:rPr>
          <w:rFonts w:eastAsia="Times New Roman" w:cs="Times New Roman"/>
          <w:b/>
          <w:bCs/>
          <w:szCs w:val="24"/>
          <w:lang w:eastAsia="es-CO"/>
        </w:rPr>
        <w:t>05-04-2019</w:t>
      </w:r>
    </w:p>
    <w:p w:rsidR="008A1787" w:rsidRPr="008A1787" w:rsidRDefault="008A1787" w:rsidP="008A1787">
      <w:pPr>
        <w:shd w:val="clear" w:color="auto" w:fill="FFFFFF"/>
        <w:spacing w:line="240" w:lineRule="auto"/>
        <w:jc w:val="center"/>
        <w:rPr>
          <w:rFonts w:eastAsia="Times New Roman" w:cs="Times New Roman"/>
          <w:szCs w:val="24"/>
          <w:lang w:eastAsia="es-CO"/>
        </w:rPr>
      </w:pPr>
      <w:r w:rsidRPr="008A1787">
        <w:rPr>
          <w:rFonts w:eastAsia="Times New Roman" w:cs="Times New Roman"/>
          <w:b/>
          <w:bCs/>
          <w:szCs w:val="24"/>
          <w:lang w:eastAsia="es-CO"/>
        </w:rPr>
        <w:t>DIAN</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Subdirección de Gestión Normativa y Doctrina</w:t>
      </w:r>
      <w:bookmarkStart w:id="0" w:name="_GoBack"/>
      <w:bookmarkEnd w:id="0"/>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100208221 000840</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Bogotá, D.C.</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proofErr w:type="spellStart"/>
      <w:r w:rsidRPr="008A1787">
        <w:rPr>
          <w:rFonts w:eastAsia="Times New Roman" w:cs="Times New Roman"/>
          <w:b/>
          <w:bCs/>
          <w:szCs w:val="24"/>
          <w:lang w:eastAsia="es-CO"/>
        </w:rPr>
        <w:t>Ref</w:t>
      </w:r>
      <w:proofErr w:type="spellEnd"/>
      <w:r w:rsidRPr="008A1787">
        <w:rPr>
          <w:rFonts w:eastAsia="Times New Roman" w:cs="Times New Roman"/>
          <w:b/>
          <w:bCs/>
          <w:szCs w:val="24"/>
          <w:lang w:eastAsia="es-CO"/>
        </w:rPr>
        <w:t>: </w:t>
      </w:r>
      <w:r w:rsidRPr="008A1787">
        <w:rPr>
          <w:rFonts w:eastAsia="Times New Roman" w:cs="Times New Roman"/>
          <w:szCs w:val="24"/>
          <w:lang w:eastAsia="es-CO"/>
        </w:rPr>
        <w:t>Radicado 127 del 27/02/2019</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56"/>
        <w:gridCol w:w="222"/>
        <w:gridCol w:w="222"/>
        <w:gridCol w:w="6389"/>
      </w:tblGrid>
      <w:tr w:rsidR="008A1787" w:rsidRPr="008A1787" w:rsidTr="008A1787">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szCs w:val="24"/>
                <w:lang w:eastAsia="es-CO"/>
              </w:rPr>
              <w:t>Retención en la fuente</w:t>
            </w:r>
          </w:p>
        </w:tc>
      </w:tr>
      <w:tr w:rsidR="008A1787" w:rsidRPr="008A1787" w:rsidTr="008A1787">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szCs w:val="24"/>
                <w:lang w:eastAsia="es-CO"/>
              </w:rPr>
              <w:t>Servicios no Sujetos a Retención</w:t>
            </w:r>
          </w:p>
        </w:tc>
      </w:tr>
      <w:tr w:rsidR="008A1787" w:rsidRPr="008A1787" w:rsidTr="008A1787">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szCs w:val="24"/>
                <w:lang w:eastAsia="es-CO"/>
              </w:rPr>
              <w:t>Estatuto Tributario – </w:t>
            </w:r>
            <w:hyperlink r:id="rId4" w:tooltip="Estatuto Tributario CETA" w:history="1">
              <w:r w:rsidRPr="008A1787">
                <w:rPr>
                  <w:rFonts w:eastAsia="Times New Roman" w:cs="Times New Roman"/>
                  <w:szCs w:val="24"/>
                  <w:u w:val="single"/>
                  <w:lang w:eastAsia="es-CO"/>
                </w:rPr>
                <w:t>Artículo 24</w:t>
              </w:r>
            </w:hyperlink>
          </w:p>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szCs w:val="24"/>
                <w:lang w:eastAsia="es-CO"/>
              </w:rPr>
              <w:t>Estatuto Tributario – </w:t>
            </w:r>
            <w:hyperlink r:id="rId5" w:tooltip="Estatuto Tributario CETA" w:history="1">
              <w:r w:rsidRPr="008A1787">
                <w:rPr>
                  <w:rFonts w:eastAsia="Times New Roman" w:cs="Times New Roman"/>
                  <w:szCs w:val="24"/>
                  <w:u w:val="single"/>
                  <w:lang w:eastAsia="es-CO"/>
                </w:rPr>
                <w:t>Artículo 406</w:t>
              </w:r>
            </w:hyperlink>
          </w:p>
          <w:p w:rsidR="008A1787" w:rsidRPr="008A1787" w:rsidRDefault="008A1787" w:rsidP="008A1787">
            <w:pPr>
              <w:spacing w:line="240" w:lineRule="auto"/>
              <w:rPr>
                <w:rFonts w:eastAsia="Times New Roman" w:cs="Times New Roman"/>
                <w:szCs w:val="24"/>
                <w:lang w:eastAsia="es-CO"/>
              </w:rPr>
            </w:pPr>
            <w:r w:rsidRPr="008A1787">
              <w:rPr>
                <w:rFonts w:eastAsia="Times New Roman" w:cs="Times New Roman"/>
                <w:szCs w:val="24"/>
                <w:lang w:eastAsia="es-CO"/>
              </w:rPr>
              <w:t>Decreto Único Reglamentario 1625 de 2016 – Artículo 1.6.1.4.45</w:t>
            </w:r>
          </w:p>
        </w:tc>
      </w:tr>
    </w:tbl>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Estimado señor Ferrer:</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Mediante escrito radicado 127 del 27 de febrero de 2019 esta Subdirección recibió una consulta por medio de la cual se solicita aclarar las siguientes inquietudes relacionadas con los servicios publicitarios prestados por Google:</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i/>
          <w:iCs/>
          <w:szCs w:val="24"/>
          <w:lang w:eastAsia="es-CO"/>
        </w:rPr>
        <w:t>1. ¿Todo aquel que presta un servicio en el país no está obligado a producir una factura por los servicios prestados?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i/>
          <w:iCs/>
          <w:szCs w:val="24"/>
          <w:lang w:eastAsia="es-CO"/>
        </w:rPr>
        <w:t>2. ¿Cómo se legalizan los costos dentro de la contabilidad si no existe factura?</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En atención a la consulta, se procede a analizar las siguientes consideraciones tributarias: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b/>
          <w:bCs/>
          <w:szCs w:val="24"/>
          <w:lang w:eastAsia="es-CO"/>
        </w:rPr>
        <w:t>1. </w:t>
      </w:r>
      <w:r w:rsidRPr="008A1787">
        <w:rPr>
          <w:rFonts w:eastAsia="Times New Roman" w:cs="Times New Roman"/>
          <w:b/>
          <w:bCs/>
          <w:szCs w:val="24"/>
          <w:u w:val="single"/>
          <w:lang w:eastAsia="es-CO"/>
        </w:rPr>
        <w:t>Obligación de expedir factura para los prestadores de servicios publicitarios desde el exterior</w:t>
      </w:r>
      <w:r w:rsidRPr="008A1787">
        <w:rPr>
          <w:rFonts w:eastAsia="Times New Roman" w:cs="Times New Roman"/>
          <w:b/>
          <w:bCs/>
          <w:szCs w:val="24"/>
          <w:lang w:eastAsia="es-CO"/>
        </w:rPr>
        <w:t>:</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1.1.1. Con el fin de determinar la obligación de facturar por parte de quienes prestan servicios publicitarios en Colombia, es necesario analizar la naturaleza de sus ingresos, como se expone a continuación:</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xml:space="preserve">1.1.2. Previamente, este despacho se ha pronunciado sobre los servicios de publicidad prestados desde el exterior por entidades extranjeras que carecen de domicilio en Colombia, </w:t>
      </w:r>
      <w:r w:rsidRPr="008A1787">
        <w:rPr>
          <w:rFonts w:eastAsia="Times New Roman" w:cs="Times New Roman"/>
          <w:szCs w:val="24"/>
          <w:lang w:eastAsia="es-CO"/>
        </w:rPr>
        <w:lastRenderedPageBreak/>
        <w:t>confirmando que los ingresos percibidos por el servicio prestado no se encuentran gravados con el impuesto sobre la renta, al no considerarse un ingreso de fuente nacional.</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1.1.3. Esta posición se fundamenta en el precedente que estableció el Consejo de Estado, Sala de lo contencioso Administrativo, Sección Cuarta, Consejera Ponente: Martha Teresa Briceño de Valencia, mediante Sentencia 11001-03-27-000-2009-00019-00 del 06 de septiembre de 2012, al señalar:</w:t>
      </w:r>
    </w:p>
    <w:p w:rsidR="008A1787" w:rsidRPr="008A1787" w:rsidRDefault="008A1787" w:rsidP="008A1787">
      <w:pPr>
        <w:shd w:val="clear" w:color="auto" w:fill="FFFFFF"/>
        <w:spacing w:line="240" w:lineRule="auto"/>
        <w:ind w:left="180"/>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ind w:left="180"/>
        <w:rPr>
          <w:rFonts w:eastAsia="Times New Roman" w:cs="Times New Roman"/>
          <w:szCs w:val="24"/>
          <w:lang w:eastAsia="es-CO"/>
        </w:rPr>
      </w:pPr>
      <w:r w:rsidRPr="008A1787">
        <w:rPr>
          <w:rFonts w:eastAsia="Times New Roman" w:cs="Times New Roman"/>
          <w:i/>
          <w:iCs/>
          <w:szCs w:val="24"/>
          <w:lang w:eastAsia="es-CO"/>
        </w:rPr>
        <w:t>“En consecuencia, como el servicio de publicidad en los canales internacionales se ejecuta desde el exterior y no se entiende prestado en Colombia, los pagos que efectúa el anunciante nacional a las sociedades extranjeras no son de fuente nacional, motivo por el cual no están sujetos al impuesto sobre la renta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1.1.4. De este acápite se infiere que, el servicio de publicidad a través de internet se presta desde fuera del territorio nacional, ya que la entidad extranjera no desarrolla en el país ninguna actividad con miras a prestar el servicio, debido a que el origen del mismo surge en el servidor y los equipos de propiedad de la empresa prestadora, que se encuentran ubicados en el exterior: Esto, aun cuando los receptores de las pautas publicitarias son consumidores en Colombia.</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1.1.5. Por lo tanto, en los términos del </w:t>
      </w:r>
      <w:hyperlink r:id="rId6" w:tooltip="Estatuto Tributario CETA" w:history="1">
        <w:r w:rsidRPr="008A1787">
          <w:rPr>
            <w:rFonts w:eastAsia="Times New Roman" w:cs="Times New Roman"/>
            <w:szCs w:val="24"/>
            <w:u w:val="single"/>
            <w:lang w:eastAsia="es-CO"/>
          </w:rPr>
          <w:t>artículo 24</w:t>
        </w:r>
      </w:hyperlink>
      <w:r w:rsidRPr="008A1787">
        <w:rPr>
          <w:rFonts w:eastAsia="Times New Roman" w:cs="Times New Roman"/>
          <w:szCs w:val="24"/>
          <w:lang w:eastAsia="es-CO"/>
        </w:rPr>
        <w:t> del Estatuto Tributario (“E.T.”), los ingresos que la prestadora de servicios de publicidad desde el exterior percibe, no constituyen ingresos de fuente nacional, y como consecuencia, su retención no será procedente en consideración con el </w:t>
      </w:r>
      <w:hyperlink r:id="rId7" w:tooltip="Estatuto Tributario CETA" w:history="1">
        <w:r w:rsidRPr="008A1787">
          <w:rPr>
            <w:rFonts w:eastAsia="Times New Roman" w:cs="Times New Roman"/>
            <w:szCs w:val="24"/>
            <w:u w:val="single"/>
            <w:lang w:eastAsia="es-CO"/>
          </w:rPr>
          <w:t>artículo 406</w:t>
        </w:r>
      </w:hyperlink>
      <w:r w:rsidRPr="008A1787">
        <w:rPr>
          <w:rFonts w:eastAsia="Times New Roman" w:cs="Times New Roman"/>
          <w:szCs w:val="24"/>
          <w:lang w:eastAsia="es-CO"/>
        </w:rPr>
        <w:t> del E.T., ni tampoco lo será su obligación de facturar, pues no se trata de un servicio efectivamente prestado en Colombia.</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1.1.6. A modo de conclusión, se confirma la posición que este despacho expuso mediante Oficio No. 57318 de 2014.</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b/>
          <w:bCs/>
          <w:szCs w:val="24"/>
          <w:lang w:eastAsia="es-CO"/>
        </w:rPr>
        <w:t>2. </w:t>
      </w:r>
      <w:r w:rsidRPr="008A1787">
        <w:rPr>
          <w:rFonts w:eastAsia="Times New Roman" w:cs="Times New Roman"/>
          <w:b/>
          <w:bCs/>
          <w:szCs w:val="24"/>
          <w:u w:val="single"/>
          <w:lang w:eastAsia="es-CO"/>
        </w:rPr>
        <w:t>Contabilización de costos ante la ausencia de factura en operaciones con extranjeros sin residencia o domicilio</w:t>
      </w:r>
      <w:r w:rsidRPr="008A1787">
        <w:rPr>
          <w:rFonts w:eastAsia="Times New Roman" w:cs="Times New Roman"/>
          <w:b/>
          <w:bCs/>
          <w:szCs w:val="24"/>
          <w:lang w:eastAsia="es-CO"/>
        </w:rPr>
        <w:t>:</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2.1.1. Para dar respuesta a esta consulta, nos remitimos a la reglamentación del artículo 5 del Decreto 3050 de 1997, a su vez compilado en el artículo 1.6.1.4.45 del Decreto Único Reglamentario 1625 de 2016.</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2.1.2. De acuerdo a la norma mencionada: “Además de los contemplados en otras disposiciones, constituyen documentos equivalentes a la factura los siguientes: (…) 2. Los contratos celebrados con extranjeros sin residencia o domicilio en el país, en cuyo caso, para la procedencia del IVA descontable se deberá acreditar, adicionalmente, que se ha practicado la respectiva retención en la fuente.”</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2.1.3. Como se evidencia, el contrato celebrado con una persona sin residencia o domicilio en Colombia, constituye un documento equivalente a la factura, de forma que sirve para acreditar plenamente los costos y deducciones resultantes de las operaciones y sus respectivas cuantías.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2.1.4. Al respecto, El Consejo de Estado, Sala de lo Contencioso Administrativo, Sección Cuarta, Magistrada Ponente: Martha Teresa Briceño de Valencia, en Sentencia 25000-23-27-000-2006-00840-01, manifestó:</w:t>
      </w:r>
    </w:p>
    <w:p w:rsidR="008A1787" w:rsidRPr="008A1787" w:rsidRDefault="008A1787" w:rsidP="008A1787">
      <w:pPr>
        <w:shd w:val="clear" w:color="auto" w:fill="FFFFFF"/>
        <w:spacing w:line="240" w:lineRule="auto"/>
        <w:ind w:left="180"/>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ind w:left="180"/>
        <w:rPr>
          <w:rFonts w:eastAsia="Times New Roman" w:cs="Times New Roman"/>
          <w:szCs w:val="24"/>
          <w:lang w:eastAsia="es-CO"/>
        </w:rPr>
      </w:pPr>
      <w:r w:rsidRPr="008A1787">
        <w:rPr>
          <w:rFonts w:eastAsia="Times New Roman" w:cs="Times New Roman"/>
          <w:i/>
          <w:iCs/>
          <w:szCs w:val="24"/>
          <w:lang w:eastAsia="es-CO"/>
        </w:rPr>
        <w:t xml:space="preserve">“No obstante, esta Corporación observa que la realidad </w:t>
      </w:r>
      <w:proofErr w:type="spellStart"/>
      <w:r w:rsidRPr="008A1787">
        <w:rPr>
          <w:rFonts w:eastAsia="Times New Roman" w:cs="Times New Roman"/>
          <w:i/>
          <w:iCs/>
          <w:szCs w:val="24"/>
          <w:lang w:eastAsia="es-CO"/>
        </w:rPr>
        <w:t>negocial</w:t>
      </w:r>
      <w:proofErr w:type="spellEnd"/>
      <w:r w:rsidRPr="008A1787">
        <w:rPr>
          <w:rFonts w:eastAsia="Times New Roman" w:cs="Times New Roman"/>
          <w:i/>
          <w:iCs/>
          <w:szCs w:val="24"/>
          <w:lang w:eastAsia="es-CO"/>
        </w:rPr>
        <w:t xml:space="preserve"> puede ser demostrada a través de otros medios probatorios que le permitan a la Administración tener certeza de la operación y de su cuantía. Se advierte que el “contrato” para efectos del impuesto descontable en el caso de operaciones con no residentes o no domiciliados en Colombia ha sido previsto como un documento equivalente a la factura, es decir que la norma ha permitido que aquél sirva como soporte para la reclamación del IVA descontable </w:t>
      </w:r>
      <w:r w:rsidRPr="008A1787">
        <w:rPr>
          <w:rFonts w:eastAsia="Times New Roman" w:cs="Times New Roman"/>
          <w:i/>
          <w:iCs/>
          <w:szCs w:val="24"/>
          <w:lang w:eastAsia="es-CO"/>
        </w:rPr>
        <w:lastRenderedPageBreak/>
        <w:t>generado en operaciones que de no ser por la calidad de las partes que intervienen estarían soportadas con factura.”</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2.1.5. De lo anterior, es posible concluir que, ante la ausencia de factura en las operaciones con extranjeros sin residencia o domicilio, la contabilidad debe respaldarse en el contrato celebrado entre las partes.</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Atentamente,</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 </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b/>
          <w:bCs/>
          <w:szCs w:val="24"/>
          <w:lang w:eastAsia="es-CO"/>
        </w:rPr>
        <w:t>LORENZO CASTILLO BARVO</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Subdirector de Gestión Normativa y Doctrina (E)</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Dirección de Gestión Jurídica</w:t>
      </w:r>
    </w:p>
    <w:p w:rsidR="008A1787" w:rsidRPr="008A1787" w:rsidRDefault="008A1787" w:rsidP="008A1787">
      <w:pPr>
        <w:shd w:val="clear" w:color="auto" w:fill="FFFFFF"/>
        <w:spacing w:line="240" w:lineRule="auto"/>
        <w:rPr>
          <w:rFonts w:eastAsia="Times New Roman" w:cs="Times New Roman"/>
          <w:szCs w:val="24"/>
          <w:lang w:eastAsia="es-CO"/>
        </w:rPr>
      </w:pPr>
      <w:r w:rsidRPr="008A1787">
        <w:rPr>
          <w:rFonts w:eastAsia="Times New Roman" w:cs="Times New Roman"/>
          <w:szCs w:val="24"/>
          <w:lang w:eastAsia="es-CO"/>
        </w:rPr>
        <w:t>UAE – Dirección de Impuestos y Aduanas Nacionales</w:t>
      </w:r>
    </w:p>
    <w:p w:rsidR="00730617" w:rsidRPr="008A1787" w:rsidRDefault="00730617">
      <w:pPr>
        <w:rPr>
          <w:rFonts w:cs="Times New Roman"/>
          <w:szCs w:val="24"/>
        </w:rPr>
      </w:pPr>
    </w:p>
    <w:sectPr w:rsidR="00730617" w:rsidRPr="008A178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87"/>
    <w:rsid w:val="00730617"/>
    <w:rsid w:val="008A178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EA5C4-7838-463B-ACF4-D9C10B64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 TargetMode="External"/><Relationship Id="rId5" Type="http://schemas.openxmlformats.org/officeDocument/2006/relationships/hyperlink" Target="https://www.ceta.org.co/html/vista_de_un_articulo.asp?Norma=504" TargetMode="External"/><Relationship Id="rId4" Type="http://schemas.openxmlformats.org/officeDocument/2006/relationships/hyperlink" Target="https://www.ceta.org.co/html/vista_de_un_articulo.asp?Norma=5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2019-08-24T13:38:00Z</dcterms:created>
  <dcterms:modified xsi:type="dcterms:W3CDTF">2019-08-24T13:40:00Z</dcterms:modified>
</cp:coreProperties>
</file>