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center"/>
        <w:rPr>
          <w:rFonts w:ascii="Arial" w:eastAsia="Times New Roman" w:hAnsi="Arial" w:cs="Arial"/>
          <w:sz w:val="18"/>
          <w:szCs w:val="18"/>
          <w:lang w:eastAsia="es-CO"/>
        </w:rPr>
      </w:pPr>
      <w:r w:rsidRPr="004D6F1E">
        <w:rPr>
          <w:rFonts w:ascii="Segoe UI" w:eastAsia="Times New Roman" w:hAnsi="Segoe UI" w:cs="Segoe UI"/>
          <w:b/>
          <w:bCs/>
          <w:sz w:val="28"/>
          <w:szCs w:val="28"/>
          <w:lang w:eastAsia="es-CO"/>
        </w:rPr>
        <w:t>OFICIO Nº 792 [007610]</w:t>
      </w:r>
    </w:p>
    <w:p w:rsidR="004D6F1E" w:rsidRPr="004D6F1E" w:rsidRDefault="004D6F1E" w:rsidP="004D6F1E">
      <w:pPr>
        <w:spacing w:after="0" w:line="240" w:lineRule="auto"/>
        <w:jc w:val="center"/>
        <w:rPr>
          <w:rFonts w:ascii="Arial" w:eastAsia="Times New Roman" w:hAnsi="Arial" w:cs="Arial"/>
          <w:sz w:val="18"/>
          <w:szCs w:val="18"/>
          <w:lang w:eastAsia="es-CO"/>
        </w:rPr>
      </w:pPr>
      <w:r w:rsidRPr="004D6F1E">
        <w:rPr>
          <w:rFonts w:ascii="Segoe UI" w:eastAsia="Times New Roman" w:hAnsi="Segoe UI" w:cs="Segoe UI"/>
          <w:b/>
          <w:bCs/>
          <w:sz w:val="28"/>
          <w:szCs w:val="28"/>
          <w:lang w:eastAsia="es-CO"/>
        </w:rPr>
        <w:t>02-04-2019</w:t>
      </w:r>
    </w:p>
    <w:p w:rsidR="004D6F1E" w:rsidRPr="004D6F1E" w:rsidRDefault="004D6F1E" w:rsidP="004D6F1E">
      <w:pPr>
        <w:spacing w:after="0" w:line="240" w:lineRule="auto"/>
        <w:jc w:val="center"/>
        <w:rPr>
          <w:rFonts w:ascii="Arial" w:eastAsia="Times New Roman" w:hAnsi="Arial" w:cs="Arial"/>
          <w:sz w:val="18"/>
          <w:szCs w:val="18"/>
          <w:lang w:eastAsia="es-CO"/>
        </w:rPr>
      </w:pPr>
      <w:r w:rsidRPr="004D6F1E">
        <w:rPr>
          <w:rFonts w:ascii="Segoe UI" w:eastAsia="Times New Roman" w:hAnsi="Segoe UI" w:cs="Segoe UI"/>
          <w:b/>
          <w:bCs/>
          <w:sz w:val="28"/>
          <w:szCs w:val="28"/>
          <w:lang w:eastAsia="es-CO"/>
        </w:rPr>
        <w:t>DIAN</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Subdirección de Gestión Normativa y Doctrina</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100208221 – 000792</w:t>
      </w:r>
      <w:bookmarkStart w:id="0" w:name="_GoBack"/>
      <w:bookmarkEnd w:id="0"/>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Bogotá, D.C.</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proofErr w:type="spellStart"/>
      <w:r w:rsidRPr="004D6F1E">
        <w:rPr>
          <w:rFonts w:ascii="Segoe UI" w:eastAsia="Times New Roman" w:hAnsi="Segoe UI" w:cs="Segoe UI"/>
          <w:b/>
          <w:bCs/>
          <w:sz w:val="18"/>
          <w:szCs w:val="18"/>
          <w:lang w:eastAsia="es-CO"/>
        </w:rPr>
        <w:t>Ref</w:t>
      </w:r>
      <w:proofErr w:type="spellEnd"/>
      <w:r w:rsidRPr="004D6F1E">
        <w:rPr>
          <w:rFonts w:ascii="Segoe UI" w:eastAsia="Times New Roman" w:hAnsi="Segoe UI" w:cs="Segoe UI"/>
          <w:b/>
          <w:bCs/>
          <w:sz w:val="18"/>
          <w:szCs w:val="18"/>
          <w:lang w:eastAsia="es-CO"/>
        </w:rPr>
        <w:t>:</w:t>
      </w:r>
      <w:r w:rsidRPr="004D6F1E">
        <w:rPr>
          <w:rFonts w:ascii="Segoe UI" w:eastAsia="Times New Roman" w:hAnsi="Segoe UI" w:cs="Segoe UI"/>
          <w:sz w:val="18"/>
          <w:szCs w:val="18"/>
          <w:lang w:eastAsia="es-CO"/>
        </w:rPr>
        <w:t> Radicado 100001245 del 09/01/2019</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5901"/>
      </w:tblGrid>
      <w:tr w:rsidR="004D6F1E" w:rsidRPr="004D6F1E" w:rsidTr="004D6F1E">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Impuesto sobre la Renta y Complementarios</w:t>
            </w:r>
          </w:p>
        </w:tc>
      </w:tr>
      <w:tr w:rsidR="004D6F1E" w:rsidRPr="004D6F1E" w:rsidTr="004D6F1E">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Causación del Ingreso</w:t>
            </w:r>
          </w:p>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Causación de los Costos</w:t>
            </w:r>
          </w:p>
        </w:tc>
      </w:tr>
      <w:tr w:rsidR="004D6F1E" w:rsidRPr="004D6F1E" w:rsidTr="004D6F1E">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D6F1E" w:rsidRPr="004D6F1E" w:rsidRDefault="004D6F1E" w:rsidP="004D6F1E">
            <w:pPr>
              <w:spacing w:after="0" w:line="240" w:lineRule="auto"/>
              <w:jc w:val="both"/>
              <w:rPr>
                <w:rFonts w:ascii="Arial" w:eastAsia="Times New Roman" w:hAnsi="Arial" w:cs="Arial"/>
                <w:szCs w:val="24"/>
                <w:lang w:eastAsia="es-CO"/>
              </w:rPr>
            </w:pPr>
            <w:hyperlink r:id="rId4" w:tooltip="Estatuto Tributario CETA" w:history="1">
              <w:r w:rsidRPr="004D6F1E">
                <w:rPr>
                  <w:rFonts w:ascii="Segoe UI" w:eastAsia="Times New Roman" w:hAnsi="Segoe UI" w:cs="Segoe UI"/>
                  <w:sz w:val="20"/>
                  <w:szCs w:val="20"/>
                  <w:u w:val="single"/>
                  <w:lang w:eastAsia="es-CO"/>
                </w:rPr>
                <w:t>Artículo 21-1</w:t>
              </w:r>
            </w:hyperlink>
            <w:r w:rsidRPr="004D6F1E">
              <w:rPr>
                <w:rFonts w:ascii="Segoe UI" w:eastAsia="Times New Roman" w:hAnsi="Segoe UI" w:cs="Segoe UI"/>
                <w:sz w:val="20"/>
                <w:szCs w:val="20"/>
                <w:lang w:eastAsia="es-CO"/>
              </w:rPr>
              <w:t> del Estatuto Tributario</w:t>
            </w:r>
          </w:p>
          <w:p w:rsidR="004D6F1E" w:rsidRPr="004D6F1E" w:rsidRDefault="004D6F1E" w:rsidP="004D6F1E">
            <w:pPr>
              <w:spacing w:after="0" w:line="240" w:lineRule="auto"/>
              <w:jc w:val="both"/>
              <w:rPr>
                <w:rFonts w:ascii="Arial" w:eastAsia="Times New Roman" w:hAnsi="Arial" w:cs="Arial"/>
                <w:szCs w:val="24"/>
                <w:lang w:eastAsia="es-CO"/>
              </w:rPr>
            </w:pPr>
            <w:hyperlink r:id="rId5" w:tooltip="Estatuto Tributario CETA" w:history="1">
              <w:r w:rsidRPr="004D6F1E">
                <w:rPr>
                  <w:rFonts w:ascii="Segoe UI" w:eastAsia="Times New Roman" w:hAnsi="Segoe UI" w:cs="Segoe UI"/>
                  <w:sz w:val="20"/>
                  <w:szCs w:val="20"/>
                  <w:u w:val="single"/>
                  <w:lang w:eastAsia="es-CO"/>
                </w:rPr>
                <w:t>Artículo 28</w:t>
              </w:r>
            </w:hyperlink>
            <w:r w:rsidRPr="004D6F1E">
              <w:rPr>
                <w:rFonts w:ascii="Segoe UI" w:eastAsia="Times New Roman" w:hAnsi="Segoe UI" w:cs="Segoe UI"/>
                <w:sz w:val="20"/>
                <w:szCs w:val="20"/>
                <w:lang w:eastAsia="es-CO"/>
              </w:rPr>
              <w:t> del Estatuto Tributario</w:t>
            </w:r>
          </w:p>
          <w:p w:rsidR="004D6F1E" w:rsidRPr="004D6F1E" w:rsidRDefault="004D6F1E" w:rsidP="004D6F1E">
            <w:pPr>
              <w:spacing w:after="0" w:line="240" w:lineRule="auto"/>
              <w:jc w:val="both"/>
              <w:rPr>
                <w:rFonts w:ascii="Arial" w:eastAsia="Times New Roman" w:hAnsi="Arial" w:cs="Arial"/>
                <w:szCs w:val="24"/>
                <w:lang w:eastAsia="es-CO"/>
              </w:rPr>
            </w:pPr>
            <w:hyperlink r:id="rId6" w:tooltip="Estatuto Tributario CETA" w:history="1">
              <w:r w:rsidRPr="004D6F1E">
                <w:rPr>
                  <w:rFonts w:ascii="Segoe UI" w:eastAsia="Times New Roman" w:hAnsi="Segoe UI" w:cs="Segoe UI"/>
                  <w:sz w:val="20"/>
                  <w:szCs w:val="20"/>
                  <w:u w:val="single"/>
                  <w:lang w:eastAsia="es-CO"/>
                </w:rPr>
                <w:t>Artículo 59</w:t>
              </w:r>
            </w:hyperlink>
            <w:r w:rsidRPr="004D6F1E">
              <w:rPr>
                <w:rFonts w:ascii="Segoe UI" w:eastAsia="Times New Roman" w:hAnsi="Segoe UI" w:cs="Segoe UI"/>
                <w:sz w:val="20"/>
                <w:szCs w:val="20"/>
                <w:lang w:eastAsia="es-CO"/>
              </w:rPr>
              <w:t> del Estatuto Tributario</w:t>
            </w:r>
          </w:p>
          <w:p w:rsidR="004D6F1E" w:rsidRPr="004D6F1E" w:rsidRDefault="004D6F1E" w:rsidP="004D6F1E">
            <w:pPr>
              <w:spacing w:after="0" w:line="240" w:lineRule="auto"/>
              <w:jc w:val="both"/>
              <w:rPr>
                <w:rFonts w:ascii="Arial" w:eastAsia="Times New Roman" w:hAnsi="Arial" w:cs="Arial"/>
                <w:szCs w:val="24"/>
                <w:lang w:eastAsia="es-CO"/>
              </w:rPr>
            </w:pPr>
            <w:hyperlink r:id="rId7" w:tooltip="Estatuto Tributario CETA" w:history="1">
              <w:r w:rsidRPr="004D6F1E">
                <w:rPr>
                  <w:rFonts w:ascii="Segoe UI" w:eastAsia="Times New Roman" w:hAnsi="Segoe UI" w:cs="Segoe UI"/>
                  <w:sz w:val="20"/>
                  <w:szCs w:val="20"/>
                  <w:u w:val="single"/>
                  <w:lang w:eastAsia="es-CO"/>
                </w:rPr>
                <w:t>Artículo 105</w:t>
              </w:r>
            </w:hyperlink>
            <w:r w:rsidRPr="004D6F1E">
              <w:rPr>
                <w:rFonts w:ascii="Segoe UI" w:eastAsia="Times New Roman" w:hAnsi="Segoe UI" w:cs="Segoe UI"/>
                <w:sz w:val="20"/>
                <w:szCs w:val="20"/>
                <w:lang w:eastAsia="es-CO"/>
              </w:rPr>
              <w:t> del Estatuto Tributario</w:t>
            </w:r>
          </w:p>
          <w:p w:rsidR="004D6F1E" w:rsidRPr="004D6F1E" w:rsidRDefault="004D6F1E" w:rsidP="004D6F1E">
            <w:pPr>
              <w:spacing w:after="0" w:line="240" w:lineRule="auto"/>
              <w:jc w:val="both"/>
              <w:rPr>
                <w:rFonts w:ascii="Arial" w:eastAsia="Times New Roman" w:hAnsi="Arial" w:cs="Arial"/>
                <w:szCs w:val="24"/>
                <w:lang w:eastAsia="es-CO"/>
              </w:rPr>
            </w:pPr>
            <w:hyperlink r:id="rId8" w:tooltip="Estatuto Tributario CETA" w:history="1">
              <w:r w:rsidRPr="004D6F1E">
                <w:rPr>
                  <w:rFonts w:ascii="Segoe UI" w:eastAsia="Times New Roman" w:hAnsi="Segoe UI" w:cs="Segoe UI"/>
                  <w:sz w:val="20"/>
                  <w:szCs w:val="20"/>
                  <w:u w:val="single"/>
                  <w:lang w:eastAsia="es-CO"/>
                </w:rPr>
                <w:t>Artículo 429</w:t>
              </w:r>
            </w:hyperlink>
            <w:r w:rsidRPr="004D6F1E">
              <w:rPr>
                <w:rFonts w:ascii="Segoe UI" w:eastAsia="Times New Roman" w:hAnsi="Segoe UI" w:cs="Segoe UI"/>
                <w:sz w:val="20"/>
                <w:szCs w:val="20"/>
                <w:lang w:eastAsia="es-CO"/>
              </w:rPr>
              <w:t> del Estatuto Tributario</w:t>
            </w:r>
          </w:p>
          <w:p w:rsidR="004D6F1E" w:rsidRPr="004D6F1E" w:rsidRDefault="004D6F1E" w:rsidP="004D6F1E">
            <w:pPr>
              <w:spacing w:after="0" w:line="240" w:lineRule="auto"/>
              <w:jc w:val="both"/>
              <w:rPr>
                <w:rFonts w:ascii="Arial" w:eastAsia="Times New Roman" w:hAnsi="Arial" w:cs="Arial"/>
                <w:szCs w:val="24"/>
                <w:lang w:eastAsia="es-CO"/>
              </w:rPr>
            </w:pPr>
            <w:hyperlink r:id="rId9" w:tooltip="Estatuto Tributario CETA" w:history="1">
              <w:r w:rsidRPr="004D6F1E">
                <w:rPr>
                  <w:rFonts w:ascii="Segoe UI" w:eastAsia="Times New Roman" w:hAnsi="Segoe UI" w:cs="Segoe UI"/>
                  <w:sz w:val="20"/>
                  <w:szCs w:val="20"/>
                  <w:u w:val="single"/>
                  <w:lang w:eastAsia="es-CO"/>
                </w:rPr>
                <w:t>Artículo 771-2</w:t>
              </w:r>
            </w:hyperlink>
            <w:r w:rsidRPr="004D6F1E">
              <w:rPr>
                <w:rFonts w:ascii="Segoe UI" w:eastAsia="Times New Roman" w:hAnsi="Segoe UI" w:cs="Segoe UI"/>
                <w:sz w:val="20"/>
                <w:szCs w:val="20"/>
                <w:lang w:eastAsia="es-CO"/>
              </w:rPr>
              <w:t> del Estatuto Tributario</w:t>
            </w:r>
          </w:p>
          <w:p w:rsidR="004D6F1E" w:rsidRPr="004D6F1E" w:rsidRDefault="004D6F1E" w:rsidP="004D6F1E">
            <w:pPr>
              <w:spacing w:after="0" w:line="240" w:lineRule="auto"/>
              <w:jc w:val="both"/>
              <w:rPr>
                <w:rFonts w:ascii="Arial" w:eastAsia="Times New Roman" w:hAnsi="Arial" w:cs="Arial"/>
                <w:szCs w:val="24"/>
                <w:lang w:eastAsia="es-CO"/>
              </w:rPr>
            </w:pPr>
            <w:hyperlink r:id="rId10" w:tooltip="Estatuto Tributario CETA" w:history="1">
              <w:r w:rsidRPr="004D6F1E">
                <w:rPr>
                  <w:rFonts w:ascii="Segoe UI" w:eastAsia="Times New Roman" w:hAnsi="Segoe UI" w:cs="Segoe UI"/>
                  <w:sz w:val="20"/>
                  <w:szCs w:val="20"/>
                  <w:u w:val="single"/>
                  <w:lang w:eastAsia="es-CO"/>
                </w:rPr>
                <w:t>Artículo 772-1</w:t>
              </w:r>
            </w:hyperlink>
            <w:r w:rsidRPr="004D6F1E">
              <w:rPr>
                <w:rFonts w:ascii="Segoe UI" w:eastAsia="Times New Roman" w:hAnsi="Segoe UI" w:cs="Segoe UI"/>
                <w:sz w:val="20"/>
                <w:szCs w:val="20"/>
                <w:lang w:eastAsia="es-CO"/>
              </w:rPr>
              <w:t> del Estatuto Tributario</w:t>
            </w:r>
          </w:p>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Decreto 1998 de 2017</w:t>
            </w:r>
          </w:p>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Artículo 1.2.4.3.1 del Decreto Único Reglamentario 1625 de 2016</w:t>
            </w:r>
          </w:p>
          <w:p w:rsidR="004D6F1E" w:rsidRPr="004D6F1E" w:rsidRDefault="004D6F1E" w:rsidP="004D6F1E">
            <w:pPr>
              <w:spacing w:after="0" w:line="240" w:lineRule="auto"/>
              <w:jc w:val="both"/>
              <w:rPr>
                <w:rFonts w:ascii="Arial" w:eastAsia="Times New Roman" w:hAnsi="Arial" w:cs="Arial"/>
                <w:szCs w:val="24"/>
                <w:lang w:eastAsia="es-CO"/>
              </w:rPr>
            </w:pPr>
            <w:r w:rsidRPr="004D6F1E">
              <w:rPr>
                <w:rFonts w:ascii="Segoe UI" w:eastAsia="Times New Roman" w:hAnsi="Segoe UI" w:cs="Segoe UI"/>
                <w:sz w:val="20"/>
                <w:szCs w:val="20"/>
                <w:lang w:eastAsia="es-CO"/>
              </w:rPr>
              <w:t>Oficio No. 006012 del 17 de marzo de 2017</w:t>
            </w:r>
          </w:p>
        </w:tc>
      </w:tr>
    </w:tbl>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xml:space="preserve">Estimada señora Doris Nubia Salazar </w:t>
      </w:r>
      <w:proofErr w:type="spellStart"/>
      <w:r w:rsidRPr="004D6F1E">
        <w:rPr>
          <w:rFonts w:ascii="Segoe UI" w:eastAsia="Times New Roman" w:hAnsi="Segoe UI" w:cs="Segoe UI"/>
          <w:sz w:val="18"/>
          <w:szCs w:val="18"/>
          <w:lang w:eastAsia="es-CO"/>
        </w:rPr>
        <w:t>Fandiño</w:t>
      </w:r>
      <w:proofErr w:type="spellEnd"/>
      <w:r w:rsidRPr="004D6F1E">
        <w:rPr>
          <w:rFonts w:ascii="Segoe UI" w:eastAsia="Times New Roman" w:hAnsi="Segoe UI" w:cs="Segoe UI"/>
          <w:sz w:val="18"/>
          <w:szCs w:val="18"/>
          <w:lang w:eastAsia="es-CO"/>
        </w:rPr>
        <w:t>:</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Mediante escrito radicado No. 100001245 del 09 de enero de dos mil diecinueve (2019) esta Subdirección recibió una consulta por medio de la cual se solicita resolver las siguientes inquietudes relacionadas con una sociedad que registró costos facturados al proveedor en el período 2018, pero facturó lo correspondiente al servicio prestado en 2019:</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“¿Bajo normas internacionales NIIF es aplicable el registro del ingreso sin factura en el período 2018, donde también quedaron registrados los costos asociados estos ingresos?</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¿Fiscalmente debo reconocer los costos en renta y no debo reconocer el ingreso que no se facturó, solo está reconocido para NIIF y solo reconocerlo en renta en el año 2019?</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proofErr w:type="gramStart"/>
      <w:r w:rsidRPr="004D6F1E">
        <w:rPr>
          <w:rFonts w:ascii="Segoe UI" w:eastAsia="Times New Roman" w:hAnsi="Segoe UI" w:cs="Segoe UI"/>
          <w:i/>
          <w:iCs/>
          <w:sz w:val="18"/>
          <w:szCs w:val="18"/>
          <w:lang w:eastAsia="es-CO"/>
        </w:rPr>
        <w:t xml:space="preserve">¿Los impuestos de estos ingresos registrados sin factura en el período 2018 (IVA y Rte. </w:t>
      </w:r>
      <w:proofErr w:type="spellStart"/>
      <w:r w:rsidRPr="004D6F1E">
        <w:rPr>
          <w:rFonts w:ascii="Segoe UI" w:eastAsia="Times New Roman" w:hAnsi="Segoe UI" w:cs="Segoe UI"/>
          <w:i/>
          <w:iCs/>
          <w:sz w:val="18"/>
          <w:szCs w:val="18"/>
          <w:lang w:eastAsia="es-CO"/>
        </w:rPr>
        <w:t>fte</w:t>
      </w:r>
      <w:proofErr w:type="spellEnd"/>
      <w:r w:rsidRPr="004D6F1E">
        <w:rPr>
          <w:rFonts w:ascii="Segoe UI" w:eastAsia="Times New Roman" w:hAnsi="Segoe UI" w:cs="Segoe UI"/>
          <w:i/>
          <w:iCs/>
          <w:sz w:val="18"/>
          <w:szCs w:val="18"/>
          <w:lang w:eastAsia="es-CO"/>
        </w:rPr>
        <w:t>.</w:t>
      </w:r>
      <w:proofErr w:type="gramEnd"/>
      <w:r w:rsidRPr="004D6F1E">
        <w:rPr>
          <w:rFonts w:ascii="Segoe UI" w:eastAsia="Times New Roman" w:hAnsi="Segoe UI" w:cs="Segoe UI"/>
          <w:i/>
          <w:iCs/>
          <w:sz w:val="18"/>
          <w:szCs w:val="18"/>
          <w:lang w:eastAsia="es-CO"/>
        </w:rPr>
        <w:t>), se deben reconocer únicamente en el siguiente período donde se emite la factura física, es decir en el año 2019?</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lastRenderedPageBreak/>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¿Si es aceptable un informe financiero que difiere del fiscal, cómo sería el tratamiento para medios magnéticos, debo informarlo solo en el siguiente período 2019 cuando está la factura legal?”</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En atención a la consulta, se procede a analizar las siguientes consideraciones tributarias:</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1. </w:t>
      </w:r>
      <w:r w:rsidRPr="004D6F1E">
        <w:rPr>
          <w:rFonts w:ascii="Segoe UI" w:eastAsia="Times New Roman" w:hAnsi="Segoe UI" w:cs="Segoe UI"/>
          <w:b/>
          <w:bCs/>
          <w:sz w:val="18"/>
          <w:szCs w:val="18"/>
          <w:u w:val="single"/>
          <w:lang w:eastAsia="es-CO"/>
        </w:rPr>
        <w:t>Pregunta No. 1</w:t>
      </w:r>
      <w:r w:rsidRPr="004D6F1E">
        <w:rPr>
          <w:rFonts w:ascii="Segoe UI" w:eastAsia="Times New Roman" w:hAnsi="Segoe UI" w:cs="Segoe UI"/>
          <w:b/>
          <w:bCs/>
          <w:sz w:val="18"/>
          <w:szCs w:val="18"/>
          <w:lang w:eastAsia="es-CO"/>
        </w:rPr>
        <w:t>:</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1.1. Esta pregunta hace referencia a temas netamente contables, específicamente de la aplicabilidad de las Normas Internacionales de Información Financiera (NIIF), por lo cual se remitirá la consulta a la Junta Central de Contadores, entidad debidamente facultada para responder a la consulta de la referencia.</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2. </w:t>
      </w:r>
      <w:r w:rsidRPr="004D6F1E">
        <w:rPr>
          <w:rFonts w:ascii="Segoe UI" w:eastAsia="Times New Roman" w:hAnsi="Segoe UI" w:cs="Segoe UI"/>
          <w:b/>
          <w:bCs/>
          <w:sz w:val="18"/>
          <w:szCs w:val="18"/>
          <w:u w:val="single"/>
          <w:lang w:eastAsia="es-CO"/>
        </w:rPr>
        <w:t>Pregunta No. 2</w:t>
      </w:r>
      <w:r w:rsidRPr="004D6F1E">
        <w:rPr>
          <w:rFonts w:ascii="Segoe UI" w:eastAsia="Times New Roman" w:hAnsi="Segoe UI" w:cs="Segoe UI"/>
          <w:b/>
          <w:bCs/>
          <w:sz w:val="18"/>
          <w:szCs w:val="18"/>
          <w:lang w:eastAsia="es-CO"/>
        </w:rPr>
        <w:t>:</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2.1. En cuanto al impuesto sobre la renta y complementarios, el </w:t>
      </w:r>
      <w:hyperlink r:id="rId11" w:tooltip="Estatuto Tributario CETA" w:history="1">
        <w:r w:rsidRPr="004D6F1E">
          <w:rPr>
            <w:rFonts w:ascii="Segoe UI" w:eastAsia="Times New Roman" w:hAnsi="Segoe UI" w:cs="Segoe UI"/>
            <w:sz w:val="18"/>
            <w:szCs w:val="18"/>
            <w:u w:val="single"/>
            <w:lang w:eastAsia="es-CO"/>
          </w:rPr>
          <w:t>artículo 21-1</w:t>
        </w:r>
      </w:hyperlink>
      <w:r w:rsidRPr="004D6F1E">
        <w:rPr>
          <w:rFonts w:ascii="Segoe UI" w:eastAsia="Times New Roman" w:hAnsi="Segoe UI" w:cs="Segoe UI"/>
          <w:sz w:val="18"/>
          <w:szCs w:val="18"/>
          <w:lang w:eastAsia="es-CO"/>
        </w:rPr>
        <w:t> del Estatuto Tributario –adicionado en la reforma tributaria del año 2016- dispone que </w:t>
      </w:r>
      <w:r w:rsidRPr="004D6F1E">
        <w:rPr>
          <w:rFonts w:ascii="Segoe UI" w:eastAsia="Times New Roman" w:hAnsi="Segoe UI" w:cs="Segoe UI"/>
          <w:i/>
          <w:iCs/>
          <w:sz w:val="18"/>
          <w:szCs w:val="18"/>
          <w:lang w:eastAsia="es-CO"/>
        </w:rPr>
        <w:t>“[p]ara la determinación del impuesto sobre la renta y complementarios, en el valor de los activos, pasivos, patrimonio, ingresos, costos y gastos, los sujetos pasivos de este impuesto obligados a llevar contabilidad </w:t>
      </w:r>
      <w:r w:rsidRPr="004D6F1E">
        <w:rPr>
          <w:rFonts w:ascii="Segoe UI" w:eastAsia="Times New Roman" w:hAnsi="Segoe UI" w:cs="Segoe UI"/>
          <w:b/>
          <w:bCs/>
          <w:i/>
          <w:iCs/>
          <w:sz w:val="18"/>
          <w:szCs w:val="18"/>
          <w:lang w:eastAsia="es-CO"/>
        </w:rPr>
        <w:t>aplicarán los sistemas de reconocimientos y medición, de conformidad con los marcos técnicos normativos contables vigentes en Colombia, </w:t>
      </w:r>
      <w:r w:rsidRPr="004D6F1E">
        <w:rPr>
          <w:rFonts w:ascii="Segoe UI" w:eastAsia="Times New Roman" w:hAnsi="Segoe UI" w:cs="Segoe UI"/>
          <w:i/>
          <w:iCs/>
          <w:sz w:val="18"/>
          <w:szCs w:val="18"/>
          <w:lang w:eastAsia="es-CO"/>
        </w:rPr>
        <w:t>cuando la ley tributaria remita expresamente a ellas y en los casos en que esta no regule la materia” </w:t>
      </w:r>
      <w:r w:rsidRPr="004D6F1E">
        <w:rPr>
          <w:rFonts w:ascii="Segoe UI" w:eastAsia="Times New Roman" w:hAnsi="Segoe UI" w:cs="Segoe UI"/>
          <w:sz w:val="18"/>
          <w:szCs w:val="18"/>
          <w:lang w:eastAsia="es-CO"/>
        </w:rPr>
        <w:t>(negrilla fuera de texto).</w:t>
      </w: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2.2. A su vez, los parágrafos 1º y 6º de la norma en comento señalan:</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b/>
          <w:bCs/>
          <w:i/>
          <w:iCs/>
          <w:sz w:val="18"/>
          <w:szCs w:val="18"/>
          <w:lang w:eastAsia="es-CO"/>
        </w:rPr>
        <w:t>“PARÁGRAFO 1o. </w:t>
      </w:r>
      <w:r w:rsidRPr="004D6F1E">
        <w:rPr>
          <w:rFonts w:ascii="Segoe UI" w:eastAsia="Times New Roman" w:hAnsi="Segoe UI" w:cs="Segoe UI"/>
          <w:i/>
          <w:iCs/>
          <w:sz w:val="18"/>
          <w:szCs w:val="18"/>
          <w:lang w:eastAsia="es-CO"/>
        </w:rPr>
        <w:t>Los activos, pasivos, patrimonio, ingresos, costos y gastos </w:t>
      </w:r>
      <w:r w:rsidRPr="004D6F1E">
        <w:rPr>
          <w:rFonts w:ascii="Segoe UI" w:eastAsia="Times New Roman" w:hAnsi="Segoe UI" w:cs="Segoe UI"/>
          <w:b/>
          <w:bCs/>
          <w:i/>
          <w:iCs/>
          <w:sz w:val="18"/>
          <w:szCs w:val="18"/>
          <w:lang w:eastAsia="es-CO"/>
        </w:rPr>
        <w:t>deberán tener en cuenta la base contable de acumulación o devengo, </w:t>
      </w:r>
      <w:r w:rsidRPr="004D6F1E">
        <w:rPr>
          <w:rFonts w:ascii="Segoe UI" w:eastAsia="Times New Roman" w:hAnsi="Segoe UI" w:cs="Segoe UI"/>
          <w:i/>
          <w:iCs/>
          <w:sz w:val="18"/>
          <w:szCs w:val="18"/>
          <w:lang w:eastAsia="es-CO"/>
        </w:rPr>
        <w:t>la cual describe los efectos de las transacciones y otros sucesos y circunstancias sobre los recursos económicos y los derechos de los acreedores de la entidad que informa en los períodos en que esos efectos tienen lugar, incluso si los cobros y pagos resultantes se producen en un período diferente.</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Cuando se utiliza la base contable de acumulación o devengo, una entidad reconocerá partidas como activos, pasivos, patrimonio, ingresos, costos y gastos, </w:t>
      </w:r>
      <w:r w:rsidRPr="004D6F1E">
        <w:rPr>
          <w:rFonts w:ascii="Segoe UI" w:eastAsia="Times New Roman" w:hAnsi="Segoe UI" w:cs="Segoe UI"/>
          <w:b/>
          <w:bCs/>
          <w:i/>
          <w:iCs/>
          <w:sz w:val="18"/>
          <w:szCs w:val="18"/>
          <w:lang w:eastAsia="es-CO"/>
        </w:rPr>
        <w:t>cuando satisfagan las definiciones y los criterios de reconocimiento previstos para tales elementos, de acuerdo con los marcos técnicos normativos contables que le sean aplicables al obligado a llevar contabilidad. </w:t>
      </w:r>
      <w:r w:rsidRPr="004D6F1E">
        <w:rPr>
          <w:rFonts w:ascii="Segoe UI" w:eastAsia="Times New Roman" w:hAnsi="Segoe UI" w:cs="Segoe UI"/>
          <w:i/>
          <w:iCs/>
          <w:sz w:val="18"/>
          <w:szCs w:val="18"/>
          <w:lang w:eastAsia="es-CO"/>
        </w:rPr>
        <w:t>(…)</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b/>
          <w:bCs/>
          <w:i/>
          <w:iCs/>
          <w:sz w:val="18"/>
          <w:szCs w:val="18"/>
          <w:lang w:eastAsia="es-CO"/>
        </w:rPr>
        <w:t>PARÁGRAFO 6o. </w:t>
      </w:r>
      <w:r w:rsidRPr="004D6F1E">
        <w:rPr>
          <w:rFonts w:ascii="Segoe UI" w:eastAsia="Times New Roman" w:hAnsi="Segoe UI" w:cs="Segoe UI"/>
          <w:i/>
          <w:iCs/>
          <w:sz w:val="18"/>
          <w:szCs w:val="18"/>
          <w:lang w:eastAsia="es-CO"/>
        </w:rPr>
        <w:t>Para efectos fiscales, </w:t>
      </w:r>
      <w:r w:rsidRPr="004D6F1E">
        <w:rPr>
          <w:rFonts w:ascii="Segoe UI" w:eastAsia="Times New Roman" w:hAnsi="Segoe UI" w:cs="Segoe UI"/>
          <w:b/>
          <w:bCs/>
          <w:i/>
          <w:iCs/>
          <w:sz w:val="18"/>
          <w:szCs w:val="18"/>
          <w:lang w:eastAsia="es-CO"/>
        </w:rPr>
        <w:t>las mediciones que se efectúen a valor presente o valor razonable de conformidad con los marcos técnicos normativos contables, deberán reconocerse al costo, precio de adquisición o valor nominal, siempre y cuando no exista un tratamiento diferente en este estatuto. </w:t>
      </w:r>
      <w:r w:rsidRPr="004D6F1E">
        <w:rPr>
          <w:rFonts w:ascii="Segoe UI" w:eastAsia="Times New Roman" w:hAnsi="Segoe UI" w:cs="Segoe UI"/>
          <w:i/>
          <w:iCs/>
          <w:sz w:val="18"/>
          <w:szCs w:val="18"/>
          <w:lang w:eastAsia="es-CO"/>
        </w:rPr>
        <w:t>Por consiguiente, las diferencias que resulten del sistema de medición contable y fiscal no tendrán efectos en el impuesto sobre la renta y complementarios hasta que la transacción se realice mediante la transferencia económica del activo o la extinción del pasivo, según corresponda.” </w:t>
      </w:r>
      <w:r w:rsidRPr="004D6F1E">
        <w:rPr>
          <w:rFonts w:ascii="Segoe UI" w:eastAsia="Times New Roman" w:hAnsi="Segoe UI" w:cs="Segoe UI"/>
          <w:sz w:val="18"/>
          <w:szCs w:val="18"/>
          <w:lang w:eastAsia="es-CO"/>
        </w:rPr>
        <w:t>(negrilla fuera de texto).</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2.3. Ahora bien, mediante Oficio No. 006012 del 17 de marzo de 2017, esta Subdirección explicó:</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es pertinente recordar el concepto de ‘devengo’ según bien lo explica la exposición de motivos presentada por el gobierno nacional al proyecto de ley que se convirtió en la No. 1819 de 2016.</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La normativa tributaria del Impuesto al (sic) Renta y Complementarios ha mantenido el concepto de ‘causación’ para la realización del ingreso, mediante el cual, se entiende causado un ingreso cuando nace el derecho a exigir su pago, aunque no se haya hecho efectivo el cobro.</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2.4. No obstante, considerando que la normativa tributaria toma como referencia a los ingresos que un contribuyente registra en su contabilidad financiera en las normas financieras el concepto de ‘causación’ es inexistente. El concepto actualmente vigente para el registro contable de un ingreso es la ‘base de acumulación’ o ‘devengo’.</w:t>
      </w: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2.5. De acuerdo con la NIC 1 – Presentación de Estados Financieros o la Sección de las NIIF Completas (o la Sección 2 en la NIIF de acuerdo con la NIC 1 – Presentación de Estados Financieros o la Sección de las NIIF Completas (o la Sección 2 en la NIIF para las PYMES), cuando se utiliza la base contable de acumulación (devengo), una entidad reconocerá partidas como activos, pasivos, patrimonio, ingresos y gastos (los elementos de los estados financieros), cuando satisfagan las definiciones y los criterios de reconocimiento previstos para tales elementos. (…)’” (negrilla fuera de texto).</w:t>
      </w: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2.6. A la par de lo antepuesto, también debe examinarse lo establecido en el inciso 1º del </w:t>
      </w:r>
      <w:hyperlink r:id="rId12" w:tooltip="Estatuto Tributario CETA" w:history="1">
        <w:r w:rsidRPr="004D6F1E">
          <w:rPr>
            <w:rFonts w:ascii="Segoe UI" w:eastAsia="Times New Roman" w:hAnsi="Segoe UI" w:cs="Segoe UI"/>
            <w:sz w:val="18"/>
            <w:szCs w:val="18"/>
            <w:u w:val="single"/>
            <w:lang w:eastAsia="es-CO"/>
          </w:rPr>
          <w:t>artículo 28</w:t>
        </w:r>
      </w:hyperlink>
      <w:r w:rsidRPr="004D6F1E">
        <w:rPr>
          <w:rFonts w:ascii="Segoe UI" w:eastAsia="Times New Roman" w:hAnsi="Segoe UI" w:cs="Segoe UI"/>
          <w:sz w:val="18"/>
          <w:szCs w:val="18"/>
          <w:lang w:eastAsia="es-CO"/>
        </w:rPr>
        <w:t> del Estatuto Tributario:</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b/>
          <w:bCs/>
          <w:i/>
          <w:iCs/>
          <w:sz w:val="18"/>
          <w:szCs w:val="18"/>
          <w:lang w:eastAsia="es-CO"/>
        </w:rPr>
        <w:lastRenderedPageBreak/>
        <w:t>“</w:t>
      </w:r>
      <w:hyperlink r:id="rId13" w:tooltip="Estatuto Tributario CETA" w:history="1">
        <w:r w:rsidRPr="004D6F1E">
          <w:rPr>
            <w:rFonts w:ascii="Segoe UI" w:eastAsia="Times New Roman" w:hAnsi="Segoe UI" w:cs="Segoe UI"/>
            <w:b/>
            <w:bCs/>
            <w:i/>
            <w:iCs/>
            <w:sz w:val="18"/>
            <w:szCs w:val="18"/>
            <w:u w:val="single"/>
            <w:lang w:eastAsia="es-CO"/>
          </w:rPr>
          <w:t>ARTÍCULO 28</w:t>
        </w:r>
      </w:hyperlink>
      <w:r w:rsidRPr="004D6F1E">
        <w:rPr>
          <w:rFonts w:ascii="Segoe UI" w:eastAsia="Times New Roman" w:hAnsi="Segoe UI" w:cs="Segoe UI"/>
          <w:b/>
          <w:bCs/>
          <w:i/>
          <w:iCs/>
          <w:sz w:val="18"/>
          <w:szCs w:val="18"/>
          <w:lang w:eastAsia="es-CO"/>
        </w:rPr>
        <w:t>. REALIZACIÓN DEL INGRESO PARA LOS OBLIGADOS A LLEVAR CONTABILIDAD.</w:t>
      </w:r>
      <w:r w:rsidRPr="004D6F1E">
        <w:rPr>
          <w:rFonts w:ascii="Segoe UI" w:eastAsia="Times New Roman" w:hAnsi="Segoe UI" w:cs="Segoe UI"/>
          <w:i/>
          <w:iCs/>
          <w:sz w:val="18"/>
          <w:szCs w:val="18"/>
          <w:lang w:eastAsia="es-CO"/>
        </w:rPr>
        <w:t> &lt;Artículo modificado por el artículo 28 de la Ley 1819 de 2016. El nuevo texto es el siguiente:&gt; Para los contribuyentes que estén obligados a llevar contabilidad, </w:t>
      </w:r>
      <w:r w:rsidRPr="004D6F1E">
        <w:rPr>
          <w:rFonts w:ascii="Segoe UI" w:eastAsia="Times New Roman" w:hAnsi="Segoe UI" w:cs="Segoe UI"/>
          <w:b/>
          <w:bCs/>
          <w:i/>
          <w:iCs/>
          <w:sz w:val="18"/>
          <w:szCs w:val="18"/>
          <w:lang w:eastAsia="es-CO"/>
        </w:rPr>
        <w:t>los ingresos realizados fiscalmente son los ingresos devengados contablemente en el año o período gravable.” </w:t>
      </w:r>
      <w:r w:rsidRPr="004D6F1E">
        <w:rPr>
          <w:rFonts w:ascii="Segoe UI" w:eastAsia="Times New Roman" w:hAnsi="Segoe UI" w:cs="Segoe UI"/>
          <w:sz w:val="18"/>
          <w:szCs w:val="18"/>
          <w:lang w:eastAsia="es-CO"/>
        </w:rPr>
        <w:t>(negrilla fuera de texto).</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2.7. En este sentido, para efectos del impuesto sobre la renta y complementarios se deberán reconocer como ingresos aquellos que satisfagan las definiciones y los criterios de reconocimiento de acuerdo con los marcos técnicos normativos contables, es decir, aquellos que hayan sido devengados contablemente en el período fiscal, a menos que se verifique alguna de las circunstancias excepcionales desarrolladas en el inciso 2 del </w:t>
      </w:r>
      <w:hyperlink r:id="rId14" w:tooltip="Estatuto Tributario CETA" w:history="1">
        <w:r w:rsidRPr="004D6F1E">
          <w:rPr>
            <w:rFonts w:ascii="Segoe UI" w:eastAsia="Times New Roman" w:hAnsi="Segoe UI" w:cs="Segoe UI"/>
            <w:sz w:val="18"/>
            <w:szCs w:val="18"/>
            <w:u w:val="single"/>
            <w:lang w:eastAsia="es-CO"/>
          </w:rPr>
          <w:t>artículo 28</w:t>
        </w:r>
      </w:hyperlink>
      <w:r w:rsidRPr="004D6F1E">
        <w:rPr>
          <w:rFonts w:ascii="Segoe UI" w:eastAsia="Times New Roman" w:hAnsi="Segoe UI" w:cs="Segoe UI"/>
          <w:sz w:val="18"/>
          <w:szCs w:val="18"/>
          <w:lang w:eastAsia="es-CO"/>
        </w:rPr>
        <w:t> ibídem para lo cual corresponderá al consultante determinar dicha situación de acuerdo a su caso particular.</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2.8. Respecto a los costos, tal como se indicó previamente, el parágrafo 1º del </w:t>
      </w:r>
      <w:hyperlink r:id="rId15" w:tooltip="Estatuto Tributario CETA" w:history="1">
        <w:r w:rsidRPr="004D6F1E">
          <w:rPr>
            <w:rFonts w:ascii="Segoe UI" w:eastAsia="Times New Roman" w:hAnsi="Segoe UI" w:cs="Segoe UI"/>
            <w:sz w:val="18"/>
            <w:szCs w:val="18"/>
            <w:u w:val="single"/>
            <w:lang w:eastAsia="es-CO"/>
          </w:rPr>
          <w:t>artículo 21-1</w:t>
        </w:r>
      </w:hyperlink>
      <w:r w:rsidRPr="004D6F1E">
        <w:rPr>
          <w:rFonts w:ascii="Segoe UI" w:eastAsia="Times New Roman" w:hAnsi="Segoe UI" w:cs="Segoe UI"/>
          <w:sz w:val="18"/>
          <w:szCs w:val="18"/>
          <w:lang w:eastAsia="es-CO"/>
        </w:rPr>
        <w:t> del Estatuto Tributario establece que: “[l]os activos, pasivos, patrimonio, ingresos, costos y gastos deberán tener en cuenta la base contable de acumulación o devengo”, de modo que el reconocimiento fiscal de los costos sigue las mismas reglas aplicables al reconocimiento fiscal de los ingresos en materia del impuesto sobre la renta y complementarios.</w:t>
      </w: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2.9. Adicionalmente, debe observarse los artículos </w:t>
      </w:r>
      <w:hyperlink r:id="rId16" w:tooltip="Estatuto Tributario CETA" w:history="1">
        <w:r w:rsidRPr="004D6F1E">
          <w:rPr>
            <w:rFonts w:ascii="Segoe UI" w:eastAsia="Times New Roman" w:hAnsi="Segoe UI" w:cs="Segoe UI"/>
            <w:sz w:val="18"/>
            <w:szCs w:val="18"/>
            <w:u w:val="single"/>
            <w:lang w:eastAsia="es-CO"/>
          </w:rPr>
          <w:t>59</w:t>
        </w:r>
      </w:hyperlink>
      <w:r w:rsidRPr="004D6F1E">
        <w:rPr>
          <w:rFonts w:ascii="Segoe UI" w:eastAsia="Times New Roman" w:hAnsi="Segoe UI" w:cs="Segoe UI"/>
          <w:sz w:val="18"/>
          <w:szCs w:val="18"/>
          <w:lang w:eastAsia="es-CO"/>
        </w:rPr>
        <w:t> y </w:t>
      </w:r>
      <w:hyperlink r:id="rId17" w:tooltip="Estatuto Tributario CETA" w:history="1">
        <w:r w:rsidRPr="004D6F1E">
          <w:rPr>
            <w:rFonts w:ascii="Segoe UI" w:eastAsia="Times New Roman" w:hAnsi="Segoe UI" w:cs="Segoe UI"/>
            <w:sz w:val="18"/>
            <w:szCs w:val="18"/>
            <w:u w:val="single"/>
            <w:lang w:eastAsia="es-CO"/>
          </w:rPr>
          <w:t>105</w:t>
        </w:r>
      </w:hyperlink>
      <w:r w:rsidRPr="004D6F1E">
        <w:rPr>
          <w:rFonts w:ascii="Segoe UI" w:eastAsia="Times New Roman" w:hAnsi="Segoe UI" w:cs="Segoe UI"/>
          <w:sz w:val="18"/>
          <w:szCs w:val="18"/>
          <w:lang w:eastAsia="es-CO"/>
        </w:rPr>
        <w:t> ibídem, así como el parágrafo 2º del </w:t>
      </w:r>
      <w:hyperlink r:id="rId18" w:tooltip="Estatuto Tributario CETA" w:history="1">
        <w:r w:rsidRPr="004D6F1E">
          <w:rPr>
            <w:rFonts w:ascii="Segoe UI" w:eastAsia="Times New Roman" w:hAnsi="Segoe UI" w:cs="Segoe UI"/>
            <w:sz w:val="18"/>
            <w:szCs w:val="18"/>
            <w:u w:val="single"/>
            <w:lang w:eastAsia="es-CO"/>
          </w:rPr>
          <w:t>artículo 771-2</w:t>
        </w:r>
      </w:hyperlink>
      <w:r w:rsidRPr="004D6F1E">
        <w:rPr>
          <w:rFonts w:ascii="Segoe UI" w:eastAsia="Times New Roman" w:hAnsi="Segoe UI" w:cs="Segoe UI"/>
          <w:sz w:val="18"/>
          <w:szCs w:val="18"/>
          <w:lang w:eastAsia="es-CO"/>
        </w:rPr>
        <w:t> ibídem que disponen:</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b/>
          <w:bCs/>
          <w:i/>
          <w:iCs/>
          <w:sz w:val="18"/>
          <w:szCs w:val="18"/>
          <w:lang w:eastAsia="es-CO"/>
        </w:rPr>
        <w:t>“</w:t>
      </w:r>
      <w:hyperlink r:id="rId19" w:tooltip="Estatuto Tributario CETA" w:history="1">
        <w:r w:rsidRPr="004D6F1E">
          <w:rPr>
            <w:rFonts w:ascii="Segoe UI" w:eastAsia="Times New Roman" w:hAnsi="Segoe UI" w:cs="Segoe UI"/>
            <w:b/>
            <w:bCs/>
            <w:i/>
            <w:iCs/>
            <w:sz w:val="18"/>
            <w:szCs w:val="18"/>
            <w:u w:val="single"/>
            <w:lang w:eastAsia="es-CO"/>
          </w:rPr>
          <w:t>ARTÍCULO 59</w:t>
        </w:r>
      </w:hyperlink>
      <w:r w:rsidRPr="004D6F1E">
        <w:rPr>
          <w:rFonts w:ascii="Segoe UI" w:eastAsia="Times New Roman" w:hAnsi="Segoe UI" w:cs="Segoe UI"/>
          <w:b/>
          <w:bCs/>
          <w:i/>
          <w:iCs/>
          <w:sz w:val="18"/>
          <w:szCs w:val="18"/>
          <w:lang w:eastAsia="es-CO"/>
        </w:rPr>
        <w:t>. REALIZACIÓN DEL COSTO PARA LOS OBLIGADOS A LLEVAR CONTABILIDAD.</w:t>
      </w:r>
      <w:r w:rsidRPr="004D6F1E">
        <w:rPr>
          <w:rFonts w:ascii="Segoe UI" w:eastAsia="Times New Roman" w:hAnsi="Segoe UI" w:cs="Segoe UI"/>
          <w:i/>
          <w:iCs/>
          <w:sz w:val="18"/>
          <w:szCs w:val="18"/>
          <w:lang w:eastAsia="es-CO"/>
        </w:rPr>
        <w:t> &lt;Artículo modificado por el artículo 39 de la Ley 1819 de 2016. El nuevo texto es el siguiente:&gt; Para los contribuyentes que estén obligados a llevar contabilidad, </w:t>
      </w:r>
      <w:r w:rsidRPr="004D6F1E">
        <w:rPr>
          <w:rFonts w:ascii="Segoe UI" w:eastAsia="Times New Roman" w:hAnsi="Segoe UI" w:cs="Segoe UI"/>
          <w:b/>
          <w:bCs/>
          <w:i/>
          <w:iCs/>
          <w:sz w:val="18"/>
          <w:szCs w:val="18"/>
          <w:lang w:eastAsia="es-CO"/>
        </w:rPr>
        <w:t>los costos realizados fiscalmente son los costos devengados contablemente en el año o período gravable.</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1. Los siguientes costos, aunque devengados contablemente, generarán diferencias y su reconocimiento fiscal se hará en el momento en que lo determine este Estatuto y se cumpla con los requisitos para su procedencia previstos en este Estatuto:</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a) Las pérdidas por deterioro de valor parcial del inventario por ajustes a valor neto de realización, solo serán deducibles al momento de la enajenación del inventario;</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b) En las adquisiciones que generen intereses implícitos de conformidad con los marcos técnicos normativos contables, para efectos del impuesto sobre la renta y complementarios, solo se considerará como costo el valor nominal de la adquisición o factura o documento equivalente, que contendrá dichos intereses implícitos. En consecuencia, cuando se devengue el costo por intereses implícitos, el mismo no será deducible;</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c) Las pérdidas generadas por la medición a valor razonable, con cambios en resultados, tales como propiedades de inversión, serán deducibles o tratados como costo al momento de su enajenación o liquidación, lo que suceda primero;</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d) Los costos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artículo 98 respecto de las compañías aseguradoras y los artículos </w:t>
      </w:r>
      <w:hyperlink r:id="rId20" w:tooltip="Estatuto Tributario CETA" w:history="1">
        <w:r w:rsidRPr="004D6F1E">
          <w:rPr>
            <w:rFonts w:ascii="Segoe UI" w:eastAsia="Times New Roman" w:hAnsi="Segoe UI" w:cs="Segoe UI"/>
            <w:i/>
            <w:iCs/>
            <w:sz w:val="18"/>
            <w:szCs w:val="18"/>
            <w:u w:val="single"/>
            <w:lang w:eastAsia="es-CO"/>
          </w:rPr>
          <w:t>112</w:t>
        </w:r>
      </w:hyperlink>
      <w:r w:rsidRPr="004D6F1E">
        <w:rPr>
          <w:rFonts w:ascii="Segoe UI" w:eastAsia="Times New Roman" w:hAnsi="Segoe UI" w:cs="Segoe UI"/>
          <w:i/>
          <w:iCs/>
          <w:sz w:val="18"/>
          <w:szCs w:val="18"/>
          <w:lang w:eastAsia="es-CO"/>
        </w:rPr>
        <w:t> y </w:t>
      </w:r>
      <w:hyperlink r:id="rId21" w:tooltip="Estatuto Tributario CETA" w:history="1">
        <w:r w:rsidRPr="004D6F1E">
          <w:rPr>
            <w:rFonts w:ascii="Segoe UI" w:eastAsia="Times New Roman" w:hAnsi="Segoe UI" w:cs="Segoe UI"/>
            <w:i/>
            <w:iCs/>
            <w:sz w:val="18"/>
            <w:szCs w:val="18"/>
            <w:u w:val="single"/>
            <w:lang w:eastAsia="es-CO"/>
          </w:rPr>
          <w:t>113</w:t>
        </w:r>
      </w:hyperlink>
      <w:r w:rsidRPr="004D6F1E">
        <w:rPr>
          <w:rFonts w:ascii="Segoe UI" w:eastAsia="Times New Roman" w:hAnsi="Segoe UI" w:cs="Segoe UI"/>
          <w:i/>
          <w:iCs/>
          <w:sz w:val="18"/>
          <w:szCs w:val="18"/>
          <w:lang w:eastAsia="es-CO"/>
        </w:rPr>
        <w:t>;</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e) Los costos que se origen (sic) por actualización de pasivos estimados o provisiones no serán deducibles del impuesto sobre la renta y complementarios, sino hasta el momento en que surja la obligación de efectuar el desembolso con un monto y fecha ciertos y no exista limitación alguna;</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f) El deterioro de los activos, salvo en el caso de los activos depreciables, será deducible del impuesto sobre la renta y complementarios al momento de su enajenación o liquidación, lo que suceda primero, salvo lo mencionado en este Estatuto; en especial lo previsto en los artículos </w:t>
      </w:r>
      <w:hyperlink r:id="rId22" w:tooltip="Estatuto Tributario CETA" w:history="1">
        <w:r w:rsidRPr="004D6F1E">
          <w:rPr>
            <w:rFonts w:ascii="Segoe UI" w:eastAsia="Times New Roman" w:hAnsi="Segoe UI" w:cs="Segoe UI"/>
            <w:i/>
            <w:iCs/>
            <w:sz w:val="18"/>
            <w:szCs w:val="18"/>
            <w:u w:val="single"/>
            <w:lang w:eastAsia="es-CO"/>
          </w:rPr>
          <w:t>145</w:t>
        </w:r>
      </w:hyperlink>
      <w:r w:rsidRPr="004D6F1E">
        <w:rPr>
          <w:rFonts w:ascii="Segoe UI" w:eastAsia="Times New Roman" w:hAnsi="Segoe UI" w:cs="Segoe UI"/>
          <w:i/>
          <w:iCs/>
          <w:sz w:val="18"/>
          <w:szCs w:val="18"/>
          <w:lang w:eastAsia="es-CO"/>
        </w:rPr>
        <w:t> y </w:t>
      </w:r>
      <w:hyperlink r:id="rId23" w:tooltip="Estatuto Tributario CETA" w:history="1">
        <w:r w:rsidRPr="004D6F1E">
          <w:rPr>
            <w:rFonts w:ascii="Segoe UI" w:eastAsia="Times New Roman" w:hAnsi="Segoe UI" w:cs="Segoe UI"/>
            <w:i/>
            <w:iCs/>
            <w:sz w:val="18"/>
            <w:szCs w:val="18"/>
            <w:u w:val="single"/>
            <w:lang w:eastAsia="es-CO"/>
          </w:rPr>
          <w:t>146</w:t>
        </w:r>
      </w:hyperlink>
      <w:r w:rsidRPr="004D6F1E">
        <w:rPr>
          <w:rFonts w:ascii="Segoe UI" w:eastAsia="Times New Roman" w:hAnsi="Segoe UI" w:cs="Segoe UI"/>
          <w:i/>
          <w:iCs/>
          <w:sz w:val="18"/>
          <w:szCs w:val="18"/>
          <w:lang w:eastAsia="es-CO"/>
        </w:rPr>
        <w:t>;</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g) Los costos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2. El costo devengado por inventarios faltantes no será deducible del impuesto sobre la renta y complementarios, sino hasta la proporción determinada de acuerdo con el </w:t>
      </w:r>
      <w:hyperlink r:id="rId24" w:tooltip="Estatuto Tributario CETA" w:history="1">
        <w:r w:rsidRPr="004D6F1E">
          <w:rPr>
            <w:rFonts w:ascii="Segoe UI" w:eastAsia="Times New Roman" w:hAnsi="Segoe UI" w:cs="Segoe UI"/>
            <w:i/>
            <w:iCs/>
            <w:sz w:val="18"/>
            <w:szCs w:val="18"/>
            <w:u w:val="single"/>
            <w:lang w:eastAsia="es-CO"/>
          </w:rPr>
          <w:t>artículo 64</w:t>
        </w:r>
      </w:hyperlink>
      <w:r w:rsidRPr="004D6F1E">
        <w:rPr>
          <w:rFonts w:ascii="Segoe UI" w:eastAsia="Times New Roman" w:hAnsi="Segoe UI" w:cs="Segoe UI"/>
          <w:i/>
          <w:iCs/>
          <w:sz w:val="18"/>
          <w:szCs w:val="18"/>
          <w:lang w:eastAsia="es-CO"/>
        </w:rPr>
        <w:t>de este Estatuto. En consecuencia, el mayor costo de los inventarios por faltantes constituye una diferencia permanente.</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b/>
          <w:bCs/>
          <w:i/>
          <w:iCs/>
          <w:sz w:val="18"/>
          <w:szCs w:val="18"/>
          <w:lang w:eastAsia="es-CO"/>
        </w:rPr>
        <w:lastRenderedPageBreak/>
        <w:t>PARÁGRAFO 1o. Capitalización por costos de préstamos.</w:t>
      </w:r>
      <w:r w:rsidRPr="004D6F1E">
        <w:rPr>
          <w:rFonts w:ascii="Segoe UI" w:eastAsia="Times New Roman" w:hAnsi="Segoe UI" w:cs="Segoe UI"/>
          <w:i/>
          <w:iCs/>
          <w:sz w:val="18"/>
          <w:szCs w:val="18"/>
          <w:lang w:eastAsia="es-CO"/>
        </w:rPr>
        <w:t> Cuando de conformidad con la técnica contable se exija la capitalización de los costos y gastos por préstamos, dichos valores se tendrán en cuenta para efectos de lo previsto en los artículos </w:t>
      </w:r>
      <w:hyperlink r:id="rId25" w:tooltip="Estatuto Tributario CETA" w:history="1">
        <w:r w:rsidRPr="004D6F1E">
          <w:rPr>
            <w:rFonts w:ascii="Segoe UI" w:eastAsia="Times New Roman" w:hAnsi="Segoe UI" w:cs="Segoe UI"/>
            <w:i/>
            <w:iCs/>
            <w:sz w:val="18"/>
            <w:szCs w:val="18"/>
            <w:u w:val="single"/>
            <w:lang w:eastAsia="es-CO"/>
          </w:rPr>
          <w:t>118-1</w:t>
        </w:r>
      </w:hyperlink>
      <w:r w:rsidRPr="004D6F1E">
        <w:rPr>
          <w:rFonts w:ascii="Segoe UI" w:eastAsia="Times New Roman" w:hAnsi="Segoe UI" w:cs="Segoe UI"/>
          <w:i/>
          <w:iCs/>
          <w:sz w:val="18"/>
          <w:szCs w:val="18"/>
          <w:lang w:eastAsia="es-CO"/>
        </w:rPr>
        <w:t> y </w:t>
      </w:r>
      <w:hyperlink r:id="rId26" w:tooltip="Estatuto Tributario CETA" w:history="1">
        <w:r w:rsidRPr="004D6F1E">
          <w:rPr>
            <w:rFonts w:ascii="Segoe UI" w:eastAsia="Times New Roman" w:hAnsi="Segoe UI" w:cs="Segoe UI"/>
            <w:i/>
            <w:iCs/>
            <w:sz w:val="18"/>
            <w:szCs w:val="18"/>
            <w:u w:val="single"/>
            <w:lang w:eastAsia="es-CO"/>
          </w:rPr>
          <w:t>288</w:t>
        </w:r>
      </w:hyperlink>
      <w:r w:rsidRPr="004D6F1E">
        <w:rPr>
          <w:rFonts w:ascii="Segoe UI" w:eastAsia="Times New Roman" w:hAnsi="Segoe UI" w:cs="Segoe UI"/>
          <w:i/>
          <w:iCs/>
          <w:sz w:val="18"/>
          <w:szCs w:val="18"/>
          <w:lang w:eastAsia="es-CO"/>
        </w:rPr>
        <w:t> del Estatuto Tributario.</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b/>
          <w:bCs/>
          <w:i/>
          <w:iCs/>
          <w:sz w:val="18"/>
          <w:szCs w:val="18"/>
          <w:lang w:eastAsia="es-CO"/>
        </w:rPr>
        <w:t>PARÁGRAFO 2o.</w:t>
      </w:r>
      <w:r w:rsidRPr="004D6F1E">
        <w:rPr>
          <w:rFonts w:ascii="Segoe UI" w:eastAsia="Times New Roman" w:hAnsi="Segoe UI" w:cs="Segoe UI"/>
          <w:i/>
          <w:iCs/>
          <w:sz w:val="18"/>
          <w:szCs w:val="18"/>
          <w:lang w:eastAsia="es-CO"/>
        </w:rPr>
        <w:t xml:space="preserve"> En el caso que los inventarios sean </w:t>
      </w:r>
      <w:proofErr w:type="spellStart"/>
      <w:r w:rsidRPr="004D6F1E">
        <w:rPr>
          <w:rFonts w:ascii="Segoe UI" w:eastAsia="Times New Roman" w:hAnsi="Segoe UI" w:cs="Segoe UI"/>
          <w:i/>
          <w:iCs/>
          <w:sz w:val="18"/>
          <w:szCs w:val="18"/>
          <w:lang w:eastAsia="es-CO"/>
        </w:rPr>
        <w:t>autoconsumidos</w:t>
      </w:r>
      <w:proofErr w:type="spellEnd"/>
      <w:r w:rsidRPr="004D6F1E">
        <w:rPr>
          <w:rFonts w:ascii="Segoe UI" w:eastAsia="Times New Roman" w:hAnsi="Segoe UI" w:cs="Segoe UI"/>
          <w:i/>
          <w:iCs/>
          <w:sz w:val="18"/>
          <w:szCs w:val="18"/>
          <w:lang w:eastAsia="es-CO"/>
        </w:rPr>
        <w:t xml:space="preserve"> o transferidos a título gratuito, se considerará el costo fiscal del inventario para efectos del Impuesto sobre la renta y complementarios.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hyperlink r:id="rId27" w:tooltip="Estatuto Tributario CETA" w:history="1">
        <w:r w:rsidRPr="004D6F1E">
          <w:rPr>
            <w:rFonts w:ascii="Segoe UI" w:eastAsia="Times New Roman" w:hAnsi="Segoe UI" w:cs="Segoe UI"/>
            <w:b/>
            <w:bCs/>
            <w:i/>
            <w:iCs/>
            <w:sz w:val="18"/>
            <w:szCs w:val="18"/>
            <w:u w:val="single"/>
            <w:lang w:eastAsia="es-CO"/>
          </w:rPr>
          <w:t>ARTÍCULO 105</w:t>
        </w:r>
      </w:hyperlink>
      <w:r w:rsidRPr="004D6F1E">
        <w:rPr>
          <w:rFonts w:ascii="Segoe UI" w:eastAsia="Times New Roman" w:hAnsi="Segoe UI" w:cs="Segoe UI"/>
          <w:b/>
          <w:bCs/>
          <w:i/>
          <w:iCs/>
          <w:sz w:val="18"/>
          <w:szCs w:val="18"/>
          <w:lang w:eastAsia="es-CO"/>
        </w:rPr>
        <w:t>. REALIZACIÓN DE LA DEDUCCIÓN PARA LOS OBLIGADOS A LLEVAR CONTABILIDAD.</w:t>
      </w:r>
      <w:r w:rsidRPr="004D6F1E">
        <w:rPr>
          <w:rFonts w:ascii="Segoe UI" w:eastAsia="Times New Roman" w:hAnsi="Segoe UI" w:cs="Segoe UI"/>
          <w:i/>
          <w:iCs/>
          <w:sz w:val="18"/>
          <w:szCs w:val="18"/>
          <w:lang w:eastAsia="es-CO"/>
        </w:rPr>
        <w:t> &lt;Artículo modificado por el artículo 61 de la Ley 1819 de 2016. El nuevo texto es el siguiente:&gt; Para los contribuyentes que estén obligados a llevar contabilidad, </w:t>
      </w:r>
      <w:r w:rsidRPr="004D6F1E">
        <w:rPr>
          <w:rFonts w:ascii="Segoe UI" w:eastAsia="Times New Roman" w:hAnsi="Segoe UI" w:cs="Segoe UI"/>
          <w:b/>
          <w:bCs/>
          <w:i/>
          <w:iCs/>
          <w:sz w:val="18"/>
          <w:szCs w:val="18"/>
          <w:lang w:eastAsia="es-CO"/>
        </w:rPr>
        <w:t>las deducciones realizadas fiscalmente son los gastos devengados contablemente en el año o período gravable que cumplan los requisitos señalados en este estatuto.</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b/>
          <w:bCs/>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1. Los siguientes gastos, aunque devengados contablemente, generarán diferencias y su reconocimiento fiscal se hará en el momento en que lo determine este estatuto:</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a) En las transacciones que generen intereses implícitos de conformidad con los marcos técnicos normativos contables, para efectos del impuesto sobre la renta y complementarios, solo se considerará como deducción el valor nominal de la transacción o factura o documento equivalente, que contendrá dichos intereses implícitos. En consecuencia, cuando se devengue la deducción por intereses implícitos, el mismo no será deducible;</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b) Las pérdidas generadas por la medición a valor razonable, con cambios en resultados, tales como propiedades de inversión, serán deducibles al momento de su enajenación o liquidación, lo que suceda primero;</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c) Los gastos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artículo 98 respecto de las compañías aseguradoras y los artículos </w:t>
      </w:r>
      <w:hyperlink r:id="rId28" w:tooltip="Estatuto Tributario CETA" w:history="1">
        <w:r w:rsidRPr="004D6F1E">
          <w:rPr>
            <w:rFonts w:ascii="Segoe UI" w:eastAsia="Times New Roman" w:hAnsi="Segoe UI" w:cs="Segoe UI"/>
            <w:i/>
            <w:iCs/>
            <w:sz w:val="18"/>
            <w:szCs w:val="18"/>
            <w:u w:val="single"/>
            <w:lang w:eastAsia="es-CO"/>
          </w:rPr>
          <w:t>112</w:t>
        </w:r>
      </w:hyperlink>
      <w:r w:rsidRPr="004D6F1E">
        <w:rPr>
          <w:rFonts w:ascii="Segoe UI" w:eastAsia="Times New Roman" w:hAnsi="Segoe UI" w:cs="Segoe UI"/>
          <w:i/>
          <w:iCs/>
          <w:sz w:val="18"/>
          <w:szCs w:val="18"/>
          <w:lang w:eastAsia="es-CO"/>
        </w:rPr>
        <w:t> y </w:t>
      </w:r>
      <w:hyperlink r:id="rId29" w:tooltip="Estatuto Tributario CETA" w:history="1">
        <w:r w:rsidRPr="004D6F1E">
          <w:rPr>
            <w:rFonts w:ascii="Segoe UI" w:eastAsia="Times New Roman" w:hAnsi="Segoe UI" w:cs="Segoe UI"/>
            <w:i/>
            <w:iCs/>
            <w:sz w:val="18"/>
            <w:szCs w:val="18"/>
            <w:u w:val="single"/>
            <w:lang w:eastAsia="es-CO"/>
          </w:rPr>
          <w:t>113</w:t>
        </w:r>
      </w:hyperlink>
      <w:r w:rsidRPr="004D6F1E">
        <w:rPr>
          <w:rFonts w:ascii="Segoe UI" w:eastAsia="Times New Roman" w:hAnsi="Segoe UI" w:cs="Segoe UI"/>
          <w:i/>
          <w:iCs/>
          <w:sz w:val="18"/>
          <w:szCs w:val="18"/>
          <w:lang w:eastAsia="es-CO"/>
        </w:rPr>
        <w:t>.</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d) Los gastos que se origen (sic) por actualización de pasivos estimados o provisiones no serán deducibles del impuesto sobre la renta y complementarios, sino hasta el momento en que surja la obligación de efectuar el desembolso con un monto y fecha cierto y no exista limitación alguna;</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e) El deterioro de los activos, salvo en el caso de los activos depreciables, será deducible del impuesto sobre la renta y complementarios al momento de su enajenación o liquidación, lo que suceda primero, salvo lo previsto en este estatuto; en especial lo establecido en los artículos </w:t>
      </w:r>
      <w:hyperlink r:id="rId30" w:tooltip="Estatuto Tributario CETA" w:history="1">
        <w:r w:rsidRPr="004D6F1E">
          <w:rPr>
            <w:rFonts w:ascii="Segoe UI" w:eastAsia="Times New Roman" w:hAnsi="Segoe UI" w:cs="Segoe UI"/>
            <w:i/>
            <w:iCs/>
            <w:sz w:val="18"/>
            <w:szCs w:val="18"/>
            <w:u w:val="single"/>
            <w:lang w:eastAsia="es-CO"/>
          </w:rPr>
          <w:t>145</w:t>
        </w:r>
      </w:hyperlink>
      <w:r w:rsidRPr="004D6F1E">
        <w:rPr>
          <w:rFonts w:ascii="Segoe UI" w:eastAsia="Times New Roman" w:hAnsi="Segoe UI" w:cs="Segoe UI"/>
          <w:i/>
          <w:iCs/>
          <w:sz w:val="18"/>
          <w:szCs w:val="18"/>
          <w:lang w:eastAsia="es-CO"/>
        </w:rPr>
        <w:t> y </w:t>
      </w:r>
      <w:hyperlink r:id="rId31" w:tooltip="Estatuto Tributario CETA" w:history="1">
        <w:r w:rsidRPr="004D6F1E">
          <w:rPr>
            <w:rFonts w:ascii="Segoe UI" w:eastAsia="Times New Roman" w:hAnsi="Segoe UI" w:cs="Segoe UI"/>
            <w:i/>
            <w:iCs/>
            <w:sz w:val="18"/>
            <w:szCs w:val="18"/>
            <w:u w:val="single"/>
            <w:lang w:eastAsia="es-CO"/>
          </w:rPr>
          <w:t>146</w:t>
        </w:r>
      </w:hyperlink>
      <w:r w:rsidRPr="004D6F1E">
        <w:rPr>
          <w:rFonts w:ascii="Segoe UI" w:eastAsia="Times New Roman" w:hAnsi="Segoe UI" w:cs="Segoe UI"/>
          <w:i/>
          <w:iCs/>
          <w:sz w:val="18"/>
          <w:szCs w:val="18"/>
          <w:lang w:eastAsia="es-CO"/>
        </w:rPr>
        <w:t>;</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f) Las deducciones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2. Los gastos que no cumplan con los requisitos establecidos en este estatuto para su deducción en el impuesto sobre la renta y complementarios, generarán diferencias permanentes. Dichos gastos comprenden, entre otros:</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a) Las deducciones devengadas por concepto de la aplicación del método de participación patrimonial, incluyendo las pérdidas, de conformidad con los marcos técnicos normativos contables;</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b) El impuesto sobre la renta y complementarios y los impuestos no comprendidos en el </w:t>
      </w:r>
      <w:hyperlink r:id="rId32" w:tooltip="Estatuto Tributario CETA" w:history="1">
        <w:r w:rsidRPr="004D6F1E">
          <w:rPr>
            <w:rFonts w:ascii="Segoe UI" w:eastAsia="Times New Roman" w:hAnsi="Segoe UI" w:cs="Segoe UI"/>
            <w:i/>
            <w:iCs/>
            <w:sz w:val="18"/>
            <w:szCs w:val="18"/>
            <w:u w:val="single"/>
            <w:lang w:eastAsia="es-CO"/>
          </w:rPr>
          <w:t>artículo 115</w:t>
        </w:r>
      </w:hyperlink>
      <w:r w:rsidRPr="004D6F1E">
        <w:rPr>
          <w:rFonts w:ascii="Segoe UI" w:eastAsia="Times New Roman" w:hAnsi="Segoe UI" w:cs="Segoe UI"/>
          <w:i/>
          <w:iCs/>
          <w:sz w:val="18"/>
          <w:szCs w:val="18"/>
          <w:lang w:eastAsia="es-CO"/>
        </w:rPr>
        <w:t> de este estatuto;</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c) Las multas, sanciones, penalidades, intereses moratorios de carácter sancionatorio y las condenas provenientes de procesos administrativos, judiciales o arbitrales diferentes a las laborales con sujeción a lo prevista (sic) en el numeral 3 del </w:t>
      </w:r>
      <w:hyperlink r:id="rId33" w:tooltip="Estatuto Tributario CETA" w:history="1">
        <w:r w:rsidRPr="004D6F1E">
          <w:rPr>
            <w:rFonts w:ascii="Segoe UI" w:eastAsia="Times New Roman" w:hAnsi="Segoe UI" w:cs="Segoe UI"/>
            <w:i/>
            <w:iCs/>
            <w:sz w:val="18"/>
            <w:szCs w:val="18"/>
            <w:u w:val="single"/>
            <w:lang w:eastAsia="es-CO"/>
          </w:rPr>
          <w:t>artículo 107-1</w:t>
        </w:r>
      </w:hyperlink>
      <w:r w:rsidRPr="004D6F1E">
        <w:rPr>
          <w:rFonts w:ascii="Segoe UI" w:eastAsia="Times New Roman" w:hAnsi="Segoe UI" w:cs="Segoe UI"/>
          <w:i/>
          <w:iCs/>
          <w:sz w:val="18"/>
          <w:szCs w:val="18"/>
          <w:lang w:eastAsia="es-CO"/>
        </w:rPr>
        <w:t> de este estatuto;</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d) Las distribuciones de dividendos;</w:t>
      </w:r>
    </w:p>
    <w:p w:rsidR="004D6F1E" w:rsidRPr="004D6F1E" w:rsidRDefault="004D6F1E" w:rsidP="004D6F1E">
      <w:pPr>
        <w:spacing w:after="0" w:line="240" w:lineRule="auto"/>
        <w:ind w:left="180"/>
        <w:jc w:val="both"/>
        <w:rPr>
          <w:rFonts w:ascii="Segoe UI" w:eastAsia="Times New Roman" w:hAnsi="Segoe UI" w:cs="Segoe UI"/>
          <w:i/>
          <w:iCs/>
          <w:sz w:val="18"/>
          <w:szCs w:val="18"/>
          <w:lang w:eastAsia="es-CO"/>
        </w:rPr>
      </w:pP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e) Los impuestos asumidos de terceros.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hyperlink r:id="rId34" w:tooltip="Estatuto Tributario CETA" w:history="1">
        <w:r w:rsidRPr="004D6F1E">
          <w:rPr>
            <w:rFonts w:ascii="Segoe UI" w:eastAsia="Times New Roman" w:hAnsi="Segoe UI" w:cs="Segoe UI"/>
            <w:b/>
            <w:bCs/>
            <w:i/>
            <w:iCs/>
            <w:sz w:val="18"/>
            <w:szCs w:val="18"/>
            <w:u w:val="single"/>
            <w:lang w:eastAsia="es-CO"/>
          </w:rPr>
          <w:t>ARTÍCULO 771-2</w:t>
        </w:r>
      </w:hyperlink>
      <w:r w:rsidRPr="004D6F1E">
        <w:rPr>
          <w:rFonts w:ascii="Segoe UI" w:eastAsia="Times New Roman" w:hAnsi="Segoe UI" w:cs="Segoe UI"/>
          <w:b/>
          <w:bCs/>
          <w:i/>
          <w:iCs/>
          <w:sz w:val="18"/>
          <w:szCs w:val="18"/>
          <w:lang w:eastAsia="es-CO"/>
        </w:rPr>
        <w:t>. PROCEDENCIA DE COSTOS, DEDUCCIONES E IMPUESTOS DESCONTABLES.</w:t>
      </w: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b/>
          <w:bCs/>
          <w:i/>
          <w:iCs/>
          <w:sz w:val="18"/>
          <w:szCs w:val="18"/>
          <w:lang w:eastAsia="es-CO"/>
        </w:rPr>
        <w:t>PARÁGRAFO 2o.</w:t>
      </w:r>
      <w:r w:rsidRPr="004D6F1E">
        <w:rPr>
          <w:rFonts w:ascii="Segoe UI" w:eastAsia="Times New Roman" w:hAnsi="Segoe UI" w:cs="Segoe UI"/>
          <w:i/>
          <w:iCs/>
          <w:sz w:val="18"/>
          <w:szCs w:val="18"/>
          <w:lang w:eastAsia="es-CO"/>
        </w:rPr>
        <w:t> &lt;Parágrafo adicionado por el artículo 135 de la Ley 1819 de 2016. El nuevo texto es el siguiente:&gt; Sin perjuicio de lo establecido en este artículo, </w:t>
      </w:r>
      <w:r w:rsidRPr="004D6F1E">
        <w:rPr>
          <w:rFonts w:ascii="Segoe UI" w:eastAsia="Times New Roman" w:hAnsi="Segoe UI" w:cs="Segoe UI"/>
          <w:b/>
          <w:bCs/>
          <w:i/>
          <w:iCs/>
          <w:sz w:val="18"/>
          <w:szCs w:val="18"/>
          <w:lang w:eastAsia="es-CO"/>
        </w:rPr>
        <w:t xml:space="preserve">los costos y deducciones efectivamente realizados </w:t>
      </w:r>
      <w:r w:rsidRPr="004D6F1E">
        <w:rPr>
          <w:rFonts w:ascii="Segoe UI" w:eastAsia="Times New Roman" w:hAnsi="Segoe UI" w:cs="Segoe UI"/>
          <w:b/>
          <w:bCs/>
          <w:i/>
          <w:iCs/>
          <w:sz w:val="18"/>
          <w:szCs w:val="18"/>
          <w:lang w:eastAsia="es-CO"/>
        </w:rPr>
        <w:lastRenderedPageBreak/>
        <w:t>durante el año o período gravable serán aceptados fiscalmente, así la factura de venta o documento equivalente tenga fecha del año o período siguiente, siempre y cuando se acredite la prestación del servicio o venta del bien en el año o período gravable.” </w:t>
      </w:r>
      <w:r w:rsidRPr="004D6F1E">
        <w:rPr>
          <w:rFonts w:ascii="Segoe UI" w:eastAsia="Times New Roman" w:hAnsi="Segoe UI" w:cs="Segoe UI"/>
          <w:sz w:val="18"/>
          <w:szCs w:val="18"/>
          <w:lang w:eastAsia="es-CO"/>
        </w:rPr>
        <w:t>(negrilla fuera de texto).</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3. </w:t>
      </w:r>
      <w:r w:rsidRPr="004D6F1E">
        <w:rPr>
          <w:rFonts w:ascii="Segoe UI" w:eastAsia="Times New Roman" w:hAnsi="Segoe UI" w:cs="Segoe UI"/>
          <w:b/>
          <w:bCs/>
          <w:sz w:val="18"/>
          <w:szCs w:val="18"/>
          <w:u w:val="single"/>
          <w:lang w:eastAsia="es-CO"/>
        </w:rPr>
        <w:t>Pregunta No. 3</w:t>
      </w:r>
      <w:r w:rsidRPr="004D6F1E">
        <w:rPr>
          <w:rFonts w:ascii="Segoe UI" w:eastAsia="Times New Roman" w:hAnsi="Segoe UI" w:cs="Segoe UI"/>
          <w:b/>
          <w:bCs/>
          <w:sz w:val="18"/>
          <w:szCs w:val="18"/>
          <w:lang w:eastAsia="es-CO"/>
        </w:rPr>
        <w:t>:</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3.1. Respecto a los impuestos sobre los ingresos registrados sin factura, consideramos necesario revisar las normas particulares de dichos casos para establecer cuándo pueden ser reconocidos.</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3.2. En el caso del Impuesto sobre las Ventas (“</w:t>
      </w:r>
      <w:r w:rsidRPr="004D6F1E">
        <w:rPr>
          <w:rFonts w:ascii="Segoe UI" w:eastAsia="Times New Roman" w:hAnsi="Segoe UI" w:cs="Segoe UI"/>
          <w:sz w:val="18"/>
          <w:szCs w:val="18"/>
          <w:u w:val="single"/>
          <w:lang w:eastAsia="es-CO"/>
        </w:rPr>
        <w:t>IVA</w:t>
      </w:r>
      <w:r w:rsidRPr="004D6F1E">
        <w:rPr>
          <w:rFonts w:ascii="Segoe UI" w:eastAsia="Times New Roman" w:hAnsi="Segoe UI" w:cs="Segoe UI"/>
          <w:sz w:val="18"/>
          <w:szCs w:val="18"/>
          <w:lang w:eastAsia="es-CO"/>
        </w:rPr>
        <w:t>”), es de recordar que las reglas generales de causación del mencionado tributo no fueron objeto de variación en la Ley 1819 de 2016, luego continúa vigente lo consagrado en el literal c) del </w:t>
      </w:r>
      <w:hyperlink r:id="rId35" w:tooltip="Estatuto Tributario CETA" w:history="1">
        <w:r w:rsidRPr="004D6F1E">
          <w:rPr>
            <w:rFonts w:ascii="Segoe UI" w:eastAsia="Times New Roman" w:hAnsi="Segoe UI" w:cs="Segoe UI"/>
            <w:sz w:val="18"/>
            <w:szCs w:val="18"/>
            <w:u w:val="single"/>
            <w:lang w:eastAsia="es-CO"/>
          </w:rPr>
          <w:t>artículo 429</w:t>
        </w:r>
      </w:hyperlink>
      <w:r w:rsidRPr="004D6F1E">
        <w:rPr>
          <w:rFonts w:ascii="Segoe UI" w:eastAsia="Times New Roman" w:hAnsi="Segoe UI" w:cs="Segoe UI"/>
          <w:sz w:val="18"/>
          <w:szCs w:val="18"/>
          <w:lang w:eastAsia="es-CO"/>
        </w:rPr>
        <w:t> del Estatuto Tributario:</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“c. En las prestaciones de servicios, en la fecha de emisión de la factura o documento equivalente, o </w:t>
      </w:r>
      <w:r w:rsidRPr="004D6F1E">
        <w:rPr>
          <w:rFonts w:ascii="Segoe UI" w:eastAsia="Times New Roman" w:hAnsi="Segoe UI" w:cs="Segoe UI"/>
          <w:b/>
          <w:bCs/>
          <w:i/>
          <w:iCs/>
          <w:sz w:val="18"/>
          <w:szCs w:val="18"/>
          <w:lang w:eastAsia="es-CO"/>
        </w:rPr>
        <w:t>en la fecha de terminación de los servicios o del pago o abono en cuenta, la que fuere anterior.” </w:t>
      </w:r>
      <w:r w:rsidRPr="004D6F1E">
        <w:rPr>
          <w:rFonts w:ascii="Segoe UI" w:eastAsia="Times New Roman" w:hAnsi="Segoe UI" w:cs="Segoe UI"/>
          <w:sz w:val="18"/>
          <w:szCs w:val="18"/>
          <w:lang w:eastAsia="es-CO"/>
        </w:rPr>
        <w:t>(negrilla fuera de texto).</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3.3. En el caso del mecanismo de retención en la fuente por concepto de renta, este deberá practicarse al momento del pago o abono en cuenta en las condiciones previstas en el artículo 1.2.4.3.1 del Decreto Único Reglamentario 1625 de 2016:</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ind w:left="180"/>
        <w:jc w:val="both"/>
        <w:rPr>
          <w:rFonts w:ascii="Arial" w:eastAsia="Times New Roman" w:hAnsi="Arial" w:cs="Arial"/>
          <w:sz w:val="18"/>
          <w:szCs w:val="18"/>
          <w:lang w:eastAsia="es-CO"/>
        </w:rPr>
      </w:pPr>
      <w:r w:rsidRPr="004D6F1E">
        <w:rPr>
          <w:rFonts w:ascii="Segoe UI" w:eastAsia="Times New Roman" w:hAnsi="Segoe UI" w:cs="Segoe UI"/>
          <w:i/>
          <w:iCs/>
          <w:sz w:val="18"/>
          <w:szCs w:val="18"/>
          <w:lang w:eastAsia="es-CO"/>
        </w:rPr>
        <w:t>“La tarifa de retención en la fuente a título de impuesto sobre la renta, </w:t>
      </w:r>
      <w:r w:rsidRPr="004D6F1E">
        <w:rPr>
          <w:rFonts w:ascii="Segoe UI" w:eastAsia="Times New Roman" w:hAnsi="Segoe UI" w:cs="Segoe UI"/>
          <w:b/>
          <w:bCs/>
          <w:i/>
          <w:iCs/>
          <w:sz w:val="18"/>
          <w:szCs w:val="18"/>
          <w:lang w:eastAsia="es-CO"/>
        </w:rPr>
        <w:t>sobre los pagos o abonos en cuenta por concepto de honorarios y comisiones </w:t>
      </w:r>
      <w:r w:rsidRPr="004D6F1E">
        <w:rPr>
          <w:rFonts w:ascii="Segoe UI" w:eastAsia="Times New Roman" w:hAnsi="Segoe UI" w:cs="Segoe UI"/>
          <w:i/>
          <w:iCs/>
          <w:sz w:val="18"/>
          <w:szCs w:val="18"/>
          <w:lang w:eastAsia="es-CO"/>
        </w:rPr>
        <w:t>de que trata el inciso tercero del </w:t>
      </w:r>
      <w:hyperlink r:id="rId36" w:tooltip="Estatuto Tributario CETA" w:history="1">
        <w:r w:rsidRPr="004D6F1E">
          <w:rPr>
            <w:rFonts w:ascii="Segoe UI" w:eastAsia="Times New Roman" w:hAnsi="Segoe UI" w:cs="Segoe UI"/>
            <w:i/>
            <w:iCs/>
            <w:sz w:val="18"/>
            <w:szCs w:val="18"/>
            <w:u w:val="single"/>
            <w:lang w:eastAsia="es-CO"/>
          </w:rPr>
          <w:t>artículo 392</w:t>
        </w:r>
      </w:hyperlink>
      <w:r w:rsidRPr="004D6F1E">
        <w:rPr>
          <w:rFonts w:ascii="Segoe UI" w:eastAsia="Times New Roman" w:hAnsi="Segoe UI" w:cs="Segoe UI"/>
          <w:i/>
          <w:iCs/>
          <w:sz w:val="18"/>
          <w:szCs w:val="18"/>
          <w:lang w:eastAsia="es-CO"/>
        </w:rPr>
        <w:t> del Estatuto Tributario, que realicen las personas jurídicas, las sociedades de hecho y las demás entidades y personas naturales que tengan la calidad de agentes retenedores en favor de los contribuyentes del impuesto sobre la renta que sean personas jurídicas y asimiladas, es el </w:t>
      </w:r>
      <w:r w:rsidRPr="004D6F1E">
        <w:rPr>
          <w:rFonts w:ascii="Segoe UI" w:eastAsia="Times New Roman" w:hAnsi="Segoe UI" w:cs="Segoe UI"/>
          <w:b/>
          <w:bCs/>
          <w:i/>
          <w:iCs/>
          <w:sz w:val="18"/>
          <w:szCs w:val="18"/>
          <w:lang w:eastAsia="es-CO"/>
        </w:rPr>
        <w:t>once por ciento (11%) del respectivo pago o abono en cuenta.” </w:t>
      </w:r>
      <w:r w:rsidRPr="004D6F1E">
        <w:rPr>
          <w:rFonts w:ascii="Segoe UI" w:eastAsia="Times New Roman" w:hAnsi="Segoe UI" w:cs="Segoe UI"/>
          <w:sz w:val="18"/>
          <w:szCs w:val="18"/>
          <w:lang w:eastAsia="es-CO"/>
        </w:rPr>
        <w:t>(negrilla fuera de texto).</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4. </w:t>
      </w:r>
      <w:r w:rsidRPr="004D6F1E">
        <w:rPr>
          <w:rFonts w:ascii="Segoe UI" w:eastAsia="Times New Roman" w:hAnsi="Segoe UI" w:cs="Segoe UI"/>
          <w:b/>
          <w:bCs/>
          <w:sz w:val="18"/>
          <w:szCs w:val="18"/>
          <w:u w:val="single"/>
          <w:lang w:eastAsia="es-CO"/>
        </w:rPr>
        <w:t>Pregunta No. 4</w:t>
      </w:r>
      <w:r w:rsidRPr="004D6F1E">
        <w:rPr>
          <w:rFonts w:ascii="Segoe UI" w:eastAsia="Times New Roman" w:hAnsi="Segoe UI" w:cs="Segoe UI"/>
          <w:b/>
          <w:bCs/>
          <w:sz w:val="18"/>
          <w:szCs w:val="18"/>
          <w:lang w:eastAsia="es-CO"/>
        </w:rPr>
        <w:t>:</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4.1. El </w:t>
      </w:r>
      <w:hyperlink r:id="rId37" w:tooltip="Estatuto Tributario CETA" w:history="1">
        <w:r w:rsidRPr="004D6F1E">
          <w:rPr>
            <w:rFonts w:ascii="Segoe UI" w:eastAsia="Times New Roman" w:hAnsi="Segoe UI" w:cs="Segoe UI"/>
            <w:sz w:val="18"/>
            <w:szCs w:val="18"/>
            <w:u w:val="single"/>
            <w:lang w:eastAsia="es-CO"/>
          </w:rPr>
          <w:t>artículo 772-1</w:t>
        </w:r>
      </w:hyperlink>
      <w:r w:rsidRPr="004D6F1E">
        <w:rPr>
          <w:rFonts w:ascii="Segoe UI" w:eastAsia="Times New Roman" w:hAnsi="Segoe UI" w:cs="Segoe UI"/>
          <w:sz w:val="18"/>
          <w:szCs w:val="18"/>
          <w:lang w:eastAsia="es-CO"/>
        </w:rPr>
        <w:t> del Estatuto Tributario establece que los contribuyentes obligados a llevar contabilidad deberán llevar un sistema de control o de conciliaciones de las diferencias que surjan entre la aplicación de los nuevos marcos técnicos normativos contables y las disposiciones del Estatuto Tributario.</w:t>
      </w: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4.2. La presentación de la información mencionada en el punto 4.1. de este documento está reglamentada por el Decreto 1998 de 2017.</w:t>
      </w: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4.3. Por su lado, la información exógena corresponde al reporte de la información tributaria del contribuyente, la cual no tiene como objetivo reflejar las diferencias contables y tributarias del contribuyente, las cuales específicamente deben ser reportadas en la conciliación fiscal.</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Segoe UI" w:eastAsia="Times New Roman" w:hAnsi="Segoe UI" w:cs="Segoe UI"/>
          <w:sz w:val="18"/>
          <w:szCs w:val="18"/>
          <w:lang w:eastAsia="es-CO"/>
        </w:rPr>
      </w:pP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Cordialmente,</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 </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b/>
          <w:bCs/>
          <w:sz w:val="18"/>
          <w:szCs w:val="18"/>
          <w:lang w:eastAsia="es-CO"/>
        </w:rPr>
        <w:t>LORENZO CASTILLO BARVO</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Subdirector de Gestión Normativa y Doctrina (E)</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Dirección de Gestión Jurídica</w:t>
      </w:r>
    </w:p>
    <w:p w:rsidR="004D6F1E" w:rsidRPr="004D6F1E" w:rsidRDefault="004D6F1E" w:rsidP="004D6F1E">
      <w:pPr>
        <w:spacing w:after="0" w:line="240" w:lineRule="auto"/>
        <w:jc w:val="both"/>
        <w:rPr>
          <w:rFonts w:ascii="Arial" w:eastAsia="Times New Roman" w:hAnsi="Arial" w:cs="Arial"/>
          <w:sz w:val="18"/>
          <w:szCs w:val="18"/>
          <w:lang w:eastAsia="es-CO"/>
        </w:rPr>
      </w:pPr>
      <w:r w:rsidRPr="004D6F1E">
        <w:rPr>
          <w:rFonts w:ascii="Segoe UI" w:eastAsia="Times New Roman" w:hAnsi="Segoe UI" w:cs="Segoe UI"/>
          <w:sz w:val="18"/>
          <w:szCs w:val="18"/>
          <w:lang w:eastAsia="es-CO"/>
        </w:rPr>
        <w:t>UAE – Dirección de Impuestos y Aduanas Nacionales</w:t>
      </w:r>
    </w:p>
    <w:p w:rsidR="00730617" w:rsidRPr="004D6F1E" w:rsidRDefault="00730617"/>
    <w:sectPr w:rsidR="00730617" w:rsidRPr="004D6F1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1E"/>
    <w:rsid w:val="004D6F1E"/>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4523"/>
  <w15:chartTrackingRefBased/>
  <w15:docId w15:val="{A6679E44-D942-4A58-A93D-F71143BB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66389">
      <w:bodyDiv w:val="1"/>
      <w:marLeft w:val="0"/>
      <w:marRight w:val="0"/>
      <w:marTop w:val="0"/>
      <w:marBottom w:val="0"/>
      <w:divBdr>
        <w:top w:val="none" w:sz="0" w:space="0" w:color="auto"/>
        <w:left w:val="none" w:sz="0" w:space="0" w:color="auto"/>
        <w:bottom w:val="none" w:sz="0" w:space="0" w:color="auto"/>
        <w:right w:val="none" w:sz="0" w:space="0" w:color="auto"/>
      </w:divBdr>
    </w:div>
    <w:div w:id="1747846151">
      <w:bodyDiv w:val="1"/>
      <w:marLeft w:val="0"/>
      <w:marRight w:val="0"/>
      <w:marTop w:val="0"/>
      <w:marBottom w:val="0"/>
      <w:divBdr>
        <w:top w:val="none" w:sz="0" w:space="0" w:color="auto"/>
        <w:left w:val="none" w:sz="0" w:space="0" w:color="auto"/>
        <w:bottom w:val="none" w:sz="0" w:space="0" w:color="auto"/>
        <w:right w:val="none" w:sz="0" w:space="0" w:color="auto"/>
      </w:divBdr>
    </w:div>
    <w:div w:id="17898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40" TargetMode="External"/><Relationship Id="rId13" Type="http://schemas.openxmlformats.org/officeDocument/2006/relationships/hyperlink" Target="https://www.ceta.org.co/html/vista_de_un_articulo.asp?Norma=58" TargetMode="External"/><Relationship Id="rId18" Type="http://schemas.openxmlformats.org/officeDocument/2006/relationships/hyperlink" Target="https://www.ceta.org.co/html/vista_de_un_articulo.asp?Norma=957" TargetMode="External"/><Relationship Id="rId26" Type="http://schemas.openxmlformats.org/officeDocument/2006/relationships/hyperlink" Target="https://www.ceta.org.co/html/vista_de_un_articulo.asp?Norma=365"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eta.org.co/html/vista_de_un_articulo.asp?Norma=163" TargetMode="External"/><Relationship Id="rId34" Type="http://schemas.openxmlformats.org/officeDocument/2006/relationships/hyperlink" Target="https://www.ceta.org.co/html/vista_de_un_articulo.asp?Norma=957" TargetMode="External"/><Relationship Id="rId7" Type="http://schemas.openxmlformats.org/officeDocument/2006/relationships/hyperlink" Target="https://www.ceta.org.co/html/vista_de_un_articulo.asp?Norma=153" TargetMode="External"/><Relationship Id="rId12" Type="http://schemas.openxmlformats.org/officeDocument/2006/relationships/hyperlink" Target="https://www.ceta.org.co/html/vista_de_un_articulo.asp?Norma=58" TargetMode="External"/><Relationship Id="rId17" Type="http://schemas.openxmlformats.org/officeDocument/2006/relationships/hyperlink" Target="https://www.ceta.org.co/html/vista_de_un_articulo.asp?Norma=153" TargetMode="External"/><Relationship Id="rId25" Type="http://schemas.openxmlformats.org/officeDocument/2006/relationships/hyperlink" Target="https://www.ceta.org.co/html/vista_de_un_articulo.asp?Norma=29939" TargetMode="External"/><Relationship Id="rId33" Type="http://schemas.openxmlformats.org/officeDocument/2006/relationships/hyperlink" Target="https://www.ceta.org.co/html/vista_de_un_articulo.asp?Norma=42479"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100" TargetMode="External"/><Relationship Id="rId20" Type="http://schemas.openxmlformats.org/officeDocument/2006/relationships/hyperlink" Target="https://www.ceta.org.co/html/vista_de_un_articulo.asp?Norma=162" TargetMode="External"/><Relationship Id="rId29" Type="http://schemas.openxmlformats.org/officeDocument/2006/relationships/hyperlink" Target="https://www.ceta.org.co/html/vista_de_un_articulo.asp?Norma=163" TargetMode="External"/><Relationship Id="rId1" Type="http://schemas.openxmlformats.org/officeDocument/2006/relationships/styles" Target="styles.xml"/><Relationship Id="rId6" Type="http://schemas.openxmlformats.org/officeDocument/2006/relationships/hyperlink" Target="https://www.ceta.org.co/html/vista_de_un_articulo.asp?Norma=100" TargetMode="External"/><Relationship Id="rId11" Type="http://schemas.openxmlformats.org/officeDocument/2006/relationships/hyperlink" Target="https://www.ceta.org.co/html/vista_de_un_articulo.asp?Norma=42470" TargetMode="External"/><Relationship Id="rId24" Type="http://schemas.openxmlformats.org/officeDocument/2006/relationships/hyperlink" Target="https://www.ceta.org.co/html/vista_de_un_articulo.asp?Norma=105" TargetMode="External"/><Relationship Id="rId32" Type="http://schemas.openxmlformats.org/officeDocument/2006/relationships/hyperlink" Target="https://www.ceta.org.co/html/vista_de_un_articulo.asp?Norma=165" TargetMode="External"/><Relationship Id="rId37" Type="http://schemas.openxmlformats.org/officeDocument/2006/relationships/hyperlink" Target="https://www.ceta.org.co/html/vista_de_un_articulo.asp?Norma=42488" TargetMode="External"/><Relationship Id="rId5" Type="http://schemas.openxmlformats.org/officeDocument/2006/relationships/hyperlink" Target="https://www.ceta.org.co/html/vista_de_un_articulo.asp?Norma=58" TargetMode="External"/><Relationship Id="rId15" Type="http://schemas.openxmlformats.org/officeDocument/2006/relationships/hyperlink" Target="https://www.ceta.org.co/html/vista_de_un_articulo.asp?Norma=42470" TargetMode="External"/><Relationship Id="rId23" Type="http://schemas.openxmlformats.org/officeDocument/2006/relationships/hyperlink" Target="https://www.ceta.org.co/html/vista_de_un_articulo.asp?Norma=208" TargetMode="External"/><Relationship Id="rId28" Type="http://schemas.openxmlformats.org/officeDocument/2006/relationships/hyperlink" Target="https://www.ceta.org.co/html/vista_de_un_articulo.asp?Norma=162" TargetMode="External"/><Relationship Id="rId36" Type="http://schemas.openxmlformats.org/officeDocument/2006/relationships/hyperlink" Target="https://www.ceta.org.co/html/vista_de_un_articulo.asp?Norma=486" TargetMode="External"/><Relationship Id="rId10" Type="http://schemas.openxmlformats.org/officeDocument/2006/relationships/hyperlink" Target="https://www.ceta.org.co/html/vista_de_un_articulo.asp?Norma=42488" TargetMode="External"/><Relationship Id="rId19" Type="http://schemas.openxmlformats.org/officeDocument/2006/relationships/hyperlink" Target="https://www.ceta.org.co/html/vista_de_un_articulo.asp?Norma=100" TargetMode="External"/><Relationship Id="rId31" Type="http://schemas.openxmlformats.org/officeDocument/2006/relationships/hyperlink" Target="https://www.ceta.org.co/html/vista_de_un_articulo.asp?Norma=208" TargetMode="External"/><Relationship Id="rId4" Type="http://schemas.openxmlformats.org/officeDocument/2006/relationships/hyperlink" Target="https://www.ceta.org.co/html/vista_de_un_articulo.asp?Norma=42470" TargetMode="External"/><Relationship Id="rId9" Type="http://schemas.openxmlformats.org/officeDocument/2006/relationships/hyperlink" Target="https://www.ceta.org.co/html/vista_de_un_articulo.asp?Norma=957" TargetMode="External"/><Relationship Id="rId14" Type="http://schemas.openxmlformats.org/officeDocument/2006/relationships/hyperlink" Target="https://www.ceta.org.co/html/vista_de_un_articulo.asp?Norma=58" TargetMode="External"/><Relationship Id="rId22" Type="http://schemas.openxmlformats.org/officeDocument/2006/relationships/hyperlink" Target="https://www.ceta.org.co/html/vista_de_un_articulo.asp?Norma=207" TargetMode="External"/><Relationship Id="rId27" Type="http://schemas.openxmlformats.org/officeDocument/2006/relationships/hyperlink" Target="https://www.ceta.org.co/html/vista_de_un_articulo.asp?Norma=153" TargetMode="External"/><Relationship Id="rId30" Type="http://schemas.openxmlformats.org/officeDocument/2006/relationships/hyperlink" Target="https://www.ceta.org.co/html/vista_de_un_articulo.asp?Norma=207" TargetMode="External"/><Relationship Id="rId35" Type="http://schemas.openxmlformats.org/officeDocument/2006/relationships/hyperlink" Target="https://www.ceta.org.co/html/vista_de_un_articulo.asp?Norma=5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3561</Words>
  <Characters>19589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2019-06-14T22:18:00Z</dcterms:created>
  <dcterms:modified xsi:type="dcterms:W3CDTF">2019-06-14T22:23:00Z</dcterms:modified>
</cp:coreProperties>
</file>