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17F" w:rsidRPr="003E617F" w:rsidRDefault="003E617F" w:rsidP="003E617F">
      <w:pPr>
        <w:spacing w:after="0" w:line="240" w:lineRule="auto"/>
        <w:jc w:val="center"/>
        <w:rPr>
          <w:rFonts w:eastAsia="Times New Roman" w:cs="Times New Roman"/>
          <w:szCs w:val="24"/>
          <w:lang w:eastAsia="es-CO"/>
        </w:rPr>
      </w:pPr>
      <w:r w:rsidRPr="003E617F">
        <w:rPr>
          <w:rFonts w:eastAsia="Times New Roman" w:cs="Times New Roman"/>
          <w:b/>
          <w:bCs/>
          <w:szCs w:val="24"/>
          <w:lang w:eastAsia="es-CO"/>
        </w:rPr>
        <w:t>OFICIO Nº 628 [006547]</w:t>
      </w:r>
      <w:bookmarkStart w:id="0" w:name="_GoBack"/>
      <w:bookmarkEnd w:id="0"/>
    </w:p>
    <w:p w:rsidR="003E617F" w:rsidRPr="003E617F" w:rsidRDefault="003E617F" w:rsidP="003E617F">
      <w:pPr>
        <w:spacing w:after="0" w:line="240" w:lineRule="auto"/>
        <w:jc w:val="center"/>
        <w:rPr>
          <w:rFonts w:eastAsia="Times New Roman" w:cs="Times New Roman"/>
          <w:szCs w:val="24"/>
          <w:lang w:eastAsia="es-CO"/>
        </w:rPr>
      </w:pPr>
      <w:r w:rsidRPr="003E617F">
        <w:rPr>
          <w:rFonts w:eastAsia="Times New Roman" w:cs="Times New Roman"/>
          <w:b/>
          <w:bCs/>
          <w:szCs w:val="24"/>
          <w:lang w:eastAsia="es-CO"/>
        </w:rPr>
        <w:t>15-03-2019</w:t>
      </w:r>
    </w:p>
    <w:p w:rsidR="003E617F" w:rsidRPr="003E617F" w:rsidRDefault="003E617F" w:rsidP="003E617F">
      <w:pPr>
        <w:spacing w:after="0" w:line="240" w:lineRule="auto"/>
        <w:jc w:val="center"/>
        <w:rPr>
          <w:rFonts w:eastAsia="Times New Roman" w:cs="Times New Roman"/>
          <w:szCs w:val="24"/>
          <w:lang w:eastAsia="es-CO"/>
        </w:rPr>
      </w:pPr>
      <w:r w:rsidRPr="003E617F">
        <w:rPr>
          <w:rFonts w:eastAsia="Times New Roman" w:cs="Times New Roman"/>
          <w:b/>
          <w:bCs/>
          <w:szCs w:val="24"/>
          <w:lang w:eastAsia="es-CO"/>
        </w:rPr>
        <w:t>DIAN</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b/>
          <w:bCs/>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b/>
          <w:bCs/>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Subdirección de Gestión Normativa y Doctrina</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Bogotá, D.C.</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100208221 – 000628</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proofErr w:type="spellStart"/>
      <w:r w:rsidRPr="003E617F">
        <w:rPr>
          <w:rFonts w:eastAsia="Times New Roman" w:cs="Times New Roman"/>
          <w:b/>
          <w:bCs/>
          <w:szCs w:val="24"/>
          <w:lang w:eastAsia="es-CO"/>
        </w:rPr>
        <w:t>Ref</w:t>
      </w:r>
      <w:proofErr w:type="spellEnd"/>
      <w:r w:rsidRPr="003E617F">
        <w:rPr>
          <w:rFonts w:eastAsia="Times New Roman" w:cs="Times New Roman"/>
          <w:b/>
          <w:bCs/>
          <w:szCs w:val="24"/>
          <w:lang w:eastAsia="es-CO"/>
        </w:rPr>
        <w:t>: </w:t>
      </w:r>
      <w:r w:rsidRPr="003E617F">
        <w:rPr>
          <w:rFonts w:eastAsia="Times New Roman" w:cs="Times New Roman"/>
          <w:szCs w:val="24"/>
          <w:lang w:eastAsia="es-CO"/>
        </w:rPr>
        <w:t>Radicado 100009772 del 13/02/2019</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890"/>
        <w:gridCol w:w="276"/>
        <w:gridCol w:w="276"/>
        <w:gridCol w:w="6347"/>
      </w:tblGrid>
      <w:tr w:rsidR="003E617F" w:rsidRPr="003E617F" w:rsidTr="003E617F">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Retención en la fuente</w:t>
            </w:r>
          </w:p>
        </w:tc>
      </w:tr>
      <w:tr w:rsidR="003E617F" w:rsidRPr="003E617F" w:rsidTr="003E617F">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Retención en la Fuente por Otros Ingresos Tributarios con Tarifa Especial</w:t>
            </w:r>
          </w:p>
        </w:tc>
      </w:tr>
      <w:tr w:rsidR="003E617F" w:rsidRPr="003E617F" w:rsidTr="003E617F">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Estatuto Tributario. Art. </w:t>
            </w:r>
            <w:hyperlink r:id="rId4" w:tooltip="Estatuto Tributario CETA" w:history="1">
              <w:r w:rsidRPr="003E617F">
                <w:rPr>
                  <w:rFonts w:eastAsia="Times New Roman" w:cs="Times New Roman"/>
                  <w:szCs w:val="24"/>
                  <w:u w:val="single"/>
                  <w:lang w:eastAsia="es-CO"/>
                </w:rPr>
                <w:t>398</w:t>
              </w:r>
            </w:hyperlink>
            <w:r w:rsidRPr="003E617F">
              <w:rPr>
                <w:rFonts w:eastAsia="Times New Roman" w:cs="Times New Roman"/>
                <w:szCs w:val="24"/>
                <w:lang w:eastAsia="es-CO"/>
              </w:rPr>
              <w:t> y </w:t>
            </w:r>
            <w:hyperlink r:id="rId5" w:tooltip="Estatuto Tributario CETA" w:history="1">
              <w:r w:rsidRPr="003E617F">
                <w:rPr>
                  <w:rFonts w:eastAsia="Times New Roman" w:cs="Times New Roman"/>
                  <w:szCs w:val="24"/>
                  <w:u w:val="single"/>
                  <w:lang w:eastAsia="es-CO"/>
                </w:rPr>
                <w:t>401</w:t>
              </w:r>
            </w:hyperlink>
            <w:r w:rsidRPr="003E617F">
              <w:rPr>
                <w:rFonts w:eastAsia="Times New Roman" w:cs="Times New Roman"/>
                <w:szCs w:val="24"/>
                <w:lang w:eastAsia="es-CO"/>
              </w:rPr>
              <w:t>.</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Ley 1943 de 2018. Art. 57.</w:t>
            </w:r>
          </w:p>
        </w:tc>
      </w:tr>
    </w:tbl>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Cordial saludo:</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En la consulta en referencia se solicita pronunciamiento de este despacho frente a la aplicación del </w:t>
      </w:r>
      <w:hyperlink r:id="rId6" w:tooltip="Estatuto Tributario CETA" w:history="1">
        <w:r w:rsidRPr="003E617F">
          <w:rPr>
            <w:rFonts w:eastAsia="Times New Roman" w:cs="Times New Roman"/>
            <w:szCs w:val="24"/>
            <w:u w:val="single"/>
            <w:lang w:eastAsia="es-CO"/>
          </w:rPr>
          <w:t>artículo 401</w:t>
        </w:r>
      </w:hyperlink>
      <w:r w:rsidRPr="003E617F">
        <w:rPr>
          <w:rFonts w:eastAsia="Times New Roman" w:cs="Times New Roman"/>
          <w:szCs w:val="24"/>
          <w:lang w:eastAsia="es-CO"/>
        </w:rPr>
        <w:t> del Estatuto Tributario (ET), adicionado por el artículo 57 de la Ley 1943 de 2018, elevando las siguientes inquietudes:</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i/>
          <w:iCs/>
          <w:szCs w:val="24"/>
          <w:lang w:eastAsia="es-CO"/>
        </w:rPr>
        <w:t> </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i/>
          <w:iCs/>
          <w:szCs w:val="24"/>
          <w:lang w:eastAsia="es-CO"/>
        </w:rPr>
        <w:t xml:space="preserve">“(…) En caso de que el vendedor de un bien inmueble, para vivienda de habitación ¿sea una persona natural y el comprador una persona jurídica, </w:t>
      </w:r>
      <w:proofErr w:type="gramStart"/>
      <w:r w:rsidRPr="003E617F">
        <w:rPr>
          <w:rFonts w:eastAsia="Times New Roman" w:cs="Times New Roman"/>
          <w:i/>
          <w:iCs/>
          <w:szCs w:val="24"/>
          <w:lang w:eastAsia="es-CO"/>
        </w:rPr>
        <w:t>quién es el agente retenedor para el impuesto de renta?</w:t>
      </w:r>
      <w:proofErr w:type="gramEnd"/>
      <w:r w:rsidRPr="003E617F">
        <w:rPr>
          <w:rFonts w:eastAsia="Times New Roman" w:cs="Times New Roman"/>
          <w:i/>
          <w:iCs/>
          <w:szCs w:val="24"/>
          <w:lang w:eastAsia="es-CO"/>
        </w:rPr>
        <w:t xml:space="preserve"> ¿El notario de conformidad con el </w:t>
      </w:r>
      <w:hyperlink r:id="rId7" w:tooltip="Estatuto Tributario CETA" w:history="1">
        <w:r w:rsidRPr="003E617F">
          <w:rPr>
            <w:rFonts w:eastAsia="Times New Roman" w:cs="Times New Roman"/>
            <w:i/>
            <w:iCs/>
            <w:szCs w:val="24"/>
            <w:u w:val="single"/>
            <w:lang w:eastAsia="es-CO"/>
          </w:rPr>
          <w:t>artículo 398</w:t>
        </w:r>
      </w:hyperlink>
      <w:r w:rsidRPr="003E617F">
        <w:rPr>
          <w:rFonts w:eastAsia="Times New Roman" w:cs="Times New Roman"/>
          <w:i/>
          <w:iCs/>
          <w:szCs w:val="24"/>
          <w:lang w:eastAsia="es-CO"/>
        </w:rPr>
        <w:t> del Estatuto Tributario o el comprador con base en el parágrafo del adicionado al </w:t>
      </w:r>
      <w:hyperlink r:id="rId8" w:tooltip="Estatuto Tributario CETA" w:history="1">
        <w:r w:rsidRPr="003E617F">
          <w:rPr>
            <w:rFonts w:eastAsia="Times New Roman" w:cs="Times New Roman"/>
            <w:i/>
            <w:iCs/>
            <w:szCs w:val="24"/>
            <w:u w:val="single"/>
            <w:lang w:eastAsia="es-CO"/>
          </w:rPr>
          <w:t>artículo 401</w:t>
        </w:r>
      </w:hyperlink>
      <w:r w:rsidRPr="003E617F">
        <w:rPr>
          <w:rFonts w:eastAsia="Times New Roman" w:cs="Times New Roman"/>
          <w:i/>
          <w:iCs/>
          <w:szCs w:val="24"/>
          <w:lang w:eastAsia="es-CO"/>
        </w:rPr>
        <w:t> del mismo estatuto? Y, además, ¿cuál sería el porcentaje de retención a aplicar?</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i/>
          <w:iCs/>
          <w:szCs w:val="24"/>
          <w:lang w:eastAsia="es-CO"/>
        </w:rPr>
        <w:t>Finalmente, en caso en que el comprador (persona jurídica) efectúe la retención en la fuente al vendedor (persona natural), ¿la notaría estaría obligada a practicar nuevamente la retención en la fuente conforme al </w:t>
      </w:r>
      <w:hyperlink r:id="rId9" w:tooltip="Estatuto Tributario CETA" w:history="1">
        <w:r w:rsidRPr="003E617F">
          <w:rPr>
            <w:rFonts w:eastAsia="Times New Roman" w:cs="Times New Roman"/>
            <w:i/>
            <w:iCs/>
            <w:szCs w:val="24"/>
            <w:u w:val="single"/>
            <w:lang w:eastAsia="es-CO"/>
          </w:rPr>
          <w:t>artículo 398</w:t>
        </w:r>
      </w:hyperlink>
      <w:r w:rsidRPr="003E617F">
        <w:rPr>
          <w:rFonts w:eastAsia="Times New Roman" w:cs="Times New Roman"/>
          <w:i/>
          <w:iCs/>
          <w:szCs w:val="24"/>
          <w:lang w:eastAsia="es-CO"/>
        </w:rPr>
        <w:t> del ET o la obligación del notario es pasar de ser agente retenedor a verificador del pago de la retención en la fuente? (sic)”.</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Previo a dar contestar su consulta, se advierte que, de acuerdo a las competencias funcionales de este despacho, los pronunciamientos emitidos en respuesta a las peticiones allegadas se resuelven con base en criterios legales de interpretación de normas jurídicas, consagrados en el código civil.</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Para comenzar, se indica que el marco normativo aplicable sobre el asunto está compuesto principalmente por el parágrafo del </w:t>
      </w:r>
      <w:hyperlink r:id="rId10" w:tooltip="Estatuto Tributario CETA" w:history="1">
        <w:r w:rsidRPr="003E617F">
          <w:rPr>
            <w:rFonts w:eastAsia="Times New Roman" w:cs="Times New Roman"/>
            <w:szCs w:val="24"/>
            <w:u w:val="single"/>
            <w:lang w:eastAsia="es-CO"/>
          </w:rPr>
          <w:t>artículo 401</w:t>
        </w:r>
      </w:hyperlink>
      <w:r w:rsidRPr="003E617F">
        <w:rPr>
          <w:rFonts w:eastAsia="Times New Roman" w:cs="Times New Roman"/>
          <w:szCs w:val="24"/>
          <w:lang w:eastAsia="es-CO"/>
        </w:rPr>
        <w:t> del Estatuto Tributario (ET), el cual respecto de la situación consultada expresa:</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b/>
          <w:bCs/>
          <w:i/>
          <w:iCs/>
          <w:szCs w:val="24"/>
          <w:lang w:eastAsia="es-CO"/>
        </w:rPr>
        <w:t> </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b/>
          <w:bCs/>
          <w:i/>
          <w:iCs/>
          <w:szCs w:val="24"/>
          <w:lang w:eastAsia="es-CO"/>
        </w:rPr>
        <w:t>“</w:t>
      </w:r>
      <w:hyperlink r:id="rId11" w:tooltip="Estatuto Tributario CETA" w:history="1">
        <w:r w:rsidRPr="003E617F">
          <w:rPr>
            <w:rFonts w:eastAsia="Times New Roman" w:cs="Times New Roman"/>
            <w:b/>
            <w:bCs/>
            <w:i/>
            <w:iCs/>
            <w:szCs w:val="24"/>
            <w:u w:val="single"/>
            <w:lang w:eastAsia="es-CO"/>
          </w:rPr>
          <w:t>ARTÍCULO 401</w:t>
        </w:r>
      </w:hyperlink>
      <w:r w:rsidRPr="003E617F">
        <w:rPr>
          <w:rFonts w:eastAsia="Times New Roman" w:cs="Times New Roman"/>
          <w:b/>
          <w:bCs/>
          <w:i/>
          <w:iCs/>
          <w:szCs w:val="24"/>
          <w:lang w:eastAsia="es-CO"/>
        </w:rPr>
        <w:t>. RETENCIÓN SOBRE OTROS INGRESOS TRIBUTARIOS. </w:t>
      </w:r>
      <w:r w:rsidRPr="003E617F">
        <w:rPr>
          <w:rFonts w:eastAsia="Times New Roman" w:cs="Times New Roman"/>
          <w:i/>
          <w:iCs/>
          <w:szCs w:val="24"/>
          <w:lang w:eastAsia="es-CO"/>
        </w:rPr>
        <w:t>Sin perjuicio de las retenciones contempladas en las disposiciones vigentes a la fecha de expedición de la Ley 50 de 1984, a saber: Ingresos laborales, dividendos y participaciones; honorarios, comisiones, servicios, arrendamientos, rendimientos financieros, enajenación de activos fijos, loterías, rifas, apuestas y similares; patrimonio, pagos al exterior y remesas, el Gobierno podrá establecer retenciones en la fuente sobre los pagos o abonos en cuenta susceptibles de constituir ingreso tributario para el contribuyente del impuesto sobre la renta, que hagan las personas jurídicas y las sociedades de hecho.</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i/>
          <w:iCs/>
          <w:szCs w:val="24"/>
          <w:lang w:eastAsia="es-CO"/>
        </w:rPr>
        <w:lastRenderedPageBreak/>
        <w:t>(…)</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b/>
          <w:bCs/>
          <w:i/>
          <w:iCs/>
          <w:szCs w:val="24"/>
          <w:lang w:eastAsia="es-CO"/>
        </w:rPr>
        <w:t>Parágrafo. </w:t>
      </w:r>
      <w:r w:rsidRPr="003E617F">
        <w:rPr>
          <w:rFonts w:eastAsia="Times New Roman" w:cs="Times New Roman"/>
          <w:i/>
          <w:iCs/>
          <w:szCs w:val="24"/>
          <w:u w:val="single"/>
          <w:lang w:eastAsia="es-CO"/>
        </w:rPr>
        <w:t>Cuando el comprador</w:t>
      </w:r>
      <w:r w:rsidRPr="003E617F">
        <w:rPr>
          <w:rFonts w:eastAsia="Times New Roman" w:cs="Times New Roman"/>
          <w:i/>
          <w:iCs/>
          <w:szCs w:val="24"/>
          <w:lang w:eastAsia="es-CO"/>
        </w:rPr>
        <w:t> de un bien inmueble </w:t>
      </w:r>
      <w:r w:rsidRPr="003E617F">
        <w:rPr>
          <w:rFonts w:eastAsia="Times New Roman" w:cs="Times New Roman"/>
          <w:i/>
          <w:iCs/>
          <w:szCs w:val="24"/>
          <w:u w:val="single"/>
          <w:lang w:eastAsia="es-CO"/>
        </w:rPr>
        <w:t>sea una persona jurídica o una sociedad de hecho</w:t>
      </w:r>
      <w:r w:rsidRPr="003E617F">
        <w:rPr>
          <w:rFonts w:eastAsia="Times New Roman" w:cs="Times New Roman"/>
          <w:i/>
          <w:iCs/>
          <w:szCs w:val="24"/>
          <w:lang w:eastAsia="es-CO"/>
        </w:rPr>
        <w:t>, la retención en la fuente a título del impuesto sobre la renta constituye un requisito previo para el otorgamiento de la escritura pública o la transferencia de derechos o cuotas representativas de bienes inmuebles.</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i/>
          <w:iCs/>
          <w:szCs w:val="24"/>
          <w:lang w:eastAsia="es-CO"/>
        </w:rPr>
        <w:t> </w:t>
      </w:r>
    </w:p>
    <w:p w:rsidR="003E617F" w:rsidRPr="003E617F" w:rsidRDefault="003E617F" w:rsidP="003E617F">
      <w:pPr>
        <w:spacing w:after="0" w:line="240" w:lineRule="auto"/>
        <w:ind w:left="180"/>
        <w:jc w:val="both"/>
        <w:rPr>
          <w:rFonts w:eastAsia="Times New Roman" w:cs="Times New Roman"/>
          <w:szCs w:val="24"/>
          <w:lang w:eastAsia="es-CO"/>
        </w:rPr>
      </w:pPr>
      <w:r w:rsidRPr="003E617F">
        <w:rPr>
          <w:rFonts w:eastAsia="Times New Roman" w:cs="Times New Roman"/>
          <w:i/>
          <w:iCs/>
          <w:szCs w:val="24"/>
          <w:lang w:eastAsia="es-CO"/>
        </w:rPr>
        <w:t>Para estos efectos, </w:t>
      </w:r>
      <w:r w:rsidRPr="003E617F">
        <w:rPr>
          <w:rFonts w:eastAsia="Times New Roman" w:cs="Times New Roman"/>
          <w:i/>
          <w:iCs/>
          <w:szCs w:val="24"/>
          <w:u w:val="single"/>
          <w:lang w:eastAsia="es-CO"/>
        </w:rPr>
        <w:t>la persona jurídica o sociedad de hecho pagará la retención en la fuente mediante recibo oficial de pago y</w:t>
      </w:r>
      <w:r w:rsidRPr="003E617F">
        <w:rPr>
          <w:rFonts w:eastAsia="Times New Roman" w:cs="Times New Roman"/>
          <w:i/>
          <w:iCs/>
          <w:szCs w:val="24"/>
          <w:lang w:eastAsia="es-CO"/>
        </w:rPr>
        <w:t>, posteriormente, imputará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 (…)” </w:t>
      </w:r>
      <w:r w:rsidRPr="003E617F">
        <w:rPr>
          <w:rFonts w:eastAsia="Times New Roman" w:cs="Times New Roman"/>
          <w:szCs w:val="24"/>
          <w:lang w:eastAsia="es-CO"/>
        </w:rPr>
        <w:t>(Negrillas y subrayas fuera de texto).</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De la norma trascrita se deduce lógicamente que la exigencia del pago de la retención en la fuente debe practicarse mediante recibo oficial de pago, pues fue esta la manera establecida por el legislador para ello, pago que debe hacer la persona jurídica o la sociedad de hecho que actúe como comprador.</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La tarifa aplicable a la misma es la estipulada en el artículo 1.2.4.9.1. del Decreto 1625 de 2016, norma que expresa: </w:t>
      </w:r>
      <w:r w:rsidRPr="003E617F">
        <w:rPr>
          <w:rFonts w:eastAsia="Times New Roman" w:cs="Times New Roman"/>
          <w:i/>
          <w:iCs/>
          <w:szCs w:val="24"/>
          <w:lang w:eastAsia="es-CO"/>
        </w:rPr>
        <w:t xml:space="preserve">“Cuando el pago o abono en cuenta corresponda a la adquisición de bienes raíces cuya destinación y uso sea vivienda de habitación, la retención prevista en este artículo será del uno por ciento (1%) por las primeras veinte mil (20.000) UVT. Para el exceso de dicho monto, la tarifa de retención será del </w:t>
      </w:r>
      <w:proofErr w:type="gramStart"/>
      <w:r w:rsidRPr="003E617F">
        <w:rPr>
          <w:rFonts w:eastAsia="Times New Roman" w:cs="Times New Roman"/>
          <w:i/>
          <w:iCs/>
          <w:szCs w:val="24"/>
          <w:lang w:eastAsia="es-CO"/>
        </w:rPr>
        <w:t>dos punto</w:t>
      </w:r>
      <w:proofErr w:type="gramEnd"/>
      <w:r w:rsidRPr="003E617F">
        <w:rPr>
          <w:rFonts w:eastAsia="Times New Roman" w:cs="Times New Roman"/>
          <w:i/>
          <w:iCs/>
          <w:szCs w:val="24"/>
          <w:lang w:eastAsia="es-CO"/>
        </w:rPr>
        <w:t xml:space="preserve"> cinco por ciento (2.5%). Cuando el pago o abono en cuenta corresponda a la adquisición de bienes raíces cuya destinación y uso sean distintos a vivienda de habitación, la retención prevista en este artículo será del </w:t>
      </w:r>
      <w:proofErr w:type="gramStart"/>
      <w:r w:rsidRPr="003E617F">
        <w:rPr>
          <w:rFonts w:eastAsia="Times New Roman" w:cs="Times New Roman"/>
          <w:i/>
          <w:iCs/>
          <w:szCs w:val="24"/>
          <w:lang w:eastAsia="es-CO"/>
        </w:rPr>
        <w:t>dos punto</w:t>
      </w:r>
      <w:proofErr w:type="gramEnd"/>
      <w:r w:rsidRPr="003E617F">
        <w:rPr>
          <w:rFonts w:eastAsia="Times New Roman" w:cs="Times New Roman"/>
          <w:i/>
          <w:iCs/>
          <w:szCs w:val="24"/>
          <w:lang w:eastAsia="es-CO"/>
        </w:rPr>
        <w:t xml:space="preserve"> cinco por ciento (2.5%)”.</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i/>
          <w:iCs/>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La retención del </w:t>
      </w:r>
      <w:hyperlink r:id="rId12" w:tooltip="Estatuto Tributario CETA" w:history="1">
        <w:r w:rsidRPr="003E617F">
          <w:rPr>
            <w:rFonts w:eastAsia="Times New Roman" w:cs="Times New Roman"/>
            <w:szCs w:val="24"/>
            <w:u w:val="single"/>
            <w:lang w:eastAsia="es-CO"/>
          </w:rPr>
          <w:t>artículo 401</w:t>
        </w:r>
      </w:hyperlink>
      <w:r w:rsidRPr="003E617F">
        <w:rPr>
          <w:rFonts w:eastAsia="Times New Roman" w:cs="Times New Roman"/>
          <w:szCs w:val="24"/>
          <w:lang w:eastAsia="es-CO"/>
        </w:rPr>
        <w:t> del ET., se efectúa en el evento en que el comprador de un bien inmueble sea una persona jurídica o una sociedad de hecho. De manera que, para efectos de esta norma la Ley no distingue la calidad del vendedor.</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A su vez, la ley impone la obligación al notario o sociedad administradora de la fiducia o fondo, de verificar el pago de la retención previo al otorgamiento de la escritura pública o la transferencia de derechos o cuotas, cuando el comprador del bien inmueble sea una persona jurídica o una sociedad de hecho.</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Por lo que la obligación del notario en este caso (</w:t>
      </w:r>
      <w:hyperlink r:id="rId13" w:tooltip="Estatuto Tributario CETA" w:history="1">
        <w:r w:rsidRPr="003E617F">
          <w:rPr>
            <w:rFonts w:eastAsia="Times New Roman" w:cs="Times New Roman"/>
            <w:szCs w:val="24"/>
            <w:u w:val="single"/>
            <w:lang w:eastAsia="es-CO"/>
          </w:rPr>
          <w:t>Artículo 401</w:t>
        </w:r>
      </w:hyperlink>
      <w:r w:rsidRPr="003E617F">
        <w:rPr>
          <w:rFonts w:eastAsia="Times New Roman" w:cs="Times New Roman"/>
          <w:szCs w:val="24"/>
          <w:lang w:eastAsia="es-CO"/>
        </w:rPr>
        <w:t> del ET) es únicamente verificar que la retención se haya efectuado por medio de la constancia de pago del recibo oficial y de ninguna manera actuar como agente retenedor.</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En consecuencia, en el caso de que el vendedor del bien inmueble sea una persona natural y el comprador sea una persona jurídica o una sociedad de hecho, deberá aplicarse la retención de que trata el </w:t>
      </w:r>
      <w:hyperlink r:id="rId14" w:tooltip="Estatuto Tributario CETA" w:history="1">
        <w:r w:rsidRPr="003E617F">
          <w:rPr>
            <w:rFonts w:eastAsia="Times New Roman" w:cs="Times New Roman"/>
            <w:szCs w:val="24"/>
            <w:u w:val="single"/>
            <w:lang w:eastAsia="es-CO"/>
          </w:rPr>
          <w:t>artículo 401</w:t>
        </w:r>
      </w:hyperlink>
      <w:r w:rsidRPr="003E617F">
        <w:rPr>
          <w:rFonts w:eastAsia="Times New Roman" w:cs="Times New Roman"/>
          <w:szCs w:val="24"/>
          <w:lang w:eastAsia="es-CO"/>
        </w:rPr>
        <w:t> del ET., debiendo efectuarse el pago de la retención por el comprador mediante recibo oficial de pago a la tarifa estipulada en el artículo 1.2.4.9.1. del Decreto 1625 de 2016 precitado.</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Téngase presente que, la retención en la fuente estipulada en el </w:t>
      </w:r>
      <w:hyperlink r:id="rId15" w:tooltip="Estatuto Tributario CETA" w:history="1">
        <w:r w:rsidRPr="003E617F">
          <w:rPr>
            <w:rFonts w:eastAsia="Times New Roman" w:cs="Times New Roman"/>
            <w:szCs w:val="24"/>
            <w:u w:val="single"/>
            <w:lang w:eastAsia="es-CO"/>
          </w:rPr>
          <w:t>artículo 398</w:t>
        </w:r>
      </w:hyperlink>
      <w:r w:rsidRPr="003E617F">
        <w:rPr>
          <w:rFonts w:eastAsia="Times New Roman" w:cs="Times New Roman"/>
          <w:szCs w:val="24"/>
          <w:lang w:eastAsia="es-CO"/>
        </w:rPr>
        <w:t> del ET., está vigente, y va dirigida a la enajenación de activos fijos de personas naturales, en ella el agente retenedor es el notario para el caso de bienes raíces y la tarifa aplicable es del 1%.</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Atentamente,</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 </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b/>
          <w:bCs/>
          <w:szCs w:val="24"/>
          <w:lang w:eastAsia="es-CO"/>
        </w:rPr>
        <w:t>LORENZO CASTILLO BARVO</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Subdirector de Gestión Normativa y Doctrina (E)</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t>Dirección de Gestión Jurídica</w:t>
      </w:r>
    </w:p>
    <w:p w:rsidR="003E617F" w:rsidRPr="003E617F" w:rsidRDefault="003E617F" w:rsidP="003E617F">
      <w:pPr>
        <w:spacing w:after="0" w:line="240" w:lineRule="auto"/>
        <w:jc w:val="both"/>
        <w:rPr>
          <w:rFonts w:eastAsia="Times New Roman" w:cs="Times New Roman"/>
          <w:szCs w:val="24"/>
          <w:lang w:eastAsia="es-CO"/>
        </w:rPr>
      </w:pPr>
      <w:r w:rsidRPr="003E617F">
        <w:rPr>
          <w:rFonts w:eastAsia="Times New Roman" w:cs="Times New Roman"/>
          <w:szCs w:val="24"/>
          <w:lang w:eastAsia="es-CO"/>
        </w:rPr>
        <w:lastRenderedPageBreak/>
        <w:t>UAE-Dirección de Impuestos y Aduanas Nacionales</w:t>
      </w:r>
    </w:p>
    <w:p w:rsidR="00730617" w:rsidRPr="003E617F" w:rsidRDefault="00730617">
      <w:pPr>
        <w:rPr>
          <w:rFonts w:cs="Times New Roman"/>
          <w:szCs w:val="24"/>
        </w:rPr>
      </w:pPr>
    </w:p>
    <w:sectPr w:rsidR="00730617" w:rsidRPr="003E617F"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7F"/>
    <w:rsid w:val="003E617F"/>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56E25-1888-4C7E-89E4-5D831326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96" TargetMode="External"/><Relationship Id="rId13" Type="http://schemas.openxmlformats.org/officeDocument/2006/relationships/hyperlink" Target="https://www.ceta.org.co/html/vista_de_un_articulo.asp?Norma=49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93" TargetMode="External"/><Relationship Id="rId12" Type="http://schemas.openxmlformats.org/officeDocument/2006/relationships/hyperlink" Target="https://www.ceta.org.co/html/vista_de_un_articulo.asp?Norma=49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496" TargetMode="External"/><Relationship Id="rId11" Type="http://schemas.openxmlformats.org/officeDocument/2006/relationships/hyperlink" Target="https://www.ceta.org.co/html/vista_de_un_articulo.asp?Norma=496" TargetMode="External"/><Relationship Id="rId5" Type="http://schemas.openxmlformats.org/officeDocument/2006/relationships/hyperlink" Target="https://www.ceta.org.co/html/vista_de_un_articulo.asp?Norma=496" TargetMode="External"/><Relationship Id="rId15" Type="http://schemas.openxmlformats.org/officeDocument/2006/relationships/hyperlink" Target="https://www.ceta.org.co/html/vista_de_un_articulo.asp?Norma=493" TargetMode="External"/><Relationship Id="rId10" Type="http://schemas.openxmlformats.org/officeDocument/2006/relationships/hyperlink" Target="https://www.ceta.org.co/html/vista_de_un_articulo.asp?Norma=496" TargetMode="External"/><Relationship Id="rId4" Type="http://schemas.openxmlformats.org/officeDocument/2006/relationships/hyperlink" Target="https://www.ceta.org.co/html/vista_de_un_articulo.asp?Norma=493" TargetMode="External"/><Relationship Id="rId9" Type="http://schemas.openxmlformats.org/officeDocument/2006/relationships/hyperlink" Target="https://www.ceta.org.co/html/vista_de_un_articulo.asp?Norma=493" TargetMode="External"/><Relationship Id="rId14" Type="http://schemas.openxmlformats.org/officeDocument/2006/relationships/hyperlink" Target="https://www.ceta.org.co/html/vista_de_un_articulo.asp?Norma=4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2019-05-09T01:04:00Z</dcterms:created>
  <dcterms:modified xsi:type="dcterms:W3CDTF">2019-05-09T01:06:00Z</dcterms:modified>
</cp:coreProperties>
</file>